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Default Extension="jpeg" ContentType="image/jpeg"/>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drawing>
          <wp:anchor distT="0" distB="0" distL="0" distR="0" allowOverlap="1" layoutInCell="1" locked="0" behindDoc="0" simplePos="0" relativeHeight="15729152">
            <wp:simplePos x="0" y="0"/>
            <wp:positionH relativeFrom="page">
              <wp:posOffset>0</wp:posOffset>
            </wp:positionH>
            <wp:positionV relativeFrom="page">
              <wp:posOffset>4573112</wp:posOffset>
            </wp:positionV>
            <wp:extent cx="7772400" cy="5485287"/>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772400" cy="5485287"/>
                    </a:xfrm>
                    <a:prstGeom prst="rect">
                      <a:avLst/>
                    </a:prstGeom>
                  </pic:spPr>
                </pic:pic>
              </a:graphicData>
            </a:graphic>
          </wp:anchor>
        </w:drawing>
      </w:r>
      <w:r>
        <w:rPr/>
        <w:pict>
          <v:group style="position:absolute;margin-left:0pt;margin-top:277.19101pt;width:612pt;height:250.1pt;mso-position-horizontal-relative:page;mso-position-vertical-relative:page;z-index:15729664" id="docshapegroup1" coordorigin="0,5544" coordsize="12240,5002">
            <v:rect style="position:absolute;left:0;top:6348;width:12240;height:4198" id="docshape2" filled="true" fillcolor="#231f20" stroked="false">
              <v:fill opacity="13107f" type="solid"/>
            </v:rect>
            <v:shape style="position:absolute;left:0;top:6411;width:12240;height:3794" id="docshape3" coordorigin="0,6411" coordsize="12240,3794" path="m12240,6411l0,9403,0,10205,12240,7244,12240,6411xe" filled="true" fillcolor="#ce372e" stroked="false">
              <v:path arrowok="t"/>
              <v:fill type="solid"/>
            </v:shape>
            <v:rect style="position:absolute;left:4158;top:5543;width:8082;height:2974" id="docshape4" filled="true" fillcolor="#231f20" stroked="false">
              <v:fill opacity="13107f" type="solid"/>
            </v:rect>
            <v:shape style="position:absolute;left:4507;top:5893;width:7733;height:2413" id="docshape5" coordorigin="4507,5894" coordsize="7733,2413" path="m12240,5894l4543,7787,4507,8306,12240,6414,12240,5894xe" filled="true" fillcolor="#1c384b" stroked="false">
              <v:path arrowok="t"/>
              <v:fill type="solid"/>
            </v:shape>
            <w10:wrap type="none"/>
          </v:group>
        </w:pict>
      </w:r>
      <w:r>
        <w:rPr/>
        <w:pict>
          <v:group style="position:absolute;margin-left:0pt;margin-top:583.744995pt;width:612pt;height:208.3pt;mso-position-horizontal-relative:page;mso-position-vertical-relative:page;z-index:15730176" id="docshapegroup6" coordorigin="0,11675" coordsize="12240,4166">
            <v:rect style="position:absolute;left:0;top:11674;width:12240;height:4166" id="docshape7" filled="true" fillcolor="#231f20" stroked="false">
              <v:fill opacity="13107f" type="solid"/>
            </v:rect>
            <v:shape style="position:absolute;left:0;top:12769;width:12240;height:3071" id="docshape8" coordorigin="0,12769" coordsize="12240,3071" path="m12240,12769l3024,15015,3024,15021,0,15758,0,15840,12240,15840,12240,12769xe" filled="true" fillcolor="#1c384b" stroked="false">
              <v:path arrowok="t"/>
              <v:fill type="solid"/>
            </v:shape>
            <v:shape style="position:absolute;left:8052;top:14042;width:3486;height:1232" type="#_x0000_t75" id="docshape9" alt="  Logo of Substance Abuse and Mental Health Services Administration (SAMHSA)  " stroked="false">
              <v:imagedata r:id="rId6" o:title=""/>
            </v:shape>
            <w10:wrap type="none"/>
          </v:group>
        </w:pict>
      </w:r>
    </w:p>
    <w:p>
      <w:pPr>
        <w:pStyle w:val="BodyText"/>
        <w:spacing w:before="6"/>
        <w:rPr>
          <w:sz w:val="27"/>
        </w:rPr>
      </w:pPr>
    </w:p>
    <w:p>
      <w:pPr>
        <w:spacing w:before="91"/>
        <w:ind w:left="160" w:right="0" w:firstLine="0"/>
        <w:jc w:val="left"/>
        <w:rPr>
          <w:rFonts w:ascii="Arial"/>
          <w:sz w:val="28"/>
        </w:rPr>
      </w:pPr>
      <w:bookmarkStart w:name="EVIDENCE-BASED RESOURCE GUIDE SERIES Pre" w:id="1"/>
      <w:bookmarkEnd w:id="1"/>
      <w:r>
        <w:rPr/>
      </w:r>
      <w:r>
        <w:rPr>
          <w:rFonts w:ascii="Arial"/>
          <w:color w:val="231F20"/>
          <w:spacing w:val="13"/>
          <w:sz w:val="28"/>
        </w:rPr>
        <w:t>EVIDENCE-BASED</w:t>
      </w:r>
      <w:r>
        <w:rPr>
          <w:rFonts w:ascii="Arial"/>
          <w:color w:val="231F20"/>
          <w:spacing w:val="29"/>
          <w:sz w:val="28"/>
        </w:rPr>
        <w:t> </w:t>
      </w:r>
      <w:r>
        <w:rPr>
          <w:rFonts w:ascii="Arial"/>
          <w:color w:val="231F20"/>
          <w:spacing w:val="11"/>
          <w:sz w:val="28"/>
        </w:rPr>
        <w:t>RESOURCE</w:t>
      </w:r>
      <w:r>
        <w:rPr>
          <w:rFonts w:ascii="Arial"/>
          <w:color w:val="231F20"/>
          <w:spacing w:val="28"/>
          <w:sz w:val="28"/>
        </w:rPr>
        <w:t> </w:t>
      </w:r>
      <w:r>
        <w:rPr>
          <w:rFonts w:ascii="Arial"/>
          <w:color w:val="231F20"/>
          <w:spacing w:val="11"/>
          <w:sz w:val="28"/>
        </w:rPr>
        <w:t>GUIDE</w:t>
      </w:r>
      <w:r>
        <w:rPr>
          <w:rFonts w:ascii="Arial"/>
          <w:color w:val="231F20"/>
          <w:spacing w:val="30"/>
          <w:sz w:val="28"/>
        </w:rPr>
        <w:t> </w:t>
      </w:r>
      <w:r>
        <w:rPr>
          <w:rFonts w:ascii="Arial"/>
          <w:color w:val="231F20"/>
          <w:spacing w:val="14"/>
          <w:sz w:val="28"/>
        </w:rPr>
        <w:t>SERIES</w:t>
      </w:r>
    </w:p>
    <w:p>
      <w:pPr>
        <w:pStyle w:val="BodyText"/>
        <w:rPr>
          <w:rFonts w:ascii="Arial"/>
          <w:sz w:val="20"/>
        </w:rPr>
      </w:pPr>
    </w:p>
    <w:p>
      <w:pPr>
        <w:pStyle w:val="BodyText"/>
        <w:spacing w:after="1"/>
        <w:rPr>
          <w:rFonts w:ascii="Arial"/>
          <w:sz w:val="14"/>
        </w:rPr>
      </w:pPr>
    </w:p>
    <w:p>
      <w:pPr>
        <w:pStyle w:val="BodyText"/>
        <w:spacing w:line="20" w:lineRule="exact"/>
        <w:ind w:left="-560"/>
        <w:rPr>
          <w:rFonts w:ascii="Arial"/>
          <w:sz w:val="2"/>
        </w:rPr>
      </w:pPr>
      <w:r>
        <w:rPr>
          <w:rFonts w:ascii="Arial"/>
          <w:sz w:val="2"/>
        </w:rPr>
        <w:pict>
          <v:group style="width:370.8pt;height:2pt;mso-position-horizontal-relative:char;mso-position-vertical-relative:line" id="docshapegroup10" coordorigin="0,0" coordsize="7416,40">
            <v:line style="position:absolute" from="0,20" to="7416,20" stroked="true" strokeweight="2pt" strokecolor="#ce372e">
              <v:stroke dashstyle="solid"/>
            </v:line>
          </v:group>
        </w:pict>
      </w:r>
      <w:r>
        <w:rPr>
          <w:rFonts w:ascii="Arial"/>
          <w:sz w:val="2"/>
        </w:rPr>
      </w:r>
    </w:p>
    <w:p>
      <w:pPr>
        <w:pStyle w:val="BodyText"/>
        <w:rPr>
          <w:rFonts w:ascii="Arial"/>
          <w:sz w:val="26"/>
        </w:rPr>
      </w:pPr>
    </w:p>
    <w:p>
      <w:pPr>
        <w:spacing w:line="204" w:lineRule="auto" w:before="0"/>
        <w:ind w:left="160" w:right="4932" w:firstLine="0"/>
        <w:jc w:val="left"/>
        <w:rPr>
          <w:rFonts w:ascii="Arial Black"/>
          <w:sz w:val="54"/>
        </w:rPr>
      </w:pPr>
      <w:r>
        <w:rPr>
          <w:rFonts w:ascii="Arial Black"/>
          <w:color w:val="1C384B"/>
          <w:spacing w:val="17"/>
          <w:sz w:val="54"/>
        </w:rPr>
        <w:t>Prevention</w:t>
      </w:r>
      <w:r>
        <w:rPr>
          <w:rFonts w:ascii="Arial Black"/>
          <w:color w:val="1C384B"/>
          <w:spacing w:val="42"/>
          <w:sz w:val="54"/>
        </w:rPr>
        <w:t> </w:t>
      </w:r>
      <w:r>
        <w:rPr>
          <w:rFonts w:ascii="Arial Black"/>
          <w:color w:val="1C384B"/>
          <w:spacing w:val="21"/>
          <w:sz w:val="54"/>
        </w:rPr>
        <w:t>and</w:t>
      </w:r>
      <w:r>
        <w:rPr>
          <w:rFonts w:ascii="Arial Black"/>
          <w:color w:val="1C384B"/>
          <w:spacing w:val="22"/>
          <w:sz w:val="54"/>
        </w:rPr>
        <w:t> </w:t>
      </w:r>
      <w:r>
        <w:rPr>
          <w:rFonts w:ascii="Arial Black"/>
          <w:color w:val="1C384B"/>
          <w:spacing w:val="16"/>
          <w:sz w:val="54"/>
        </w:rPr>
        <w:t>Treatment</w:t>
      </w:r>
      <w:r>
        <w:rPr>
          <w:rFonts w:ascii="Arial Black"/>
          <w:color w:val="1C384B"/>
          <w:spacing w:val="44"/>
          <w:sz w:val="54"/>
        </w:rPr>
        <w:t> </w:t>
      </w:r>
      <w:r>
        <w:rPr>
          <w:rFonts w:ascii="Arial Black"/>
          <w:color w:val="1C384B"/>
          <w:spacing w:val="10"/>
          <w:sz w:val="54"/>
        </w:rPr>
        <w:t>of</w:t>
      </w:r>
      <w:r>
        <w:rPr>
          <w:rFonts w:ascii="Arial Black"/>
          <w:color w:val="1C384B"/>
          <w:spacing w:val="76"/>
          <w:sz w:val="54"/>
        </w:rPr>
        <w:t> </w:t>
      </w:r>
      <w:r>
        <w:rPr>
          <w:rFonts w:ascii="Arial Black"/>
          <w:color w:val="1C384B"/>
          <w:spacing w:val="17"/>
          <w:sz w:val="54"/>
        </w:rPr>
        <w:t>HIV</w:t>
      </w:r>
    </w:p>
    <w:p>
      <w:pPr>
        <w:spacing w:line="204" w:lineRule="auto" w:before="1"/>
        <w:ind w:left="160" w:right="4932" w:firstLine="0"/>
        <w:jc w:val="left"/>
        <w:rPr>
          <w:rFonts w:ascii="Arial Black"/>
          <w:sz w:val="54"/>
        </w:rPr>
      </w:pPr>
      <w:r>
        <w:rPr>
          <w:rFonts w:ascii="Arial Black"/>
          <w:color w:val="1C384B"/>
          <w:spacing w:val="16"/>
          <w:sz w:val="54"/>
        </w:rPr>
        <w:t>Among</w:t>
      </w:r>
      <w:r>
        <w:rPr>
          <w:rFonts w:ascii="Arial Black"/>
          <w:color w:val="1C384B"/>
          <w:spacing w:val="45"/>
          <w:sz w:val="54"/>
        </w:rPr>
        <w:t> </w:t>
      </w:r>
      <w:r>
        <w:rPr>
          <w:rFonts w:ascii="Arial Black"/>
          <w:color w:val="1C384B"/>
          <w:spacing w:val="15"/>
          <w:sz w:val="54"/>
        </w:rPr>
        <w:t>People</w:t>
      </w:r>
      <w:r>
        <w:rPr>
          <w:rFonts w:ascii="Arial Black"/>
          <w:color w:val="1C384B"/>
          <w:spacing w:val="45"/>
          <w:sz w:val="54"/>
        </w:rPr>
        <w:t> </w:t>
      </w:r>
      <w:r>
        <w:rPr>
          <w:rFonts w:ascii="Arial Black"/>
          <w:color w:val="1C384B"/>
          <w:spacing w:val="21"/>
          <w:sz w:val="54"/>
        </w:rPr>
        <w:t>Living</w:t>
      </w:r>
      <w:r>
        <w:rPr>
          <w:rFonts w:ascii="Arial Black"/>
          <w:color w:val="1C384B"/>
          <w:spacing w:val="-177"/>
          <w:sz w:val="54"/>
        </w:rPr>
        <w:t> </w:t>
      </w:r>
      <w:r>
        <w:rPr>
          <w:rFonts w:ascii="Arial Black"/>
          <w:color w:val="1C384B"/>
          <w:spacing w:val="15"/>
          <w:sz w:val="54"/>
        </w:rPr>
        <w:t>with</w:t>
      </w:r>
      <w:r>
        <w:rPr>
          <w:rFonts w:ascii="Arial Black"/>
          <w:color w:val="1C384B"/>
          <w:spacing w:val="43"/>
          <w:sz w:val="54"/>
        </w:rPr>
        <w:t> </w:t>
      </w:r>
      <w:r>
        <w:rPr>
          <w:rFonts w:ascii="Arial Black"/>
          <w:color w:val="1C384B"/>
          <w:spacing w:val="21"/>
          <w:sz w:val="54"/>
        </w:rPr>
        <w:t>Substance</w:t>
      </w:r>
    </w:p>
    <w:p>
      <w:pPr>
        <w:spacing w:line="204" w:lineRule="auto" w:before="2"/>
        <w:ind w:left="160" w:right="5803" w:firstLine="0"/>
        <w:jc w:val="left"/>
        <w:rPr>
          <w:rFonts w:ascii="Arial Black"/>
          <w:sz w:val="54"/>
        </w:rPr>
      </w:pPr>
      <w:r>
        <w:rPr>
          <w:rFonts w:ascii="Arial Black"/>
          <w:color w:val="1C384B"/>
          <w:spacing w:val="14"/>
          <w:sz w:val="54"/>
        </w:rPr>
        <w:t>Use</w:t>
      </w:r>
      <w:r>
        <w:rPr>
          <w:rFonts w:ascii="Arial Black"/>
          <w:color w:val="1C384B"/>
          <w:spacing w:val="43"/>
          <w:sz w:val="54"/>
        </w:rPr>
        <w:t> </w:t>
      </w:r>
      <w:r>
        <w:rPr>
          <w:rFonts w:ascii="Arial Black"/>
          <w:color w:val="1C384B"/>
          <w:spacing w:val="17"/>
          <w:sz w:val="54"/>
        </w:rPr>
        <w:t>and/or</w:t>
      </w:r>
      <w:r>
        <w:rPr>
          <w:rFonts w:ascii="Arial Black"/>
          <w:color w:val="1C384B"/>
          <w:spacing w:val="43"/>
          <w:sz w:val="54"/>
        </w:rPr>
        <w:t> </w:t>
      </w:r>
      <w:r>
        <w:rPr>
          <w:rFonts w:ascii="Arial Black"/>
          <w:color w:val="1C384B"/>
          <w:spacing w:val="21"/>
          <w:sz w:val="54"/>
        </w:rPr>
        <w:t>Mental</w:t>
      </w:r>
      <w:r>
        <w:rPr>
          <w:rFonts w:ascii="Arial Black"/>
          <w:color w:val="1C384B"/>
          <w:spacing w:val="-177"/>
          <w:sz w:val="54"/>
        </w:rPr>
        <w:t> </w:t>
      </w:r>
      <w:r>
        <w:rPr>
          <w:rFonts w:ascii="Arial Black"/>
          <w:color w:val="1C384B"/>
          <w:spacing w:val="21"/>
          <w:sz w:val="54"/>
        </w:rPr>
        <w:t>Disorders</w:t>
      </w:r>
    </w:p>
    <w:p>
      <w:pPr>
        <w:spacing w:after="0" w:line="204" w:lineRule="auto"/>
        <w:jc w:val="left"/>
        <w:rPr>
          <w:rFonts w:ascii="Arial Black"/>
          <w:sz w:val="54"/>
        </w:rPr>
        <w:sectPr>
          <w:type w:val="continuous"/>
          <w:pgSz w:w="12240" w:h="15840"/>
          <w:pgMar w:top="1500" w:bottom="0" w:left="560" w:right="0"/>
        </w:sectPr>
      </w:pPr>
    </w:p>
    <w:p>
      <w:pPr>
        <w:pStyle w:val="BodyText"/>
        <w:rPr>
          <w:rFonts w:ascii="Arial Black"/>
          <w:sz w:val="20"/>
        </w:rPr>
      </w:pPr>
      <w:r>
        <w:rPr/>
        <w:pict>
          <v:rect style="position:absolute;margin-left:0pt;margin-top:744.700012pt;width:612pt;height:1pt;mso-position-horizontal-relative:page;mso-position-vertical-relative:page;z-index:-18162176" id="docshape12" filled="true" fillcolor="#1d384a" stroked="false">
            <v:fill type="solid"/>
            <w10:wrap type="none"/>
          </v:rect>
        </w:pict>
      </w:r>
    </w:p>
    <w:p>
      <w:pPr>
        <w:pStyle w:val="BodyText"/>
        <w:rPr>
          <w:rFonts w:ascii="Arial Black"/>
          <w:sz w:val="20"/>
        </w:rPr>
      </w:pPr>
    </w:p>
    <w:p>
      <w:pPr>
        <w:pStyle w:val="BodyText"/>
        <w:rPr>
          <w:rFonts w:ascii="Arial Black"/>
          <w:sz w:val="20"/>
        </w:rPr>
      </w:pPr>
    </w:p>
    <w:p>
      <w:pPr>
        <w:pStyle w:val="BodyText"/>
        <w:spacing w:before="9"/>
        <w:rPr>
          <w:rFonts w:ascii="Arial Black"/>
          <w:sz w:val="17"/>
        </w:rPr>
      </w:pPr>
    </w:p>
    <w:p>
      <w:pPr>
        <w:pStyle w:val="Heading1"/>
        <w:spacing w:line="196" w:lineRule="auto" w:before="179"/>
        <w:ind w:left="793" w:right="2118"/>
        <w:jc w:val="both"/>
      </w:pPr>
      <w:bookmarkStart w:name="Acknowledgments" w:id="2"/>
      <w:bookmarkEnd w:id="2"/>
      <w:r>
        <w:rPr/>
      </w:r>
      <w:bookmarkStart w:name="Disclaimer" w:id="3"/>
      <w:bookmarkEnd w:id="3"/>
      <w:r>
        <w:rPr/>
      </w:r>
      <w:bookmarkStart w:name="Public Domain Notice" w:id="4"/>
      <w:bookmarkEnd w:id="4"/>
      <w:r>
        <w:rPr/>
      </w:r>
      <w:bookmarkStart w:name="Electronic Access" w:id="5"/>
      <w:bookmarkEnd w:id="5"/>
      <w:r>
        <w:rPr/>
      </w:r>
      <w:bookmarkStart w:name="Recommended Citation" w:id="6"/>
      <w:bookmarkEnd w:id="6"/>
      <w:r>
        <w:rPr/>
      </w:r>
      <w:bookmarkStart w:name="Originating Office" w:id="7"/>
      <w:bookmarkEnd w:id="7"/>
      <w:r>
        <w:rPr/>
      </w:r>
      <w:bookmarkStart w:name="Nondiscrimination Notice" w:id="8"/>
      <w:bookmarkEnd w:id="8"/>
      <w:r>
        <w:rPr/>
      </w:r>
      <w:r>
        <w:rPr>
          <w:color w:val="1C384B"/>
          <w:spacing w:val="-1"/>
        </w:rPr>
        <w:t>Prevention</w:t>
      </w:r>
      <w:r>
        <w:rPr>
          <w:color w:val="1C384B"/>
          <w:spacing w:val="-32"/>
        </w:rPr>
        <w:t> </w:t>
      </w:r>
      <w:r>
        <w:rPr>
          <w:color w:val="1C384B"/>
        </w:rPr>
        <w:t>and</w:t>
      </w:r>
      <w:r>
        <w:rPr>
          <w:color w:val="1C384B"/>
          <w:spacing w:val="-32"/>
        </w:rPr>
        <w:t> </w:t>
      </w:r>
      <w:r>
        <w:rPr>
          <w:color w:val="1C384B"/>
        </w:rPr>
        <w:t>Treatment</w:t>
      </w:r>
      <w:r>
        <w:rPr>
          <w:color w:val="1C384B"/>
          <w:spacing w:val="-32"/>
        </w:rPr>
        <w:t> </w:t>
      </w:r>
      <w:r>
        <w:rPr>
          <w:color w:val="1C384B"/>
        </w:rPr>
        <w:t>of</w:t>
      </w:r>
      <w:r>
        <w:rPr>
          <w:color w:val="1C384B"/>
          <w:spacing w:val="-12"/>
        </w:rPr>
        <w:t> </w:t>
      </w:r>
      <w:r>
        <w:rPr>
          <w:color w:val="1C384B"/>
        </w:rPr>
        <w:t>HIV</w:t>
      </w:r>
      <w:r>
        <w:rPr>
          <w:color w:val="1C384B"/>
          <w:spacing w:val="-31"/>
        </w:rPr>
        <w:t> </w:t>
      </w:r>
      <w:r>
        <w:rPr>
          <w:color w:val="1C384B"/>
        </w:rPr>
        <w:t>Among</w:t>
      </w:r>
      <w:r>
        <w:rPr>
          <w:color w:val="1C384B"/>
          <w:spacing w:val="-131"/>
        </w:rPr>
        <w:t> </w:t>
      </w:r>
      <w:r>
        <w:rPr>
          <w:color w:val="1C384B"/>
          <w:spacing w:val="-1"/>
        </w:rPr>
        <w:t>People</w:t>
      </w:r>
      <w:r>
        <w:rPr>
          <w:color w:val="1C384B"/>
          <w:spacing w:val="-33"/>
        </w:rPr>
        <w:t> </w:t>
      </w:r>
      <w:r>
        <w:rPr>
          <w:color w:val="1C384B"/>
          <w:spacing w:val="-1"/>
        </w:rPr>
        <w:t>Living</w:t>
      </w:r>
      <w:r>
        <w:rPr>
          <w:color w:val="1C384B"/>
          <w:spacing w:val="-32"/>
        </w:rPr>
        <w:t> </w:t>
      </w:r>
      <w:r>
        <w:rPr>
          <w:color w:val="1C384B"/>
          <w:spacing w:val="-1"/>
        </w:rPr>
        <w:t>with</w:t>
      </w:r>
      <w:r>
        <w:rPr>
          <w:color w:val="1C384B"/>
          <w:spacing w:val="-32"/>
        </w:rPr>
        <w:t> </w:t>
      </w:r>
      <w:r>
        <w:rPr>
          <w:color w:val="1C384B"/>
        </w:rPr>
        <w:t>Substance</w:t>
      </w:r>
      <w:r>
        <w:rPr>
          <w:color w:val="1C384B"/>
          <w:spacing w:val="-32"/>
        </w:rPr>
        <w:t> </w:t>
      </w:r>
      <w:r>
        <w:rPr>
          <w:color w:val="1C384B"/>
        </w:rPr>
        <w:t>Use</w:t>
      </w:r>
      <w:r>
        <w:rPr>
          <w:color w:val="1C384B"/>
          <w:spacing w:val="-33"/>
        </w:rPr>
        <w:t> </w:t>
      </w:r>
      <w:r>
        <w:rPr>
          <w:color w:val="1C384B"/>
        </w:rPr>
        <w:t>and/or</w:t>
      </w:r>
      <w:r>
        <w:rPr>
          <w:color w:val="1C384B"/>
          <w:spacing w:val="-131"/>
        </w:rPr>
        <w:t> </w:t>
      </w:r>
      <w:r>
        <w:rPr>
          <w:color w:val="1C384B"/>
        </w:rPr>
        <w:t>Mental</w:t>
      </w:r>
      <w:r>
        <w:rPr>
          <w:color w:val="1C384B"/>
          <w:spacing w:val="-10"/>
        </w:rPr>
        <w:t> </w:t>
      </w:r>
      <w:r>
        <w:rPr>
          <w:color w:val="1C384B"/>
        </w:rPr>
        <w:t>Disorders</w:t>
      </w:r>
    </w:p>
    <w:p>
      <w:pPr>
        <w:spacing w:before="73"/>
        <w:ind w:left="793" w:right="0" w:firstLine="0"/>
        <w:jc w:val="left"/>
        <w:rPr>
          <w:rFonts w:ascii="Arial Black"/>
          <w:sz w:val="21"/>
        </w:rPr>
      </w:pPr>
      <w:r>
        <w:rPr>
          <w:rFonts w:ascii="Arial Black"/>
          <w:color w:val="CF382D"/>
          <w:sz w:val="21"/>
        </w:rPr>
        <w:t>Acknowledgments</w:t>
      </w:r>
    </w:p>
    <w:p>
      <w:pPr>
        <w:pStyle w:val="BodyText"/>
        <w:spacing w:before="50"/>
        <w:ind w:left="793"/>
      </w:pPr>
      <w:r>
        <w:rPr>
          <w:color w:val="231F20"/>
          <w:spacing w:val="-3"/>
        </w:rPr>
        <w:t>This</w:t>
      </w:r>
      <w:r>
        <w:rPr>
          <w:color w:val="231F20"/>
          <w:spacing w:val="-4"/>
        </w:rPr>
        <w:t> </w:t>
      </w:r>
      <w:r>
        <w:rPr>
          <w:color w:val="231F20"/>
          <w:spacing w:val="-3"/>
        </w:rPr>
        <w:t>report</w:t>
      </w:r>
      <w:r>
        <w:rPr>
          <w:color w:val="231F20"/>
          <w:spacing w:val="-4"/>
        </w:rPr>
        <w:t> </w:t>
      </w:r>
      <w:r>
        <w:rPr>
          <w:color w:val="231F20"/>
          <w:spacing w:val="-3"/>
        </w:rPr>
        <w:t>was</w:t>
      </w:r>
      <w:r>
        <w:rPr>
          <w:color w:val="231F20"/>
          <w:spacing w:val="-5"/>
        </w:rPr>
        <w:t> </w:t>
      </w:r>
      <w:r>
        <w:rPr>
          <w:color w:val="231F20"/>
          <w:spacing w:val="-3"/>
        </w:rPr>
        <w:t>prepared</w:t>
      </w:r>
      <w:r>
        <w:rPr>
          <w:color w:val="231F20"/>
          <w:spacing w:val="-4"/>
        </w:rPr>
        <w:t> </w:t>
      </w:r>
      <w:r>
        <w:rPr>
          <w:color w:val="231F20"/>
          <w:spacing w:val="-2"/>
        </w:rPr>
        <w:t>for</w:t>
      </w:r>
      <w:r>
        <w:rPr>
          <w:color w:val="231F20"/>
          <w:spacing w:val="-3"/>
        </w:rPr>
        <w:t> </w:t>
      </w:r>
      <w:r>
        <w:rPr>
          <w:color w:val="231F20"/>
          <w:spacing w:val="-2"/>
        </w:rPr>
        <w:t>the</w:t>
      </w:r>
      <w:r>
        <w:rPr>
          <w:color w:val="231F20"/>
          <w:spacing w:val="-4"/>
        </w:rPr>
        <w:t> </w:t>
      </w:r>
      <w:r>
        <w:rPr>
          <w:color w:val="231F20"/>
          <w:spacing w:val="-2"/>
        </w:rPr>
        <w:t>Substance</w:t>
      </w:r>
      <w:r>
        <w:rPr>
          <w:color w:val="231F20"/>
          <w:spacing w:val="-17"/>
        </w:rPr>
        <w:t> </w:t>
      </w:r>
      <w:r>
        <w:rPr>
          <w:color w:val="231F20"/>
          <w:spacing w:val="-2"/>
        </w:rPr>
        <w:t>Abuse</w:t>
      </w:r>
      <w:r>
        <w:rPr>
          <w:color w:val="231F20"/>
          <w:spacing w:val="-5"/>
        </w:rPr>
        <w:t> </w:t>
      </w:r>
      <w:r>
        <w:rPr>
          <w:color w:val="231F20"/>
          <w:spacing w:val="-2"/>
        </w:rPr>
        <w:t>and</w:t>
      </w:r>
      <w:r>
        <w:rPr>
          <w:color w:val="231F20"/>
          <w:spacing w:val="-4"/>
        </w:rPr>
        <w:t> </w:t>
      </w:r>
      <w:r>
        <w:rPr>
          <w:color w:val="231F20"/>
          <w:spacing w:val="-2"/>
        </w:rPr>
        <w:t>Mental</w:t>
      </w:r>
      <w:r>
        <w:rPr>
          <w:color w:val="231F20"/>
          <w:spacing w:val="-4"/>
        </w:rPr>
        <w:t> </w:t>
      </w:r>
      <w:r>
        <w:rPr>
          <w:color w:val="231F20"/>
          <w:spacing w:val="-2"/>
        </w:rPr>
        <w:t>Health</w:t>
      </w:r>
      <w:r>
        <w:rPr>
          <w:color w:val="231F20"/>
          <w:spacing w:val="-5"/>
        </w:rPr>
        <w:t> </w:t>
      </w:r>
      <w:r>
        <w:rPr>
          <w:color w:val="231F20"/>
          <w:spacing w:val="-2"/>
        </w:rPr>
        <w:t>Services</w:t>
      </w:r>
      <w:r>
        <w:rPr>
          <w:color w:val="231F20"/>
          <w:spacing w:val="-17"/>
        </w:rPr>
        <w:t> </w:t>
      </w:r>
      <w:r>
        <w:rPr>
          <w:color w:val="231F20"/>
          <w:spacing w:val="-2"/>
        </w:rPr>
        <w:t>Administration</w:t>
      </w:r>
      <w:r>
        <w:rPr>
          <w:color w:val="231F20"/>
          <w:spacing w:val="-5"/>
        </w:rPr>
        <w:t> </w:t>
      </w:r>
      <w:r>
        <w:rPr>
          <w:color w:val="231F20"/>
          <w:spacing w:val="-2"/>
        </w:rPr>
        <w:t>(SAMHSA),</w:t>
      </w:r>
    </w:p>
    <w:p>
      <w:pPr>
        <w:pStyle w:val="BodyText"/>
        <w:spacing w:before="27"/>
        <w:ind w:left="793"/>
      </w:pPr>
      <w:r>
        <w:rPr>
          <w:color w:val="231F20"/>
          <w:spacing w:val="-2"/>
        </w:rPr>
        <w:t>U.S.</w:t>
      </w:r>
      <w:r>
        <w:rPr>
          <w:color w:val="231F20"/>
          <w:spacing w:val="-12"/>
        </w:rPr>
        <w:t> </w:t>
      </w:r>
      <w:r>
        <w:rPr>
          <w:color w:val="231F20"/>
          <w:spacing w:val="-2"/>
        </w:rPr>
        <w:t>Department</w:t>
      </w:r>
      <w:r>
        <w:rPr>
          <w:color w:val="231F20"/>
          <w:spacing w:val="-12"/>
        </w:rPr>
        <w:t> </w:t>
      </w:r>
      <w:r>
        <w:rPr>
          <w:color w:val="231F20"/>
          <w:spacing w:val="-2"/>
        </w:rPr>
        <w:t>of</w:t>
      </w:r>
      <w:r>
        <w:rPr>
          <w:color w:val="231F20"/>
          <w:spacing w:val="-10"/>
        </w:rPr>
        <w:t> </w:t>
      </w:r>
      <w:r>
        <w:rPr>
          <w:color w:val="231F20"/>
          <w:spacing w:val="-2"/>
        </w:rPr>
        <w:t>Health</w:t>
      </w:r>
      <w:r>
        <w:rPr>
          <w:color w:val="231F20"/>
          <w:spacing w:val="-12"/>
        </w:rPr>
        <w:t> </w:t>
      </w:r>
      <w:r>
        <w:rPr>
          <w:color w:val="231F20"/>
          <w:spacing w:val="-2"/>
        </w:rPr>
        <w:t>and</w:t>
      </w:r>
      <w:r>
        <w:rPr>
          <w:color w:val="231F20"/>
          <w:spacing w:val="-11"/>
        </w:rPr>
        <w:t> </w:t>
      </w:r>
      <w:r>
        <w:rPr>
          <w:color w:val="231F20"/>
          <w:spacing w:val="-2"/>
        </w:rPr>
        <w:t>Human</w:t>
      </w:r>
      <w:r>
        <w:rPr>
          <w:color w:val="231F20"/>
          <w:spacing w:val="-11"/>
        </w:rPr>
        <w:t> </w:t>
      </w:r>
      <w:r>
        <w:rPr>
          <w:color w:val="231F20"/>
          <w:spacing w:val="-1"/>
        </w:rPr>
        <w:t>Services</w:t>
      </w:r>
      <w:r>
        <w:rPr>
          <w:color w:val="231F20"/>
          <w:spacing w:val="-12"/>
        </w:rPr>
        <w:t> </w:t>
      </w:r>
      <w:r>
        <w:rPr>
          <w:color w:val="231F20"/>
          <w:spacing w:val="-1"/>
        </w:rPr>
        <w:t>(HHS),</w:t>
      </w:r>
      <w:r>
        <w:rPr>
          <w:color w:val="231F20"/>
          <w:spacing w:val="-10"/>
        </w:rPr>
        <w:t> </w:t>
      </w:r>
      <w:r>
        <w:rPr>
          <w:color w:val="231F20"/>
          <w:spacing w:val="-1"/>
        </w:rPr>
        <w:t>under</w:t>
      </w:r>
      <w:r>
        <w:rPr>
          <w:color w:val="231F20"/>
          <w:spacing w:val="-11"/>
        </w:rPr>
        <w:t> </w:t>
      </w:r>
      <w:r>
        <w:rPr>
          <w:color w:val="231F20"/>
          <w:spacing w:val="-1"/>
        </w:rPr>
        <w:t>contract</w:t>
      </w:r>
      <w:r>
        <w:rPr>
          <w:color w:val="231F20"/>
          <w:spacing w:val="-11"/>
        </w:rPr>
        <w:t> </w:t>
      </w:r>
      <w:r>
        <w:rPr>
          <w:color w:val="231F20"/>
          <w:spacing w:val="-1"/>
        </w:rPr>
        <w:t>number</w:t>
      </w:r>
      <w:r>
        <w:rPr>
          <w:color w:val="231F20"/>
          <w:spacing w:val="-10"/>
        </w:rPr>
        <w:t> </w:t>
      </w:r>
      <w:r>
        <w:rPr>
          <w:color w:val="231F20"/>
          <w:spacing w:val="-1"/>
        </w:rPr>
        <w:t>HHSS283201700001/</w:t>
      </w:r>
    </w:p>
    <w:p>
      <w:pPr>
        <w:pStyle w:val="BodyText"/>
        <w:spacing w:before="27"/>
        <w:ind w:left="793"/>
      </w:pPr>
      <w:r>
        <w:rPr>
          <w:color w:val="231F20"/>
          <w:spacing w:val="-2"/>
        </w:rPr>
        <w:t>75S20319F42002</w:t>
      </w:r>
      <w:r>
        <w:rPr>
          <w:color w:val="231F20"/>
          <w:spacing w:val="-11"/>
        </w:rPr>
        <w:t> </w:t>
      </w:r>
      <w:r>
        <w:rPr>
          <w:color w:val="231F20"/>
          <w:spacing w:val="-2"/>
        </w:rPr>
        <w:t>with</w:t>
      </w:r>
      <w:r>
        <w:rPr>
          <w:color w:val="231F20"/>
          <w:spacing w:val="-11"/>
        </w:rPr>
        <w:t> </w:t>
      </w:r>
      <w:r>
        <w:rPr>
          <w:color w:val="231F20"/>
          <w:spacing w:val="-2"/>
        </w:rPr>
        <w:t>SAMHSA,</w:t>
      </w:r>
      <w:r>
        <w:rPr>
          <w:color w:val="231F20"/>
          <w:spacing w:val="-11"/>
        </w:rPr>
        <w:t> </w:t>
      </w:r>
      <w:r>
        <w:rPr>
          <w:color w:val="231F20"/>
          <w:spacing w:val="-2"/>
        </w:rPr>
        <w:t>HHS.</w:t>
      </w:r>
      <w:r>
        <w:rPr>
          <w:color w:val="231F20"/>
          <w:spacing w:val="-11"/>
        </w:rPr>
        <w:t> </w:t>
      </w:r>
      <w:r>
        <w:rPr>
          <w:color w:val="231F20"/>
          <w:spacing w:val="-2"/>
        </w:rPr>
        <w:t>Donelle</w:t>
      </w:r>
      <w:r>
        <w:rPr>
          <w:color w:val="231F20"/>
          <w:spacing w:val="-11"/>
        </w:rPr>
        <w:t> </w:t>
      </w:r>
      <w:r>
        <w:rPr>
          <w:color w:val="231F20"/>
          <w:spacing w:val="-2"/>
        </w:rPr>
        <w:t>Johnson</w:t>
      </w:r>
      <w:r>
        <w:rPr>
          <w:color w:val="231F20"/>
          <w:spacing w:val="-12"/>
        </w:rPr>
        <w:t> </w:t>
      </w:r>
      <w:r>
        <w:rPr>
          <w:color w:val="231F20"/>
          <w:spacing w:val="-1"/>
        </w:rPr>
        <w:t>served</w:t>
      </w:r>
      <w:r>
        <w:rPr>
          <w:color w:val="231F20"/>
          <w:spacing w:val="-11"/>
        </w:rPr>
        <w:t> </w:t>
      </w:r>
      <w:r>
        <w:rPr>
          <w:color w:val="231F20"/>
          <w:spacing w:val="-1"/>
        </w:rPr>
        <w:t>as</w:t>
      </w:r>
      <w:r>
        <w:rPr>
          <w:color w:val="231F20"/>
          <w:spacing w:val="-10"/>
        </w:rPr>
        <w:t> </w:t>
      </w:r>
      <w:r>
        <w:rPr>
          <w:color w:val="231F20"/>
          <w:spacing w:val="-1"/>
        </w:rPr>
        <w:t>contracting</w:t>
      </w:r>
      <w:r>
        <w:rPr>
          <w:color w:val="231F20"/>
          <w:spacing w:val="-10"/>
        </w:rPr>
        <w:t> </w:t>
      </w:r>
      <w:r>
        <w:rPr>
          <w:color w:val="231F20"/>
          <w:spacing w:val="-1"/>
        </w:rPr>
        <w:t>officer</w:t>
      </w:r>
      <w:r>
        <w:rPr>
          <w:color w:val="231F20"/>
          <w:spacing w:val="-10"/>
        </w:rPr>
        <w:t> </w:t>
      </w:r>
      <w:r>
        <w:rPr>
          <w:color w:val="231F20"/>
          <w:spacing w:val="-1"/>
        </w:rPr>
        <w:t>representative.</w:t>
      </w:r>
    </w:p>
    <w:p>
      <w:pPr>
        <w:spacing w:before="112"/>
        <w:ind w:left="793" w:right="0" w:firstLine="0"/>
        <w:jc w:val="left"/>
        <w:rPr>
          <w:rFonts w:ascii="Arial Black"/>
          <w:sz w:val="21"/>
        </w:rPr>
      </w:pPr>
      <w:r>
        <w:rPr>
          <w:rFonts w:ascii="Arial Black"/>
          <w:color w:val="CF382D"/>
          <w:sz w:val="21"/>
        </w:rPr>
        <w:t>Disclaimer</w:t>
      </w:r>
    </w:p>
    <w:p>
      <w:pPr>
        <w:pStyle w:val="BodyText"/>
        <w:spacing w:before="50"/>
        <w:ind w:left="793"/>
      </w:pPr>
      <w:r>
        <w:rPr>
          <w:color w:val="231F20"/>
        </w:rPr>
        <w:t>The</w:t>
      </w:r>
      <w:r>
        <w:rPr>
          <w:color w:val="231F20"/>
          <w:spacing w:val="-13"/>
        </w:rPr>
        <w:t> </w:t>
      </w:r>
      <w:r>
        <w:rPr>
          <w:color w:val="231F20"/>
        </w:rPr>
        <w:t>views,</w:t>
      </w:r>
      <w:r>
        <w:rPr>
          <w:color w:val="231F20"/>
          <w:spacing w:val="-13"/>
        </w:rPr>
        <w:t> </w:t>
      </w:r>
      <w:r>
        <w:rPr>
          <w:color w:val="231F20"/>
        </w:rPr>
        <w:t>opinions,</w:t>
      </w:r>
      <w:r>
        <w:rPr>
          <w:color w:val="231F20"/>
          <w:spacing w:val="-13"/>
        </w:rPr>
        <w:t> </w:t>
      </w:r>
      <w:r>
        <w:rPr>
          <w:color w:val="231F20"/>
        </w:rPr>
        <w:t>and</w:t>
      </w:r>
      <w:r>
        <w:rPr>
          <w:color w:val="231F20"/>
          <w:spacing w:val="-12"/>
        </w:rPr>
        <w:t> </w:t>
      </w:r>
      <w:r>
        <w:rPr>
          <w:color w:val="231F20"/>
        </w:rPr>
        <w:t>content</w:t>
      </w:r>
      <w:r>
        <w:rPr>
          <w:color w:val="231F20"/>
          <w:spacing w:val="-13"/>
        </w:rPr>
        <w:t> </w:t>
      </w:r>
      <w:r>
        <w:rPr>
          <w:color w:val="231F20"/>
        </w:rPr>
        <w:t>of</w:t>
      </w:r>
      <w:r>
        <w:rPr>
          <w:color w:val="231F20"/>
          <w:spacing w:val="-13"/>
        </w:rPr>
        <w:t> </w:t>
      </w:r>
      <w:r>
        <w:rPr>
          <w:color w:val="231F20"/>
        </w:rPr>
        <w:t>this</w:t>
      </w:r>
      <w:r>
        <w:rPr>
          <w:color w:val="231F20"/>
          <w:spacing w:val="-12"/>
        </w:rPr>
        <w:t> </w:t>
      </w:r>
      <w:r>
        <w:rPr>
          <w:color w:val="231F20"/>
        </w:rPr>
        <w:t>publication</w:t>
      </w:r>
      <w:r>
        <w:rPr>
          <w:color w:val="231F20"/>
          <w:spacing w:val="-13"/>
        </w:rPr>
        <w:t> </w:t>
      </w:r>
      <w:r>
        <w:rPr>
          <w:color w:val="231F20"/>
        </w:rPr>
        <w:t>are</w:t>
      </w:r>
      <w:r>
        <w:rPr>
          <w:color w:val="231F20"/>
          <w:spacing w:val="-13"/>
        </w:rPr>
        <w:t> </w:t>
      </w:r>
      <w:r>
        <w:rPr>
          <w:color w:val="231F20"/>
        </w:rPr>
        <w:t>those</w:t>
      </w:r>
      <w:r>
        <w:rPr>
          <w:color w:val="231F20"/>
          <w:spacing w:val="-12"/>
        </w:rPr>
        <w:t> </w:t>
      </w:r>
      <w:r>
        <w:rPr>
          <w:color w:val="231F20"/>
        </w:rPr>
        <w:t>of</w:t>
      </w:r>
      <w:r>
        <w:rPr>
          <w:color w:val="231F20"/>
          <w:spacing w:val="-13"/>
        </w:rPr>
        <w:t> </w:t>
      </w:r>
      <w:r>
        <w:rPr>
          <w:color w:val="231F20"/>
        </w:rPr>
        <w:t>the</w:t>
      </w:r>
      <w:r>
        <w:rPr>
          <w:color w:val="231F20"/>
          <w:spacing w:val="-13"/>
        </w:rPr>
        <w:t> </w:t>
      </w:r>
      <w:r>
        <w:rPr>
          <w:color w:val="231F20"/>
        </w:rPr>
        <w:t>authors</w:t>
      </w:r>
      <w:r>
        <w:rPr>
          <w:color w:val="231F20"/>
          <w:spacing w:val="-12"/>
        </w:rPr>
        <w:t> </w:t>
      </w:r>
      <w:r>
        <w:rPr>
          <w:color w:val="231F20"/>
        </w:rPr>
        <w:t>and</w:t>
      </w:r>
      <w:r>
        <w:rPr>
          <w:color w:val="231F20"/>
          <w:spacing w:val="-13"/>
        </w:rPr>
        <w:t> </w:t>
      </w:r>
      <w:r>
        <w:rPr>
          <w:color w:val="231F20"/>
        </w:rPr>
        <w:t>do</w:t>
      </w:r>
      <w:r>
        <w:rPr>
          <w:color w:val="231F20"/>
          <w:spacing w:val="-13"/>
        </w:rPr>
        <w:t> </w:t>
      </w:r>
      <w:r>
        <w:rPr>
          <w:color w:val="231F20"/>
        </w:rPr>
        <w:t>not</w:t>
      </w:r>
      <w:r>
        <w:rPr>
          <w:color w:val="231F20"/>
          <w:spacing w:val="-12"/>
        </w:rPr>
        <w:t> </w:t>
      </w:r>
      <w:r>
        <w:rPr>
          <w:color w:val="231F20"/>
        </w:rPr>
        <w:t>necessarily</w:t>
      </w:r>
      <w:r>
        <w:rPr>
          <w:color w:val="231F20"/>
          <w:spacing w:val="-13"/>
        </w:rPr>
        <w:t> </w:t>
      </w:r>
      <w:r>
        <w:rPr>
          <w:color w:val="231F20"/>
        </w:rPr>
        <w:t>reflect</w:t>
      </w:r>
    </w:p>
    <w:p>
      <w:pPr>
        <w:pStyle w:val="BodyText"/>
        <w:spacing w:line="266" w:lineRule="auto" w:before="27"/>
        <w:ind w:left="793" w:right="1322"/>
      </w:pPr>
      <w:r>
        <w:rPr>
          <w:color w:val="231F20"/>
        </w:rPr>
        <w:t>the views, opinions, or policies of SAMHSA. Nothing in this document constitutes a direct or indirect</w:t>
      </w:r>
      <w:r>
        <w:rPr>
          <w:color w:val="231F20"/>
          <w:spacing w:val="1"/>
        </w:rPr>
        <w:t> </w:t>
      </w:r>
      <w:r>
        <w:rPr>
          <w:color w:val="231F20"/>
          <w:spacing w:val="-2"/>
        </w:rPr>
        <w:t>endorsement</w:t>
      </w:r>
      <w:r>
        <w:rPr>
          <w:color w:val="231F20"/>
          <w:spacing w:val="-4"/>
        </w:rPr>
        <w:t> </w:t>
      </w:r>
      <w:r>
        <w:rPr>
          <w:color w:val="231F20"/>
          <w:spacing w:val="-2"/>
        </w:rPr>
        <w:t>by</w:t>
      </w:r>
      <w:r>
        <w:rPr>
          <w:color w:val="231F20"/>
          <w:spacing w:val="-4"/>
        </w:rPr>
        <w:t> </w:t>
      </w:r>
      <w:r>
        <w:rPr>
          <w:color w:val="231F20"/>
          <w:spacing w:val="-2"/>
        </w:rPr>
        <w:t>SAMHSA</w:t>
      </w:r>
      <w:r>
        <w:rPr>
          <w:color w:val="231F20"/>
          <w:spacing w:val="-17"/>
        </w:rPr>
        <w:t> </w:t>
      </w:r>
      <w:r>
        <w:rPr>
          <w:color w:val="231F20"/>
          <w:spacing w:val="-2"/>
        </w:rPr>
        <w:t>of</w:t>
      </w:r>
      <w:r>
        <w:rPr>
          <w:color w:val="231F20"/>
          <w:spacing w:val="-4"/>
        </w:rPr>
        <w:t> </w:t>
      </w:r>
      <w:r>
        <w:rPr>
          <w:color w:val="231F20"/>
          <w:spacing w:val="-2"/>
        </w:rPr>
        <w:t>any</w:t>
      </w:r>
      <w:r>
        <w:rPr>
          <w:color w:val="231F20"/>
          <w:spacing w:val="-3"/>
        </w:rPr>
        <w:t> </w:t>
      </w:r>
      <w:r>
        <w:rPr>
          <w:color w:val="231F20"/>
          <w:spacing w:val="-2"/>
        </w:rPr>
        <w:t>non-federal</w:t>
      </w:r>
      <w:r>
        <w:rPr>
          <w:color w:val="231F20"/>
          <w:spacing w:val="-4"/>
        </w:rPr>
        <w:t> </w:t>
      </w:r>
      <w:r>
        <w:rPr>
          <w:color w:val="231F20"/>
          <w:spacing w:val="-2"/>
        </w:rPr>
        <w:t>entity’s</w:t>
      </w:r>
      <w:r>
        <w:rPr>
          <w:color w:val="231F20"/>
          <w:spacing w:val="-5"/>
        </w:rPr>
        <w:t> </w:t>
      </w:r>
      <w:r>
        <w:rPr>
          <w:color w:val="231F20"/>
          <w:spacing w:val="-2"/>
        </w:rPr>
        <w:t>products,</w:t>
      </w:r>
      <w:r>
        <w:rPr>
          <w:color w:val="231F20"/>
          <w:spacing w:val="-3"/>
        </w:rPr>
        <w:t> </w:t>
      </w:r>
      <w:r>
        <w:rPr>
          <w:color w:val="231F20"/>
          <w:spacing w:val="-2"/>
        </w:rPr>
        <w:t>services,</w:t>
      </w:r>
      <w:r>
        <w:rPr>
          <w:color w:val="231F20"/>
          <w:spacing w:val="-5"/>
        </w:rPr>
        <w:t> </w:t>
      </w:r>
      <w:r>
        <w:rPr>
          <w:color w:val="231F20"/>
          <w:spacing w:val="-2"/>
        </w:rPr>
        <w:t>or</w:t>
      </w:r>
      <w:r>
        <w:rPr>
          <w:color w:val="231F20"/>
          <w:spacing w:val="-4"/>
        </w:rPr>
        <w:t> </w:t>
      </w:r>
      <w:r>
        <w:rPr>
          <w:color w:val="231F20"/>
          <w:spacing w:val="-2"/>
        </w:rPr>
        <w:t>policies,</w:t>
      </w:r>
      <w:r>
        <w:rPr>
          <w:color w:val="231F20"/>
          <w:spacing w:val="-4"/>
        </w:rPr>
        <w:t> </w:t>
      </w:r>
      <w:r>
        <w:rPr>
          <w:color w:val="231F20"/>
          <w:spacing w:val="-2"/>
        </w:rPr>
        <w:t>and</w:t>
      </w:r>
      <w:r>
        <w:rPr>
          <w:color w:val="231F20"/>
          <w:spacing w:val="-3"/>
        </w:rPr>
        <w:t> </w:t>
      </w:r>
      <w:r>
        <w:rPr>
          <w:color w:val="231F20"/>
          <w:spacing w:val="-2"/>
        </w:rPr>
        <w:t>any</w:t>
      </w:r>
      <w:r>
        <w:rPr>
          <w:color w:val="231F20"/>
          <w:spacing w:val="-4"/>
        </w:rPr>
        <w:t> </w:t>
      </w:r>
      <w:r>
        <w:rPr>
          <w:color w:val="231F20"/>
          <w:spacing w:val="-2"/>
        </w:rPr>
        <w:t>reference</w:t>
      </w:r>
      <w:r>
        <w:rPr>
          <w:color w:val="231F20"/>
          <w:spacing w:val="-4"/>
        </w:rPr>
        <w:t> </w:t>
      </w:r>
      <w:r>
        <w:rPr>
          <w:color w:val="231F20"/>
          <w:spacing w:val="-2"/>
        </w:rPr>
        <w:t>to</w:t>
      </w:r>
      <w:r>
        <w:rPr>
          <w:color w:val="231F20"/>
          <w:spacing w:val="-4"/>
        </w:rPr>
        <w:t> </w:t>
      </w:r>
      <w:r>
        <w:rPr>
          <w:color w:val="231F20"/>
          <w:spacing w:val="-2"/>
        </w:rPr>
        <w:t>non-</w:t>
      </w:r>
      <w:r>
        <w:rPr>
          <w:color w:val="231F20"/>
          <w:spacing w:val="-52"/>
        </w:rPr>
        <w:t> </w:t>
      </w:r>
      <w:r>
        <w:rPr>
          <w:color w:val="231F20"/>
        </w:rPr>
        <w:t>federal</w:t>
      </w:r>
      <w:r>
        <w:rPr>
          <w:color w:val="231F20"/>
          <w:spacing w:val="-7"/>
        </w:rPr>
        <w:t> </w:t>
      </w:r>
      <w:r>
        <w:rPr>
          <w:color w:val="231F20"/>
        </w:rPr>
        <w:t>entity’s</w:t>
      </w:r>
      <w:r>
        <w:rPr>
          <w:color w:val="231F20"/>
          <w:spacing w:val="-7"/>
        </w:rPr>
        <w:t> </w:t>
      </w:r>
      <w:r>
        <w:rPr>
          <w:color w:val="231F20"/>
        </w:rPr>
        <w:t>products,</w:t>
      </w:r>
      <w:r>
        <w:rPr>
          <w:color w:val="231F20"/>
          <w:spacing w:val="-6"/>
        </w:rPr>
        <w:t> </w:t>
      </w:r>
      <w:r>
        <w:rPr>
          <w:color w:val="231F20"/>
        </w:rPr>
        <w:t>services,</w:t>
      </w:r>
      <w:r>
        <w:rPr>
          <w:color w:val="231F20"/>
          <w:spacing w:val="-7"/>
        </w:rPr>
        <w:t> </w:t>
      </w:r>
      <w:r>
        <w:rPr>
          <w:color w:val="231F20"/>
        </w:rPr>
        <w:t>or</w:t>
      </w:r>
      <w:r>
        <w:rPr>
          <w:color w:val="231F20"/>
          <w:spacing w:val="-7"/>
        </w:rPr>
        <w:t> </w:t>
      </w:r>
      <w:r>
        <w:rPr>
          <w:color w:val="231F20"/>
        </w:rPr>
        <w:t>policies</w:t>
      </w:r>
      <w:r>
        <w:rPr>
          <w:color w:val="231F20"/>
          <w:spacing w:val="-6"/>
        </w:rPr>
        <w:t> </w:t>
      </w:r>
      <w:r>
        <w:rPr>
          <w:color w:val="231F20"/>
        </w:rPr>
        <w:t>should</w:t>
      </w:r>
      <w:r>
        <w:rPr>
          <w:color w:val="231F20"/>
          <w:spacing w:val="-7"/>
        </w:rPr>
        <w:t> </w:t>
      </w:r>
      <w:r>
        <w:rPr>
          <w:color w:val="231F20"/>
        </w:rPr>
        <w:t>not</w:t>
      </w:r>
      <w:r>
        <w:rPr>
          <w:color w:val="231F20"/>
          <w:spacing w:val="-6"/>
        </w:rPr>
        <w:t> </w:t>
      </w:r>
      <w:r>
        <w:rPr>
          <w:color w:val="231F20"/>
        </w:rPr>
        <w:t>be</w:t>
      </w:r>
      <w:r>
        <w:rPr>
          <w:color w:val="231F20"/>
          <w:spacing w:val="-6"/>
        </w:rPr>
        <w:t> </w:t>
      </w:r>
      <w:r>
        <w:rPr>
          <w:color w:val="231F20"/>
        </w:rPr>
        <w:t>construed</w:t>
      </w:r>
      <w:r>
        <w:rPr>
          <w:color w:val="231F20"/>
          <w:spacing w:val="-7"/>
        </w:rPr>
        <w:t> </w:t>
      </w:r>
      <w:r>
        <w:rPr>
          <w:color w:val="231F20"/>
        </w:rPr>
        <w:t>as</w:t>
      </w:r>
      <w:r>
        <w:rPr>
          <w:color w:val="231F20"/>
          <w:spacing w:val="-6"/>
        </w:rPr>
        <w:t> </w:t>
      </w:r>
      <w:r>
        <w:rPr>
          <w:color w:val="231F20"/>
        </w:rPr>
        <w:t>such.</w:t>
      </w:r>
    </w:p>
    <w:p>
      <w:pPr>
        <w:spacing w:before="83"/>
        <w:ind w:left="793" w:right="0" w:firstLine="0"/>
        <w:jc w:val="left"/>
        <w:rPr>
          <w:rFonts w:ascii="Arial Black"/>
          <w:sz w:val="21"/>
        </w:rPr>
      </w:pPr>
      <w:r>
        <w:rPr>
          <w:rFonts w:ascii="Arial Black"/>
          <w:color w:val="CF382D"/>
          <w:sz w:val="21"/>
        </w:rPr>
        <w:t>Public</w:t>
      </w:r>
      <w:r>
        <w:rPr>
          <w:rFonts w:ascii="Arial Black"/>
          <w:color w:val="CF382D"/>
          <w:spacing w:val="-3"/>
          <w:sz w:val="21"/>
        </w:rPr>
        <w:t> </w:t>
      </w:r>
      <w:r>
        <w:rPr>
          <w:rFonts w:ascii="Arial Black"/>
          <w:color w:val="CF382D"/>
          <w:sz w:val="21"/>
        </w:rPr>
        <w:t>Domain</w:t>
      </w:r>
      <w:r>
        <w:rPr>
          <w:rFonts w:ascii="Arial Black"/>
          <w:color w:val="CF382D"/>
          <w:spacing w:val="-3"/>
          <w:sz w:val="21"/>
        </w:rPr>
        <w:t> </w:t>
      </w:r>
      <w:r>
        <w:rPr>
          <w:rFonts w:ascii="Arial Black"/>
          <w:color w:val="CF382D"/>
          <w:sz w:val="21"/>
        </w:rPr>
        <w:t>Notice</w:t>
      </w:r>
    </w:p>
    <w:p>
      <w:pPr>
        <w:pStyle w:val="BodyText"/>
        <w:spacing w:line="266" w:lineRule="auto" w:before="49"/>
        <w:ind w:left="793" w:right="1322"/>
      </w:pPr>
      <w:r>
        <w:rPr>
          <w:color w:val="231F20"/>
        </w:rPr>
        <w:t>All material appearing in this publication is in the public domain and may be reproduced or copied without</w:t>
      </w:r>
      <w:r>
        <w:rPr>
          <w:color w:val="231F20"/>
          <w:spacing w:val="1"/>
        </w:rPr>
        <w:t> </w:t>
      </w:r>
      <w:r>
        <w:rPr>
          <w:color w:val="231F20"/>
        </w:rPr>
        <w:t>permission from SAMHSA. Citation of the source is appreciated. However, this publication may not be</w:t>
      </w:r>
      <w:r>
        <w:rPr>
          <w:color w:val="231F20"/>
          <w:spacing w:val="1"/>
        </w:rPr>
        <w:t> </w:t>
      </w:r>
      <w:r>
        <w:rPr>
          <w:color w:val="231F20"/>
          <w:spacing w:val="-1"/>
        </w:rPr>
        <w:t>reproduced</w:t>
      </w:r>
      <w:r>
        <w:rPr>
          <w:color w:val="231F20"/>
          <w:spacing w:val="-12"/>
        </w:rPr>
        <w:t> </w:t>
      </w:r>
      <w:r>
        <w:rPr>
          <w:color w:val="231F20"/>
          <w:spacing w:val="-1"/>
        </w:rPr>
        <w:t>or</w:t>
      </w:r>
      <w:r>
        <w:rPr>
          <w:color w:val="231F20"/>
          <w:spacing w:val="-11"/>
        </w:rPr>
        <w:t> </w:t>
      </w:r>
      <w:r>
        <w:rPr>
          <w:color w:val="231F20"/>
          <w:spacing w:val="-1"/>
        </w:rPr>
        <w:t>distributed</w:t>
      </w:r>
      <w:r>
        <w:rPr>
          <w:color w:val="231F20"/>
          <w:spacing w:val="-12"/>
        </w:rPr>
        <w:t> </w:t>
      </w:r>
      <w:r>
        <w:rPr>
          <w:color w:val="231F20"/>
          <w:spacing w:val="-1"/>
        </w:rPr>
        <w:t>for</w:t>
      </w:r>
      <w:r>
        <w:rPr>
          <w:color w:val="231F20"/>
          <w:spacing w:val="-11"/>
        </w:rPr>
        <w:t> </w:t>
      </w:r>
      <w:r>
        <w:rPr>
          <w:color w:val="231F20"/>
          <w:spacing w:val="-1"/>
        </w:rPr>
        <w:t>a</w:t>
      </w:r>
      <w:r>
        <w:rPr>
          <w:color w:val="231F20"/>
          <w:spacing w:val="-12"/>
        </w:rPr>
        <w:t> </w:t>
      </w:r>
      <w:r>
        <w:rPr>
          <w:color w:val="231F20"/>
          <w:spacing w:val="-1"/>
        </w:rPr>
        <w:t>fee</w:t>
      </w:r>
      <w:r>
        <w:rPr>
          <w:color w:val="231F20"/>
          <w:spacing w:val="-11"/>
        </w:rPr>
        <w:t> </w:t>
      </w:r>
      <w:r>
        <w:rPr>
          <w:color w:val="231F20"/>
          <w:spacing w:val="-1"/>
        </w:rPr>
        <w:t>without</w:t>
      </w:r>
      <w:r>
        <w:rPr>
          <w:color w:val="231F20"/>
          <w:spacing w:val="-12"/>
        </w:rPr>
        <w:t> </w:t>
      </w:r>
      <w:r>
        <w:rPr>
          <w:color w:val="231F20"/>
          <w:spacing w:val="-1"/>
        </w:rPr>
        <w:t>the</w:t>
      </w:r>
      <w:r>
        <w:rPr>
          <w:color w:val="231F20"/>
          <w:spacing w:val="-12"/>
        </w:rPr>
        <w:t> </w:t>
      </w:r>
      <w:r>
        <w:rPr>
          <w:color w:val="231F20"/>
          <w:spacing w:val="-1"/>
        </w:rPr>
        <w:t>specific,</w:t>
      </w:r>
      <w:r>
        <w:rPr>
          <w:color w:val="231F20"/>
          <w:spacing w:val="-12"/>
        </w:rPr>
        <w:t> </w:t>
      </w:r>
      <w:r>
        <w:rPr>
          <w:color w:val="231F20"/>
          <w:spacing w:val="-1"/>
        </w:rPr>
        <w:t>written</w:t>
      </w:r>
      <w:r>
        <w:rPr>
          <w:color w:val="231F20"/>
          <w:spacing w:val="-11"/>
        </w:rPr>
        <w:t> </w:t>
      </w:r>
      <w:r>
        <w:rPr>
          <w:color w:val="231F20"/>
          <w:spacing w:val="-1"/>
        </w:rPr>
        <w:t>authorization</w:t>
      </w:r>
      <w:r>
        <w:rPr>
          <w:color w:val="231F20"/>
          <w:spacing w:val="-12"/>
        </w:rPr>
        <w:t> </w:t>
      </w:r>
      <w:r>
        <w:rPr>
          <w:color w:val="231F20"/>
          <w:spacing w:val="-1"/>
        </w:rPr>
        <w:t>of</w:t>
      </w:r>
      <w:r>
        <w:rPr>
          <w:color w:val="231F20"/>
          <w:spacing w:val="-11"/>
        </w:rPr>
        <w:t> </w:t>
      </w:r>
      <w:r>
        <w:rPr>
          <w:color w:val="231F20"/>
          <w:spacing w:val="-1"/>
        </w:rPr>
        <w:t>the</w:t>
      </w:r>
      <w:r>
        <w:rPr>
          <w:color w:val="231F20"/>
          <w:spacing w:val="-11"/>
        </w:rPr>
        <w:t> </w:t>
      </w:r>
      <w:r>
        <w:rPr>
          <w:color w:val="231F20"/>
          <w:spacing w:val="-1"/>
        </w:rPr>
        <w:t>Office</w:t>
      </w:r>
      <w:r>
        <w:rPr>
          <w:color w:val="231F20"/>
          <w:spacing w:val="-13"/>
        </w:rPr>
        <w:t> </w:t>
      </w:r>
      <w:r>
        <w:rPr>
          <w:color w:val="231F20"/>
          <w:spacing w:val="-1"/>
        </w:rPr>
        <w:t>of</w:t>
      </w:r>
      <w:r>
        <w:rPr>
          <w:color w:val="231F20"/>
          <w:spacing w:val="-11"/>
        </w:rPr>
        <w:t> </w:t>
      </w:r>
      <w:r>
        <w:rPr>
          <w:color w:val="231F20"/>
          <w:spacing w:val="-1"/>
        </w:rPr>
        <w:t>Communications,</w:t>
      </w:r>
      <w:r>
        <w:rPr>
          <w:color w:val="231F20"/>
          <w:spacing w:val="-52"/>
        </w:rPr>
        <w:t> </w:t>
      </w:r>
      <w:r>
        <w:rPr>
          <w:color w:val="231F20"/>
        </w:rPr>
        <w:t>SAMHSA,</w:t>
      </w:r>
      <w:r>
        <w:rPr>
          <w:color w:val="231F20"/>
          <w:spacing w:val="-6"/>
        </w:rPr>
        <w:t> </w:t>
      </w:r>
      <w:r>
        <w:rPr>
          <w:color w:val="231F20"/>
        </w:rPr>
        <w:t>HHS.</w:t>
      </w:r>
    </w:p>
    <w:p>
      <w:pPr>
        <w:spacing w:before="82"/>
        <w:ind w:left="793" w:right="0" w:firstLine="0"/>
        <w:jc w:val="left"/>
        <w:rPr>
          <w:rFonts w:ascii="Arial Black"/>
          <w:sz w:val="21"/>
        </w:rPr>
      </w:pPr>
      <w:r>
        <w:rPr>
          <w:rFonts w:ascii="Arial Black"/>
          <w:color w:val="CF382D"/>
          <w:sz w:val="21"/>
        </w:rPr>
        <w:t>Electronic</w:t>
      </w:r>
      <w:r>
        <w:rPr>
          <w:rFonts w:ascii="Arial Black"/>
          <w:color w:val="CF382D"/>
          <w:spacing w:val="-2"/>
          <w:sz w:val="21"/>
        </w:rPr>
        <w:t> </w:t>
      </w:r>
      <w:r>
        <w:rPr>
          <w:rFonts w:ascii="Arial Black"/>
          <w:color w:val="CF382D"/>
          <w:sz w:val="21"/>
        </w:rPr>
        <w:t>Access</w:t>
      </w:r>
    </w:p>
    <w:p>
      <w:pPr>
        <w:pStyle w:val="BodyText"/>
        <w:spacing w:before="50"/>
        <w:ind w:left="793"/>
      </w:pPr>
      <w:r>
        <w:rPr>
          <w:color w:val="231F20"/>
          <w:spacing w:val="-1"/>
        </w:rPr>
        <w:t>This</w:t>
      </w:r>
      <w:r>
        <w:rPr>
          <w:color w:val="231F20"/>
          <w:spacing w:val="-11"/>
        </w:rPr>
        <w:t> </w:t>
      </w:r>
      <w:r>
        <w:rPr>
          <w:color w:val="231F20"/>
          <w:spacing w:val="-1"/>
        </w:rPr>
        <w:t>publication</w:t>
      </w:r>
      <w:r>
        <w:rPr>
          <w:color w:val="231F20"/>
          <w:spacing w:val="-10"/>
        </w:rPr>
        <w:t> </w:t>
      </w:r>
      <w:r>
        <w:rPr>
          <w:color w:val="231F20"/>
          <w:spacing w:val="-1"/>
        </w:rPr>
        <w:t>may</w:t>
      </w:r>
      <w:r>
        <w:rPr>
          <w:color w:val="231F20"/>
          <w:spacing w:val="-10"/>
        </w:rPr>
        <w:t> </w:t>
      </w:r>
      <w:r>
        <w:rPr>
          <w:color w:val="231F20"/>
          <w:spacing w:val="-1"/>
        </w:rPr>
        <w:t>be</w:t>
      </w:r>
      <w:r>
        <w:rPr>
          <w:color w:val="231F20"/>
          <w:spacing w:val="-10"/>
        </w:rPr>
        <w:t> </w:t>
      </w:r>
      <w:r>
        <w:rPr>
          <w:color w:val="231F20"/>
          <w:spacing w:val="-1"/>
        </w:rPr>
        <w:t>downloaded</w:t>
      </w:r>
      <w:r>
        <w:rPr>
          <w:color w:val="231F20"/>
          <w:spacing w:val="-10"/>
        </w:rPr>
        <w:t> </w:t>
      </w:r>
      <w:r>
        <w:rPr>
          <w:color w:val="231F20"/>
          <w:spacing w:val="-1"/>
        </w:rPr>
        <w:t>from</w:t>
      </w:r>
      <w:r>
        <w:rPr>
          <w:color w:val="231F20"/>
          <w:spacing w:val="-11"/>
        </w:rPr>
        <w:t> </w:t>
      </w:r>
      <w:hyperlink r:id="rId8">
        <w:r>
          <w:rPr>
            <w:color w:val="3953A4"/>
            <w:spacing w:val="-1"/>
            <w:u w:val="single" w:color="3953A4"/>
          </w:rPr>
          <w:t>http://store.samhsa.gov</w:t>
        </w:r>
      </w:hyperlink>
    </w:p>
    <w:p>
      <w:pPr>
        <w:spacing w:before="112"/>
        <w:ind w:left="793" w:right="0" w:firstLine="0"/>
        <w:jc w:val="left"/>
        <w:rPr>
          <w:rFonts w:ascii="Arial Black"/>
          <w:sz w:val="21"/>
        </w:rPr>
      </w:pPr>
      <w:r>
        <w:rPr>
          <w:rFonts w:ascii="Arial Black"/>
          <w:color w:val="CF382D"/>
          <w:sz w:val="21"/>
        </w:rPr>
        <w:t>Recommended</w:t>
      </w:r>
      <w:r>
        <w:rPr>
          <w:rFonts w:ascii="Arial Black"/>
          <w:color w:val="CF382D"/>
          <w:spacing w:val="-6"/>
          <w:sz w:val="21"/>
        </w:rPr>
        <w:t> </w:t>
      </w:r>
      <w:r>
        <w:rPr>
          <w:rFonts w:ascii="Arial Black"/>
          <w:color w:val="CF382D"/>
          <w:sz w:val="21"/>
        </w:rPr>
        <w:t>Citation</w:t>
      </w:r>
    </w:p>
    <w:p>
      <w:pPr>
        <w:spacing w:line="266" w:lineRule="auto" w:before="50"/>
        <w:ind w:left="793" w:right="1564" w:firstLine="0"/>
        <w:jc w:val="left"/>
        <w:rPr>
          <w:sz w:val="22"/>
        </w:rPr>
      </w:pPr>
      <w:r>
        <w:rPr>
          <w:color w:val="231F20"/>
          <w:spacing w:val="-3"/>
          <w:sz w:val="22"/>
        </w:rPr>
        <w:t>Substance</w:t>
      </w:r>
      <w:r>
        <w:rPr>
          <w:color w:val="231F20"/>
          <w:spacing w:val="-8"/>
          <w:sz w:val="22"/>
        </w:rPr>
        <w:t> </w:t>
      </w:r>
      <w:r>
        <w:rPr>
          <w:color w:val="231F20"/>
          <w:spacing w:val="-3"/>
          <w:sz w:val="22"/>
        </w:rPr>
        <w:t>Abuse</w:t>
      </w:r>
      <w:r>
        <w:rPr>
          <w:color w:val="231F20"/>
          <w:spacing w:val="4"/>
          <w:sz w:val="22"/>
        </w:rPr>
        <w:t> </w:t>
      </w:r>
      <w:r>
        <w:rPr>
          <w:color w:val="231F20"/>
          <w:spacing w:val="-3"/>
          <w:sz w:val="22"/>
        </w:rPr>
        <w:t>and</w:t>
      </w:r>
      <w:r>
        <w:rPr>
          <w:color w:val="231F20"/>
          <w:spacing w:val="5"/>
          <w:sz w:val="22"/>
        </w:rPr>
        <w:t> </w:t>
      </w:r>
      <w:r>
        <w:rPr>
          <w:color w:val="231F20"/>
          <w:spacing w:val="-3"/>
          <w:sz w:val="22"/>
        </w:rPr>
        <w:t>Mental</w:t>
      </w:r>
      <w:r>
        <w:rPr>
          <w:color w:val="231F20"/>
          <w:spacing w:val="4"/>
          <w:sz w:val="22"/>
        </w:rPr>
        <w:t> </w:t>
      </w:r>
      <w:r>
        <w:rPr>
          <w:color w:val="231F20"/>
          <w:spacing w:val="-3"/>
          <w:sz w:val="22"/>
        </w:rPr>
        <w:t>Health</w:t>
      </w:r>
      <w:r>
        <w:rPr>
          <w:color w:val="231F20"/>
          <w:spacing w:val="4"/>
          <w:sz w:val="22"/>
        </w:rPr>
        <w:t> </w:t>
      </w:r>
      <w:r>
        <w:rPr>
          <w:color w:val="231F20"/>
          <w:spacing w:val="-3"/>
          <w:sz w:val="22"/>
        </w:rPr>
        <w:t>Services</w:t>
      </w:r>
      <w:r>
        <w:rPr>
          <w:color w:val="231F20"/>
          <w:spacing w:val="-8"/>
          <w:sz w:val="22"/>
        </w:rPr>
        <w:t> </w:t>
      </w:r>
      <w:r>
        <w:rPr>
          <w:color w:val="231F20"/>
          <w:spacing w:val="-3"/>
          <w:sz w:val="22"/>
        </w:rPr>
        <w:t>Administration</w:t>
      </w:r>
      <w:r>
        <w:rPr>
          <w:color w:val="231F20"/>
          <w:spacing w:val="4"/>
          <w:sz w:val="22"/>
        </w:rPr>
        <w:t> </w:t>
      </w:r>
      <w:r>
        <w:rPr>
          <w:color w:val="231F20"/>
          <w:spacing w:val="-2"/>
          <w:sz w:val="22"/>
        </w:rPr>
        <w:t>(SAMHSA).</w:t>
      </w:r>
      <w:r>
        <w:rPr>
          <w:color w:val="231F20"/>
          <w:spacing w:val="9"/>
          <w:sz w:val="22"/>
        </w:rPr>
        <w:t> </w:t>
      </w:r>
      <w:r>
        <w:rPr>
          <w:i/>
          <w:color w:val="231F20"/>
          <w:spacing w:val="-2"/>
          <w:sz w:val="22"/>
        </w:rPr>
        <w:t>Prevention</w:t>
      </w:r>
      <w:r>
        <w:rPr>
          <w:i/>
          <w:color w:val="231F20"/>
          <w:spacing w:val="5"/>
          <w:sz w:val="22"/>
        </w:rPr>
        <w:t> </w:t>
      </w:r>
      <w:r>
        <w:rPr>
          <w:i/>
          <w:color w:val="231F20"/>
          <w:spacing w:val="-2"/>
          <w:sz w:val="22"/>
        </w:rPr>
        <w:t>and</w:t>
      </w:r>
      <w:r>
        <w:rPr>
          <w:i/>
          <w:color w:val="231F20"/>
          <w:spacing w:val="5"/>
          <w:sz w:val="22"/>
        </w:rPr>
        <w:t> </w:t>
      </w:r>
      <w:r>
        <w:rPr>
          <w:i/>
          <w:color w:val="231F20"/>
          <w:spacing w:val="-2"/>
          <w:sz w:val="22"/>
        </w:rPr>
        <w:t>Treatment</w:t>
      </w:r>
      <w:r>
        <w:rPr>
          <w:i/>
          <w:color w:val="231F20"/>
          <w:spacing w:val="4"/>
          <w:sz w:val="22"/>
        </w:rPr>
        <w:t> </w:t>
      </w:r>
      <w:r>
        <w:rPr>
          <w:i/>
          <w:color w:val="231F20"/>
          <w:spacing w:val="-2"/>
          <w:sz w:val="22"/>
        </w:rPr>
        <w:t>of</w:t>
      </w:r>
      <w:r>
        <w:rPr>
          <w:i/>
          <w:color w:val="231F20"/>
          <w:spacing w:val="-1"/>
          <w:sz w:val="22"/>
        </w:rPr>
        <w:t> </w:t>
      </w:r>
      <w:r>
        <w:rPr>
          <w:i/>
          <w:color w:val="231F20"/>
          <w:spacing w:val="-2"/>
          <w:sz w:val="22"/>
        </w:rPr>
        <w:t>HIV</w:t>
      </w:r>
      <w:r>
        <w:rPr>
          <w:i/>
          <w:color w:val="231F20"/>
          <w:spacing w:val="-12"/>
          <w:sz w:val="22"/>
        </w:rPr>
        <w:t> </w:t>
      </w:r>
      <w:r>
        <w:rPr>
          <w:i/>
          <w:color w:val="231F20"/>
          <w:spacing w:val="-2"/>
          <w:sz w:val="22"/>
        </w:rPr>
        <w:t>Among</w:t>
      </w:r>
      <w:r>
        <w:rPr>
          <w:i/>
          <w:color w:val="231F20"/>
          <w:spacing w:val="-8"/>
          <w:sz w:val="22"/>
        </w:rPr>
        <w:t> </w:t>
      </w:r>
      <w:r>
        <w:rPr>
          <w:i/>
          <w:color w:val="231F20"/>
          <w:spacing w:val="-2"/>
          <w:sz w:val="22"/>
        </w:rPr>
        <w:t>People</w:t>
      </w:r>
      <w:r>
        <w:rPr>
          <w:i/>
          <w:color w:val="231F20"/>
          <w:spacing w:val="-8"/>
          <w:sz w:val="22"/>
        </w:rPr>
        <w:t> </w:t>
      </w:r>
      <w:r>
        <w:rPr>
          <w:i/>
          <w:color w:val="231F20"/>
          <w:spacing w:val="-2"/>
          <w:sz w:val="22"/>
        </w:rPr>
        <w:t>Living</w:t>
      </w:r>
      <w:r>
        <w:rPr>
          <w:i/>
          <w:color w:val="231F20"/>
          <w:spacing w:val="-9"/>
          <w:sz w:val="22"/>
        </w:rPr>
        <w:t> </w:t>
      </w:r>
      <w:r>
        <w:rPr>
          <w:i/>
          <w:color w:val="231F20"/>
          <w:spacing w:val="-2"/>
          <w:sz w:val="22"/>
        </w:rPr>
        <w:t>with</w:t>
      </w:r>
      <w:r>
        <w:rPr>
          <w:i/>
          <w:color w:val="231F20"/>
          <w:spacing w:val="-8"/>
          <w:sz w:val="22"/>
        </w:rPr>
        <w:t> </w:t>
      </w:r>
      <w:r>
        <w:rPr>
          <w:i/>
          <w:color w:val="231F20"/>
          <w:spacing w:val="-2"/>
          <w:sz w:val="22"/>
        </w:rPr>
        <w:t>Substance</w:t>
      </w:r>
      <w:r>
        <w:rPr>
          <w:i/>
          <w:color w:val="231F20"/>
          <w:spacing w:val="-8"/>
          <w:sz w:val="22"/>
        </w:rPr>
        <w:t> </w:t>
      </w:r>
      <w:r>
        <w:rPr>
          <w:i/>
          <w:color w:val="231F20"/>
          <w:spacing w:val="-2"/>
          <w:sz w:val="22"/>
        </w:rPr>
        <w:t>Use</w:t>
      </w:r>
      <w:r>
        <w:rPr>
          <w:i/>
          <w:color w:val="231F20"/>
          <w:spacing w:val="-9"/>
          <w:sz w:val="22"/>
        </w:rPr>
        <w:t> </w:t>
      </w:r>
      <w:r>
        <w:rPr>
          <w:i/>
          <w:color w:val="231F20"/>
          <w:spacing w:val="-2"/>
          <w:sz w:val="22"/>
        </w:rPr>
        <w:t>and/or</w:t>
      </w:r>
      <w:r>
        <w:rPr>
          <w:i/>
          <w:color w:val="231F20"/>
          <w:spacing w:val="-8"/>
          <w:sz w:val="22"/>
        </w:rPr>
        <w:t> </w:t>
      </w:r>
      <w:r>
        <w:rPr>
          <w:i/>
          <w:color w:val="231F20"/>
          <w:spacing w:val="-2"/>
          <w:sz w:val="22"/>
        </w:rPr>
        <w:t>Mental</w:t>
      </w:r>
      <w:r>
        <w:rPr>
          <w:i/>
          <w:color w:val="231F20"/>
          <w:spacing w:val="-8"/>
          <w:sz w:val="22"/>
        </w:rPr>
        <w:t> </w:t>
      </w:r>
      <w:r>
        <w:rPr>
          <w:i/>
          <w:color w:val="231F20"/>
          <w:spacing w:val="-2"/>
          <w:sz w:val="22"/>
        </w:rPr>
        <w:t>Disorders</w:t>
      </w:r>
      <w:r>
        <w:rPr>
          <w:color w:val="231F20"/>
          <w:spacing w:val="-2"/>
          <w:sz w:val="22"/>
        </w:rPr>
        <w:t>.</w:t>
      </w:r>
      <w:r>
        <w:rPr>
          <w:color w:val="231F20"/>
          <w:spacing w:val="-8"/>
          <w:sz w:val="22"/>
        </w:rPr>
        <w:t> </w:t>
      </w:r>
      <w:r>
        <w:rPr>
          <w:color w:val="231F20"/>
          <w:spacing w:val="-1"/>
          <w:sz w:val="22"/>
        </w:rPr>
        <w:t>Publication</w:t>
      </w:r>
      <w:r>
        <w:rPr>
          <w:color w:val="231F20"/>
          <w:spacing w:val="-9"/>
          <w:sz w:val="22"/>
        </w:rPr>
        <w:t> </w:t>
      </w:r>
      <w:r>
        <w:rPr>
          <w:color w:val="231F20"/>
          <w:spacing w:val="-1"/>
          <w:sz w:val="22"/>
        </w:rPr>
        <w:t>No.</w:t>
      </w:r>
      <w:r>
        <w:rPr>
          <w:color w:val="231F20"/>
          <w:spacing w:val="-9"/>
          <w:sz w:val="22"/>
        </w:rPr>
        <w:t> </w:t>
      </w:r>
      <w:r>
        <w:rPr>
          <w:color w:val="231F20"/>
          <w:spacing w:val="-1"/>
          <w:sz w:val="22"/>
        </w:rPr>
        <w:t>PEP20-06-03-001</w:t>
      </w:r>
      <w:r>
        <w:rPr>
          <w:color w:val="231F20"/>
          <w:sz w:val="22"/>
        </w:rPr>
        <w:t> </w:t>
      </w:r>
      <w:r>
        <w:rPr>
          <w:color w:val="231F20"/>
          <w:spacing w:val="-3"/>
          <w:sz w:val="22"/>
        </w:rPr>
        <w:t>Rockville, MD: National Mental Health and Substance </w:t>
      </w:r>
      <w:r>
        <w:rPr>
          <w:color w:val="231F20"/>
          <w:spacing w:val="-2"/>
          <w:sz w:val="22"/>
        </w:rPr>
        <w:t>Use Policy Laboratory. Substance Abuse and Mental</w:t>
      </w:r>
      <w:r>
        <w:rPr>
          <w:color w:val="231F20"/>
          <w:spacing w:val="-52"/>
          <w:sz w:val="22"/>
        </w:rPr>
        <w:t> </w:t>
      </w:r>
      <w:r>
        <w:rPr>
          <w:color w:val="231F20"/>
          <w:sz w:val="22"/>
        </w:rPr>
        <w:t>Health</w:t>
      </w:r>
      <w:r>
        <w:rPr>
          <w:color w:val="231F20"/>
          <w:spacing w:val="-6"/>
          <w:sz w:val="22"/>
        </w:rPr>
        <w:t> </w:t>
      </w:r>
      <w:r>
        <w:rPr>
          <w:color w:val="231F20"/>
          <w:sz w:val="22"/>
        </w:rPr>
        <w:t>Services</w:t>
      </w:r>
      <w:r>
        <w:rPr>
          <w:color w:val="231F20"/>
          <w:spacing w:val="-18"/>
          <w:sz w:val="22"/>
        </w:rPr>
        <w:t> </w:t>
      </w:r>
      <w:r>
        <w:rPr>
          <w:color w:val="231F20"/>
          <w:sz w:val="22"/>
        </w:rPr>
        <w:t>Administration,</w:t>
      </w:r>
      <w:r>
        <w:rPr>
          <w:color w:val="231F20"/>
          <w:spacing w:val="-5"/>
          <w:sz w:val="22"/>
        </w:rPr>
        <w:t> </w:t>
      </w:r>
      <w:r>
        <w:rPr>
          <w:color w:val="231F20"/>
          <w:sz w:val="22"/>
        </w:rPr>
        <w:t>2020.</w:t>
      </w:r>
    </w:p>
    <w:p>
      <w:pPr>
        <w:spacing w:before="82"/>
        <w:ind w:left="793" w:right="0" w:firstLine="0"/>
        <w:jc w:val="left"/>
        <w:rPr>
          <w:rFonts w:ascii="Arial Black"/>
          <w:sz w:val="21"/>
        </w:rPr>
      </w:pPr>
      <w:r>
        <w:rPr>
          <w:rFonts w:ascii="Arial Black"/>
          <w:color w:val="CF382D"/>
          <w:sz w:val="21"/>
        </w:rPr>
        <w:t>Originating</w:t>
      </w:r>
      <w:r>
        <w:rPr>
          <w:rFonts w:ascii="Arial Black"/>
          <w:color w:val="CF382D"/>
          <w:spacing w:val="-9"/>
          <w:sz w:val="21"/>
        </w:rPr>
        <w:t> </w:t>
      </w:r>
      <w:r>
        <w:rPr>
          <w:rFonts w:ascii="Arial Black"/>
          <w:color w:val="CF382D"/>
          <w:sz w:val="21"/>
        </w:rPr>
        <w:t>Office</w:t>
      </w:r>
    </w:p>
    <w:p>
      <w:pPr>
        <w:pStyle w:val="BodyText"/>
        <w:spacing w:line="266" w:lineRule="auto" w:before="49"/>
        <w:ind w:left="793" w:right="1322"/>
      </w:pPr>
      <w:r>
        <w:rPr>
          <w:color w:val="231F20"/>
          <w:spacing w:val="-3"/>
        </w:rPr>
        <w:t>National Mental Health and Substance Use Policy Laboratory, </w:t>
      </w:r>
      <w:r>
        <w:rPr>
          <w:color w:val="231F20"/>
          <w:spacing w:val="-2"/>
        </w:rPr>
        <w:t>Substance Abuse and Mental Health Services</w:t>
      </w:r>
      <w:r>
        <w:rPr>
          <w:color w:val="231F20"/>
          <w:spacing w:val="-1"/>
        </w:rPr>
        <w:t> </w:t>
      </w:r>
      <w:r>
        <w:rPr>
          <w:color w:val="231F20"/>
          <w:spacing w:val="-2"/>
        </w:rPr>
        <w:t>Administration,</w:t>
      </w:r>
      <w:r>
        <w:rPr>
          <w:color w:val="231F20"/>
          <w:spacing w:val="-12"/>
        </w:rPr>
        <w:t> </w:t>
      </w:r>
      <w:r>
        <w:rPr>
          <w:color w:val="231F20"/>
          <w:spacing w:val="-2"/>
        </w:rPr>
        <w:t>5600</w:t>
      </w:r>
      <w:r>
        <w:rPr>
          <w:color w:val="231F20"/>
          <w:spacing w:val="-10"/>
        </w:rPr>
        <w:t> </w:t>
      </w:r>
      <w:r>
        <w:rPr>
          <w:color w:val="231F20"/>
          <w:spacing w:val="-2"/>
        </w:rPr>
        <w:t>Fishers</w:t>
      </w:r>
      <w:r>
        <w:rPr>
          <w:color w:val="231F20"/>
          <w:spacing w:val="-12"/>
        </w:rPr>
        <w:t> </w:t>
      </w:r>
      <w:r>
        <w:rPr>
          <w:color w:val="231F20"/>
          <w:spacing w:val="-2"/>
        </w:rPr>
        <w:t>Lane,</w:t>
      </w:r>
      <w:r>
        <w:rPr>
          <w:color w:val="231F20"/>
          <w:spacing w:val="-10"/>
        </w:rPr>
        <w:t> </w:t>
      </w:r>
      <w:r>
        <w:rPr>
          <w:color w:val="231F20"/>
          <w:spacing w:val="-2"/>
        </w:rPr>
        <w:t>Rockville,</w:t>
      </w:r>
      <w:r>
        <w:rPr>
          <w:color w:val="231F20"/>
          <w:spacing w:val="-10"/>
        </w:rPr>
        <w:t> </w:t>
      </w:r>
      <w:r>
        <w:rPr>
          <w:color w:val="231F20"/>
          <w:spacing w:val="-1"/>
        </w:rPr>
        <w:t>MD</w:t>
      </w:r>
      <w:r>
        <w:rPr>
          <w:color w:val="231F20"/>
          <w:spacing w:val="-12"/>
        </w:rPr>
        <w:t> </w:t>
      </w:r>
      <w:r>
        <w:rPr>
          <w:color w:val="231F20"/>
          <w:spacing w:val="-1"/>
        </w:rPr>
        <w:t>20857,</w:t>
      </w:r>
      <w:r>
        <w:rPr>
          <w:color w:val="231F20"/>
          <w:spacing w:val="-10"/>
        </w:rPr>
        <w:t> </w:t>
      </w:r>
      <w:r>
        <w:rPr>
          <w:color w:val="231F20"/>
          <w:spacing w:val="-1"/>
        </w:rPr>
        <w:t>Publication</w:t>
      </w:r>
      <w:r>
        <w:rPr>
          <w:color w:val="231F20"/>
          <w:spacing w:val="-11"/>
        </w:rPr>
        <w:t> </w:t>
      </w:r>
      <w:r>
        <w:rPr>
          <w:color w:val="231F20"/>
          <w:spacing w:val="-1"/>
        </w:rPr>
        <w:t>No.</w:t>
      </w:r>
      <w:r>
        <w:rPr>
          <w:color w:val="231F20"/>
          <w:spacing w:val="-12"/>
        </w:rPr>
        <w:t> </w:t>
      </w:r>
      <w:r>
        <w:rPr>
          <w:color w:val="231F20"/>
          <w:spacing w:val="-1"/>
        </w:rPr>
        <w:t>PEP20-06-03-001.</w:t>
      </w:r>
      <w:r>
        <w:rPr>
          <w:color w:val="231F20"/>
          <w:spacing w:val="-11"/>
        </w:rPr>
        <w:t> </w:t>
      </w:r>
      <w:r>
        <w:rPr>
          <w:color w:val="231F20"/>
          <w:spacing w:val="-1"/>
        </w:rPr>
        <w:t>Released</w:t>
      </w:r>
      <w:r>
        <w:rPr>
          <w:color w:val="231F20"/>
          <w:spacing w:val="-10"/>
        </w:rPr>
        <w:t> </w:t>
      </w:r>
      <w:r>
        <w:rPr>
          <w:color w:val="231F20"/>
          <w:spacing w:val="-1"/>
        </w:rPr>
        <w:t>2020.</w:t>
      </w:r>
    </w:p>
    <w:p>
      <w:pPr>
        <w:spacing w:before="84"/>
        <w:ind w:left="793" w:right="0" w:firstLine="0"/>
        <w:jc w:val="left"/>
        <w:rPr>
          <w:rFonts w:ascii="Arial Black"/>
          <w:sz w:val="21"/>
        </w:rPr>
      </w:pPr>
      <w:r>
        <w:rPr>
          <w:rFonts w:ascii="Arial Black"/>
          <w:color w:val="CF382D"/>
          <w:sz w:val="21"/>
        </w:rPr>
        <w:t>Nondiscrimination</w:t>
      </w:r>
      <w:r>
        <w:rPr>
          <w:rFonts w:ascii="Arial Black"/>
          <w:color w:val="CF382D"/>
          <w:spacing w:val="-3"/>
          <w:sz w:val="21"/>
        </w:rPr>
        <w:t> </w:t>
      </w:r>
      <w:r>
        <w:rPr>
          <w:rFonts w:ascii="Arial Black"/>
          <w:color w:val="CF382D"/>
          <w:sz w:val="21"/>
        </w:rPr>
        <w:t>Notice</w:t>
      </w:r>
    </w:p>
    <w:p>
      <w:pPr>
        <w:pStyle w:val="BodyText"/>
        <w:spacing w:line="266" w:lineRule="auto" w:before="50"/>
        <w:ind w:left="793" w:right="1685"/>
      </w:pPr>
      <w:r>
        <w:rPr>
          <w:color w:val="231F20"/>
          <w:spacing w:val="-2"/>
        </w:rPr>
        <w:t>SAMHSA</w:t>
      </w:r>
      <w:r>
        <w:rPr>
          <w:color w:val="231F20"/>
          <w:spacing w:val="-17"/>
        </w:rPr>
        <w:t> </w:t>
      </w:r>
      <w:r>
        <w:rPr>
          <w:color w:val="231F20"/>
          <w:spacing w:val="-2"/>
        </w:rPr>
        <w:t>complies</w:t>
      </w:r>
      <w:r>
        <w:rPr>
          <w:color w:val="231F20"/>
          <w:spacing w:val="-4"/>
        </w:rPr>
        <w:t> </w:t>
      </w:r>
      <w:r>
        <w:rPr>
          <w:color w:val="231F20"/>
          <w:spacing w:val="-2"/>
        </w:rPr>
        <w:t>with</w:t>
      </w:r>
      <w:r>
        <w:rPr>
          <w:color w:val="231F20"/>
          <w:spacing w:val="-4"/>
        </w:rPr>
        <w:t> </w:t>
      </w:r>
      <w:r>
        <w:rPr>
          <w:color w:val="231F20"/>
          <w:spacing w:val="-2"/>
        </w:rPr>
        <w:t>applicable</w:t>
      </w:r>
      <w:r>
        <w:rPr>
          <w:color w:val="231F20"/>
          <w:spacing w:val="-4"/>
        </w:rPr>
        <w:t> </w:t>
      </w:r>
      <w:r>
        <w:rPr>
          <w:color w:val="231F20"/>
          <w:spacing w:val="-2"/>
        </w:rPr>
        <w:t>federal</w:t>
      </w:r>
      <w:r>
        <w:rPr>
          <w:color w:val="231F20"/>
          <w:spacing w:val="-3"/>
        </w:rPr>
        <w:t> </w:t>
      </w:r>
      <w:r>
        <w:rPr>
          <w:color w:val="231F20"/>
          <w:spacing w:val="-2"/>
        </w:rPr>
        <w:t>civil</w:t>
      </w:r>
      <w:r>
        <w:rPr>
          <w:color w:val="231F20"/>
          <w:spacing w:val="-4"/>
        </w:rPr>
        <w:t> </w:t>
      </w:r>
      <w:r>
        <w:rPr>
          <w:color w:val="231F20"/>
          <w:spacing w:val="-2"/>
        </w:rPr>
        <w:t>rights</w:t>
      </w:r>
      <w:r>
        <w:rPr>
          <w:color w:val="231F20"/>
          <w:spacing w:val="-4"/>
        </w:rPr>
        <w:t> </w:t>
      </w:r>
      <w:r>
        <w:rPr>
          <w:color w:val="231F20"/>
          <w:spacing w:val="-2"/>
        </w:rPr>
        <w:t>laws</w:t>
      </w:r>
      <w:r>
        <w:rPr>
          <w:color w:val="231F20"/>
          <w:spacing w:val="-3"/>
        </w:rPr>
        <w:t> </w:t>
      </w:r>
      <w:r>
        <w:rPr>
          <w:color w:val="231F20"/>
          <w:spacing w:val="-2"/>
        </w:rPr>
        <w:t>and</w:t>
      </w:r>
      <w:r>
        <w:rPr>
          <w:color w:val="231F20"/>
          <w:spacing w:val="-4"/>
        </w:rPr>
        <w:t> </w:t>
      </w:r>
      <w:r>
        <w:rPr>
          <w:color w:val="231F20"/>
          <w:spacing w:val="-2"/>
        </w:rPr>
        <w:t>does</w:t>
      </w:r>
      <w:r>
        <w:rPr>
          <w:color w:val="231F20"/>
          <w:spacing w:val="-3"/>
        </w:rPr>
        <w:t> </w:t>
      </w:r>
      <w:r>
        <w:rPr>
          <w:color w:val="231F20"/>
          <w:spacing w:val="-2"/>
        </w:rPr>
        <w:t>not</w:t>
      </w:r>
      <w:r>
        <w:rPr>
          <w:color w:val="231F20"/>
          <w:spacing w:val="-4"/>
        </w:rPr>
        <w:t> </w:t>
      </w:r>
      <w:r>
        <w:rPr>
          <w:color w:val="231F20"/>
          <w:spacing w:val="-2"/>
        </w:rPr>
        <w:t>discriminate</w:t>
      </w:r>
      <w:r>
        <w:rPr>
          <w:color w:val="231F20"/>
          <w:spacing w:val="-3"/>
        </w:rPr>
        <w:t> </w:t>
      </w:r>
      <w:r>
        <w:rPr>
          <w:color w:val="231F20"/>
          <w:spacing w:val="-1"/>
        </w:rPr>
        <w:t>on</w:t>
      </w:r>
      <w:r>
        <w:rPr>
          <w:color w:val="231F20"/>
          <w:spacing w:val="-4"/>
        </w:rPr>
        <w:t> </w:t>
      </w:r>
      <w:r>
        <w:rPr>
          <w:color w:val="231F20"/>
          <w:spacing w:val="-1"/>
        </w:rPr>
        <w:t>the</w:t>
      </w:r>
      <w:r>
        <w:rPr>
          <w:color w:val="231F20"/>
          <w:spacing w:val="-4"/>
        </w:rPr>
        <w:t> </w:t>
      </w:r>
      <w:r>
        <w:rPr>
          <w:color w:val="231F20"/>
          <w:spacing w:val="-1"/>
        </w:rPr>
        <w:t>basis</w:t>
      </w:r>
      <w:r>
        <w:rPr>
          <w:color w:val="231F20"/>
          <w:spacing w:val="-3"/>
        </w:rPr>
        <w:t> </w:t>
      </w:r>
      <w:r>
        <w:rPr>
          <w:color w:val="231F20"/>
          <w:spacing w:val="-1"/>
        </w:rPr>
        <w:t>of</w:t>
      </w:r>
      <w:r>
        <w:rPr>
          <w:color w:val="231F20"/>
          <w:spacing w:val="-4"/>
        </w:rPr>
        <w:t> </w:t>
      </w:r>
      <w:r>
        <w:rPr>
          <w:color w:val="231F20"/>
          <w:spacing w:val="-1"/>
        </w:rPr>
        <w:t>race,</w:t>
      </w:r>
      <w:r>
        <w:rPr>
          <w:color w:val="231F20"/>
          <w:spacing w:val="-52"/>
        </w:rPr>
        <w:t> </w:t>
      </w:r>
      <w:r>
        <w:rPr>
          <w:color w:val="231F20"/>
        </w:rPr>
        <w:t>color,</w:t>
      </w:r>
      <w:r>
        <w:rPr>
          <w:color w:val="231F20"/>
          <w:spacing w:val="-5"/>
        </w:rPr>
        <w:t> </w:t>
      </w:r>
      <w:r>
        <w:rPr>
          <w:color w:val="231F20"/>
        </w:rPr>
        <w:t>national</w:t>
      </w:r>
      <w:r>
        <w:rPr>
          <w:color w:val="231F20"/>
          <w:spacing w:val="-5"/>
        </w:rPr>
        <w:t> </w:t>
      </w:r>
      <w:r>
        <w:rPr>
          <w:color w:val="231F20"/>
        </w:rPr>
        <w:t>origin,</w:t>
      </w:r>
      <w:r>
        <w:rPr>
          <w:color w:val="231F20"/>
          <w:spacing w:val="-5"/>
        </w:rPr>
        <w:t> </w:t>
      </w:r>
      <w:r>
        <w:rPr>
          <w:color w:val="231F20"/>
        </w:rPr>
        <w:t>age,</w:t>
      </w:r>
      <w:r>
        <w:rPr>
          <w:color w:val="231F20"/>
          <w:spacing w:val="-5"/>
        </w:rPr>
        <w:t> </w:t>
      </w:r>
      <w:r>
        <w:rPr>
          <w:color w:val="231F20"/>
        </w:rPr>
        <w:t>disability,</w:t>
      </w:r>
      <w:r>
        <w:rPr>
          <w:color w:val="231F20"/>
          <w:spacing w:val="-5"/>
        </w:rPr>
        <w:t> </w:t>
      </w:r>
      <w:r>
        <w:rPr>
          <w:color w:val="231F20"/>
        </w:rPr>
        <w:t>or</w:t>
      </w:r>
      <w:r>
        <w:rPr>
          <w:color w:val="231F20"/>
          <w:spacing w:val="-5"/>
        </w:rPr>
        <w:t> </w:t>
      </w:r>
      <w:r>
        <w:rPr>
          <w:color w:val="231F20"/>
        </w:rPr>
        <w:t>sex.</w:t>
      </w:r>
    </w:p>
    <w:p>
      <w:pPr>
        <w:pStyle w:val="BodyText"/>
        <w:spacing w:before="178"/>
        <w:ind w:left="793"/>
      </w:pPr>
      <w:r>
        <w:rPr>
          <w:color w:val="231F20"/>
          <w:spacing w:val="-2"/>
        </w:rPr>
        <w:t>SAMHSA</w:t>
      </w:r>
      <w:r>
        <w:rPr>
          <w:color w:val="231F20"/>
          <w:spacing w:val="-17"/>
        </w:rPr>
        <w:t> </w:t>
      </w:r>
      <w:r>
        <w:rPr>
          <w:color w:val="231F20"/>
          <w:spacing w:val="-2"/>
        </w:rPr>
        <w:t>cumple</w:t>
      </w:r>
      <w:r>
        <w:rPr>
          <w:color w:val="231F20"/>
          <w:spacing w:val="-3"/>
        </w:rPr>
        <w:t> </w:t>
      </w:r>
      <w:r>
        <w:rPr>
          <w:color w:val="231F20"/>
          <w:spacing w:val="-2"/>
        </w:rPr>
        <w:t>con</w:t>
      </w:r>
      <w:r>
        <w:rPr>
          <w:color w:val="231F20"/>
          <w:spacing w:val="-4"/>
        </w:rPr>
        <w:t> </w:t>
      </w:r>
      <w:r>
        <w:rPr>
          <w:color w:val="231F20"/>
          <w:spacing w:val="-2"/>
        </w:rPr>
        <w:t>las</w:t>
      </w:r>
      <w:r>
        <w:rPr>
          <w:color w:val="231F20"/>
          <w:spacing w:val="-3"/>
        </w:rPr>
        <w:t> </w:t>
      </w:r>
      <w:r>
        <w:rPr>
          <w:color w:val="231F20"/>
          <w:spacing w:val="-2"/>
        </w:rPr>
        <w:t>leyes</w:t>
      </w:r>
      <w:r>
        <w:rPr>
          <w:color w:val="231F20"/>
          <w:spacing w:val="-4"/>
        </w:rPr>
        <w:t> </w:t>
      </w:r>
      <w:r>
        <w:rPr>
          <w:color w:val="231F20"/>
          <w:spacing w:val="-2"/>
        </w:rPr>
        <w:t>federales</w:t>
      </w:r>
      <w:r>
        <w:rPr>
          <w:color w:val="231F20"/>
          <w:spacing w:val="-3"/>
        </w:rPr>
        <w:t> </w:t>
      </w:r>
      <w:r>
        <w:rPr>
          <w:color w:val="231F20"/>
          <w:spacing w:val="-2"/>
        </w:rPr>
        <w:t>de</w:t>
      </w:r>
      <w:r>
        <w:rPr>
          <w:color w:val="231F20"/>
          <w:spacing w:val="-4"/>
        </w:rPr>
        <w:t> </w:t>
      </w:r>
      <w:r>
        <w:rPr>
          <w:color w:val="231F20"/>
          <w:spacing w:val="-2"/>
        </w:rPr>
        <w:t>derechos</w:t>
      </w:r>
      <w:r>
        <w:rPr>
          <w:color w:val="231F20"/>
          <w:spacing w:val="-3"/>
        </w:rPr>
        <w:t> </w:t>
      </w:r>
      <w:r>
        <w:rPr>
          <w:color w:val="231F20"/>
          <w:spacing w:val="-2"/>
        </w:rPr>
        <w:t>civiles</w:t>
      </w:r>
      <w:r>
        <w:rPr>
          <w:color w:val="231F20"/>
          <w:spacing w:val="-3"/>
        </w:rPr>
        <w:t> </w:t>
      </w:r>
      <w:r>
        <w:rPr>
          <w:color w:val="231F20"/>
          <w:spacing w:val="-2"/>
        </w:rPr>
        <w:t>aplicables</w:t>
      </w:r>
      <w:r>
        <w:rPr>
          <w:color w:val="231F20"/>
          <w:spacing w:val="-4"/>
        </w:rPr>
        <w:t> </w:t>
      </w:r>
      <w:r>
        <w:rPr>
          <w:color w:val="231F20"/>
          <w:spacing w:val="-2"/>
        </w:rPr>
        <w:t>y</w:t>
      </w:r>
      <w:r>
        <w:rPr>
          <w:color w:val="231F20"/>
          <w:spacing w:val="-3"/>
        </w:rPr>
        <w:t> </w:t>
      </w:r>
      <w:r>
        <w:rPr>
          <w:color w:val="231F20"/>
          <w:spacing w:val="-2"/>
        </w:rPr>
        <w:t>no</w:t>
      </w:r>
      <w:r>
        <w:rPr>
          <w:color w:val="231F20"/>
          <w:spacing w:val="-4"/>
        </w:rPr>
        <w:t> </w:t>
      </w:r>
      <w:r>
        <w:rPr>
          <w:color w:val="231F20"/>
          <w:spacing w:val="-2"/>
        </w:rPr>
        <w:t>discrimina</w:t>
      </w:r>
      <w:r>
        <w:rPr>
          <w:color w:val="231F20"/>
          <w:spacing w:val="-3"/>
        </w:rPr>
        <w:t> </w:t>
      </w:r>
      <w:r>
        <w:rPr>
          <w:color w:val="231F20"/>
          <w:spacing w:val="-1"/>
        </w:rPr>
        <w:t>por</w:t>
      </w:r>
      <w:r>
        <w:rPr>
          <w:color w:val="231F20"/>
          <w:spacing w:val="-3"/>
        </w:rPr>
        <w:t> </w:t>
      </w:r>
      <w:r>
        <w:rPr>
          <w:color w:val="231F20"/>
          <w:spacing w:val="-1"/>
        </w:rPr>
        <w:t>motivos</w:t>
      </w:r>
      <w:r>
        <w:rPr>
          <w:color w:val="231F20"/>
          <w:spacing w:val="-4"/>
        </w:rPr>
        <w:t> </w:t>
      </w:r>
      <w:r>
        <w:rPr>
          <w:color w:val="231F20"/>
          <w:spacing w:val="-1"/>
        </w:rPr>
        <w:t>de</w:t>
      </w:r>
      <w:r>
        <w:rPr>
          <w:color w:val="231F20"/>
          <w:spacing w:val="-3"/>
        </w:rPr>
        <w:t> </w:t>
      </w:r>
      <w:r>
        <w:rPr>
          <w:color w:val="231F20"/>
          <w:spacing w:val="-1"/>
        </w:rPr>
        <w:t>raza,</w:t>
      </w:r>
    </w:p>
    <w:p>
      <w:pPr>
        <w:pStyle w:val="BodyText"/>
        <w:spacing w:before="27"/>
        <w:ind w:left="793"/>
      </w:pPr>
      <w:r>
        <w:rPr>
          <w:color w:val="231F20"/>
          <w:spacing w:val="-1"/>
        </w:rPr>
        <w:t>color,</w:t>
      </w:r>
      <w:r>
        <w:rPr>
          <w:color w:val="231F20"/>
          <w:spacing w:val="-13"/>
        </w:rPr>
        <w:t> </w:t>
      </w:r>
      <w:r>
        <w:rPr>
          <w:color w:val="231F20"/>
          <w:spacing w:val="-1"/>
        </w:rPr>
        <w:t>nacionalidad,</w:t>
      </w:r>
      <w:r>
        <w:rPr>
          <w:color w:val="231F20"/>
          <w:spacing w:val="-12"/>
        </w:rPr>
        <w:t> </w:t>
      </w:r>
      <w:r>
        <w:rPr>
          <w:color w:val="231F20"/>
        </w:rPr>
        <w:t>ni</w:t>
      </w:r>
      <w:r>
        <w:rPr>
          <w:color w:val="231F20"/>
          <w:spacing w:val="-12"/>
        </w:rPr>
        <w:t> </w:t>
      </w:r>
      <w:r>
        <w:rPr>
          <w:color w:val="231F20"/>
        </w:rPr>
        <w:t>edad.</w:t>
      </w:r>
    </w:p>
    <w:p>
      <w:pPr>
        <w:pStyle w:val="BodyText"/>
        <w:spacing w:line="266" w:lineRule="auto" w:before="207"/>
        <w:ind w:left="793" w:right="7916"/>
      </w:pPr>
      <w:r>
        <w:rPr>
          <w:color w:val="231F20"/>
          <w:spacing w:val="-3"/>
        </w:rPr>
        <w:t>Publication </w:t>
      </w:r>
      <w:r>
        <w:rPr>
          <w:color w:val="231F20"/>
          <w:spacing w:val="-2"/>
        </w:rPr>
        <w:t>No. PEP20-06-03-001</w:t>
      </w:r>
      <w:r>
        <w:rPr>
          <w:color w:val="231F20"/>
          <w:spacing w:val="-52"/>
        </w:rPr>
        <w:t> </w:t>
      </w:r>
      <w:r>
        <w:rPr>
          <w:color w:val="231F20"/>
        </w:rPr>
        <w:t>Released</w:t>
      </w:r>
      <w:r>
        <w:rPr>
          <w:color w:val="231F20"/>
          <w:spacing w:val="-5"/>
        </w:rPr>
        <w:t> </w:t>
      </w:r>
      <w:r>
        <w:rPr>
          <w:color w:val="231F20"/>
        </w:rPr>
        <w:t>2020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18"/>
        </w:rPr>
      </w:pPr>
    </w:p>
    <w:p>
      <w:pPr>
        <w:spacing w:line="188" w:lineRule="exact" w:before="0"/>
        <w:ind w:left="160" w:right="0" w:firstLine="0"/>
        <w:jc w:val="left"/>
        <w:rPr>
          <w:rFonts w:ascii="Arial"/>
          <w:b/>
          <w:sz w:val="18"/>
        </w:rPr>
      </w:pPr>
      <w:r>
        <w:rPr>
          <w:rFonts w:ascii="Arial"/>
          <w:b/>
          <w:color w:val="CF382D"/>
          <w:sz w:val="18"/>
        </w:rPr>
        <w:t>Prevention</w:t>
      </w:r>
      <w:r>
        <w:rPr>
          <w:rFonts w:ascii="Arial"/>
          <w:b/>
          <w:color w:val="CF382D"/>
          <w:spacing w:val="-3"/>
          <w:sz w:val="18"/>
        </w:rPr>
        <w:t> </w:t>
      </w:r>
      <w:r>
        <w:rPr>
          <w:rFonts w:ascii="Arial"/>
          <w:b/>
          <w:color w:val="CF382D"/>
          <w:sz w:val="18"/>
        </w:rPr>
        <w:t>and</w:t>
      </w:r>
      <w:r>
        <w:rPr>
          <w:rFonts w:ascii="Arial"/>
          <w:b/>
          <w:color w:val="CF382D"/>
          <w:spacing w:val="-4"/>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tabs>
          <w:tab w:pos="10988" w:val="right" w:leader="none"/>
        </w:tabs>
        <w:spacing w:line="235" w:lineRule="exact" w:before="0"/>
        <w:ind w:left="160" w:right="0" w:firstLine="0"/>
        <w:jc w:val="left"/>
        <w:rPr>
          <w:rFonts w:ascii="Arial Black"/>
          <w:sz w:val="18"/>
        </w:rPr>
      </w:pPr>
      <w:r>
        <w:rPr>
          <w:rFonts w:ascii="Arial"/>
          <w:color w:val="1D384A"/>
          <w:position w:val="1"/>
          <w:sz w:val="16"/>
        </w:rPr>
        <w:t>Acknowledgments</w:t>
        <w:tab/>
      </w:r>
      <w:r>
        <w:rPr>
          <w:rFonts w:ascii="Arial Black"/>
          <w:color w:val="1D384A"/>
          <w:sz w:val="18"/>
        </w:rPr>
        <w:t>II</w:t>
      </w:r>
    </w:p>
    <w:p>
      <w:pPr>
        <w:spacing w:after="0" w:line="235" w:lineRule="exact"/>
        <w:jc w:val="left"/>
        <w:rPr>
          <w:rFonts w:ascii="Arial Black"/>
          <w:sz w:val="18"/>
        </w:rPr>
        <w:sectPr>
          <w:headerReference w:type="default" r:id="rId7"/>
          <w:pgSz w:w="12240" w:h="15840"/>
          <w:pgMar w:header="0" w:footer="0" w:top="380" w:bottom="280" w:left="560" w:right="0"/>
        </w:sectPr>
      </w:pPr>
    </w:p>
    <w:p>
      <w:pPr>
        <w:pStyle w:val="BodyText"/>
        <w:rPr>
          <w:rFonts w:ascii="Arial Black"/>
          <w:sz w:val="26"/>
        </w:rPr>
      </w:pPr>
    </w:p>
    <w:p>
      <w:pPr>
        <w:pStyle w:val="BodyText"/>
        <w:rPr>
          <w:rFonts w:ascii="Arial Black"/>
          <w:sz w:val="26"/>
        </w:rPr>
      </w:pPr>
    </w:p>
    <w:p>
      <w:pPr>
        <w:pStyle w:val="BodyText"/>
        <w:rPr>
          <w:rFonts w:ascii="Arial Black"/>
          <w:sz w:val="26"/>
        </w:rPr>
      </w:pPr>
    </w:p>
    <w:p>
      <w:pPr>
        <w:pStyle w:val="BodyText"/>
        <w:rPr>
          <w:rFonts w:ascii="Arial Black"/>
          <w:sz w:val="26"/>
        </w:rPr>
      </w:pPr>
    </w:p>
    <w:p>
      <w:pPr>
        <w:pStyle w:val="BodyText"/>
        <w:rPr>
          <w:rFonts w:ascii="Arial Black"/>
          <w:sz w:val="26"/>
        </w:rPr>
      </w:pPr>
    </w:p>
    <w:p>
      <w:pPr>
        <w:pStyle w:val="BodyText"/>
        <w:rPr>
          <w:rFonts w:ascii="Arial Black"/>
          <w:sz w:val="26"/>
        </w:rPr>
      </w:pPr>
    </w:p>
    <w:p>
      <w:pPr>
        <w:spacing w:line="271" w:lineRule="auto" w:before="214"/>
        <w:ind w:left="2999" w:right="3458" w:firstLine="0"/>
        <w:jc w:val="left"/>
        <w:rPr>
          <w:rFonts w:ascii="Arial"/>
          <w:b/>
          <w:sz w:val="23"/>
        </w:rPr>
      </w:pPr>
      <w:r>
        <w:rPr/>
        <w:drawing>
          <wp:anchor distT="0" distB="0" distL="0" distR="0" allowOverlap="1" layoutInCell="1" locked="0" behindDoc="0" simplePos="0" relativeHeight="15731712">
            <wp:simplePos x="0" y="0"/>
            <wp:positionH relativeFrom="page">
              <wp:posOffset>841247</wp:posOffset>
            </wp:positionH>
            <wp:positionV relativeFrom="paragraph">
              <wp:posOffset>-966361</wp:posOffset>
            </wp:positionV>
            <wp:extent cx="1304665" cy="1630832"/>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11" cstate="print"/>
                    <a:stretch>
                      <a:fillRect/>
                    </a:stretch>
                  </pic:blipFill>
                  <pic:spPr>
                    <a:xfrm>
                      <a:off x="0" y="0"/>
                      <a:ext cx="1304665" cy="1630832"/>
                    </a:xfrm>
                    <a:prstGeom prst="rect">
                      <a:avLst/>
                    </a:prstGeom>
                  </pic:spPr>
                </pic:pic>
              </a:graphicData>
            </a:graphic>
          </wp:anchor>
        </w:drawing>
      </w:r>
      <w:r>
        <w:rPr>
          <w:rFonts w:ascii="Arial"/>
          <w:b/>
          <w:color w:val="010202"/>
          <w:spacing w:val="-1"/>
          <w:sz w:val="23"/>
        </w:rPr>
        <w:t>MESSAGE</w:t>
      </w:r>
      <w:r>
        <w:rPr>
          <w:rFonts w:ascii="Arial"/>
          <w:b/>
          <w:color w:val="010202"/>
          <w:spacing w:val="-6"/>
          <w:sz w:val="23"/>
        </w:rPr>
        <w:t> </w:t>
      </w:r>
      <w:r>
        <w:rPr>
          <w:rFonts w:ascii="Arial"/>
          <w:b/>
          <w:color w:val="010202"/>
          <w:spacing w:val="-1"/>
          <w:sz w:val="23"/>
        </w:rPr>
        <w:t>FROM</w:t>
      </w:r>
      <w:r>
        <w:rPr>
          <w:rFonts w:ascii="Arial"/>
          <w:b/>
          <w:color w:val="010202"/>
          <w:spacing w:val="-5"/>
          <w:sz w:val="23"/>
        </w:rPr>
        <w:t> </w:t>
      </w:r>
      <w:r>
        <w:rPr>
          <w:rFonts w:ascii="Arial"/>
          <w:b/>
          <w:color w:val="010202"/>
          <w:spacing w:val="-1"/>
          <w:sz w:val="23"/>
        </w:rPr>
        <w:t>THE</w:t>
      </w:r>
      <w:r>
        <w:rPr>
          <w:rFonts w:ascii="Arial"/>
          <w:b/>
          <w:color w:val="010202"/>
          <w:spacing w:val="-13"/>
          <w:sz w:val="23"/>
        </w:rPr>
        <w:t> </w:t>
      </w:r>
      <w:r>
        <w:rPr>
          <w:rFonts w:ascii="Arial"/>
          <w:b/>
          <w:color w:val="010202"/>
          <w:spacing w:val="-1"/>
          <w:sz w:val="23"/>
        </w:rPr>
        <w:t>ASSISTANT</w:t>
      </w:r>
      <w:r>
        <w:rPr>
          <w:rFonts w:ascii="Arial"/>
          <w:b/>
          <w:color w:val="010202"/>
          <w:spacing w:val="-6"/>
          <w:sz w:val="23"/>
        </w:rPr>
        <w:t> </w:t>
      </w:r>
      <w:r>
        <w:rPr>
          <w:rFonts w:ascii="Arial"/>
          <w:b/>
          <w:color w:val="010202"/>
          <w:spacing w:val="-1"/>
          <w:sz w:val="23"/>
        </w:rPr>
        <w:t>SECRETARY</w:t>
      </w:r>
      <w:r>
        <w:rPr>
          <w:rFonts w:ascii="Arial"/>
          <w:b/>
          <w:color w:val="010202"/>
          <w:spacing w:val="-61"/>
          <w:sz w:val="23"/>
        </w:rPr>
        <w:t> </w:t>
      </w:r>
      <w:r>
        <w:rPr>
          <w:rFonts w:ascii="Arial"/>
          <w:b/>
          <w:color w:val="010202"/>
          <w:spacing w:val="-1"/>
          <w:sz w:val="23"/>
        </w:rPr>
        <w:t>FOR</w:t>
      </w:r>
      <w:r>
        <w:rPr>
          <w:rFonts w:ascii="Arial"/>
          <w:b/>
          <w:color w:val="010202"/>
          <w:spacing w:val="-6"/>
          <w:sz w:val="23"/>
        </w:rPr>
        <w:t> </w:t>
      </w:r>
      <w:r>
        <w:rPr>
          <w:rFonts w:ascii="Arial"/>
          <w:b/>
          <w:color w:val="010202"/>
          <w:spacing w:val="-1"/>
          <w:sz w:val="23"/>
        </w:rPr>
        <w:t>MENTAL</w:t>
      </w:r>
      <w:r>
        <w:rPr>
          <w:rFonts w:ascii="Arial"/>
          <w:b/>
          <w:color w:val="010202"/>
          <w:spacing w:val="-10"/>
          <w:sz w:val="23"/>
        </w:rPr>
        <w:t> </w:t>
      </w:r>
      <w:r>
        <w:rPr>
          <w:rFonts w:ascii="Arial"/>
          <w:b/>
          <w:color w:val="010202"/>
          <w:spacing w:val="-1"/>
          <w:sz w:val="23"/>
        </w:rPr>
        <w:t>HEALTH</w:t>
      </w:r>
      <w:r>
        <w:rPr>
          <w:rFonts w:ascii="Arial"/>
          <w:b/>
          <w:color w:val="010202"/>
          <w:spacing w:val="-14"/>
          <w:sz w:val="23"/>
        </w:rPr>
        <w:t> </w:t>
      </w:r>
      <w:r>
        <w:rPr>
          <w:rFonts w:ascii="Arial"/>
          <w:b/>
          <w:color w:val="010202"/>
          <w:spacing w:val="-1"/>
          <w:sz w:val="23"/>
        </w:rPr>
        <w:t>AND</w:t>
      </w:r>
      <w:r>
        <w:rPr>
          <w:rFonts w:ascii="Arial"/>
          <w:b/>
          <w:color w:val="010202"/>
          <w:spacing w:val="-7"/>
          <w:sz w:val="23"/>
        </w:rPr>
        <w:t> </w:t>
      </w:r>
      <w:r>
        <w:rPr>
          <w:rFonts w:ascii="Arial"/>
          <w:b/>
          <w:color w:val="010202"/>
          <w:spacing w:val="-1"/>
          <w:sz w:val="23"/>
        </w:rPr>
        <w:t>SUBSTANCE</w:t>
      </w:r>
      <w:r>
        <w:rPr>
          <w:rFonts w:ascii="Arial"/>
          <w:b/>
          <w:color w:val="010202"/>
          <w:spacing w:val="-6"/>
          <w:sz w:val="23"/>
        </w:rPr>
        <w:t> </w:t>
      </w:r>
      <w:r>
        <w:rPr>
          <w:rFonts w:ascii="Arial"/>
          <w:b/>
          <w:color w:val="010202"/>
          <w:sz w:val="23"/>
        </w:rPr>
        <w:t>USE,</w:t>
      </w:r>
    </w:p>
    <w:p>
      <w:pPr>
        <w:spacing w:before="2"/>
        <w:ind w:left="2999" w:right="0" w:firstLine="0"/>
        <w:jc w:val="left"/>
        <w:rPr>
          <w:rFonts w:ascii="Arial"/>
          <w:b/>
          <w:sz w:val="23"/>
        </w:rPr>
      </w:pPr>
      <w:r>
        <w:rPr>
          <w:rFonts w:ascii="Arial"/>
          <w:b/>
          <w:color w:val="010202"/>
          <w:spacing w:val="-1"/>
          <w:sz w:val="23"/>
        </w:rPr>
        <w:t>U.S.</w:t>
      </w:r>
      <w:r>
        <w:rPr>
          <w:rFonts w:ascii="Arial"/>
          <w:b/>
          <w:color w:val="010202"/>
          <w:spacing w:val="-9"/>
          <w:sz w:val="23"/>
        </w:rPr>
        <w:t> </w:t>
      </w:r>
      <w:r>
        <w:rPr>
          <w:rFonts w:ascii="Arial"/>
          <w:b/>
          <w:color w:val="010202"/>
          <w:sz w:val="23"/>
        </w:rPr>
        <w:t>DEPARTMENT</w:t>
      </w:r>
      <w:r>
        <w:rPr>
          <w:rFonts w:ascii="Arial"/>
          <w:b/>
          <w:color w:val="010202"/>
          <w:spacing w:val="-9"/>
          <w:sz w:val="23"/>
        </w:rPr>
        <w:t> </w:t>
      </w:r>
      <w:r>
        <w:rPr>
          <w:rFonts w:ascii="Arial"/>
          <w:b/>
          <w:color w:val="010202"/>
          <w:sz w:val="23"/>
        </w:rPr>
        <w:t>OF</w:t>
      </w:r>
      <w:r>
        <w:rPr>
          <w:rFonts w:ascii="Arial"/>
          <w:b/>
          <w:color w:val="010202"/>
          <w:spacing w:val="-8"/>
          <w:sz w:val="23"/>
        </w:rPr>
        <w:t> </w:t>
      </w:r>
      <w:r>
        <w:rPr>
          <w:rFonts w:ascii="Arial"/>
          <w:b/>
          <w:color w:val="010202"/>
          <w:sz w:val="23"/>
        </w:rPr>
        <w:t>HEALTH</w:t>
      </w:r>
      <w:r>
        <w:rPr>
          <w:rFonts w:ascii="Arial"/>
          <w:b/>
          <w:color w:val="010202"/>
          <w:spacing w:val="-16"/>
          <w:sz w:val="23"/>
        </w:rPr>
        <w:t> </w:t>
      </w:r>
      <w:r>
        <w:rPr>
          <w:rFonts w:ascii="Arial"/>
          <w:b/>
          <w:color w:val="010202"/>
          <w:sz w:val="23"/>
        </w:rPr>
        <w:t>AND</w:t>
      </w:r>
      <w:r>
        <w:rPr>
          <w:rFonts w:ascii="Arial"/>
          <w:b/>
          <w:color w:val="010202"/>
          <w:spacing w:val="-9"/>
          <w:sz w:val="23"/>
        </w:rPr>
        <w:t> </w:t>
      </w:r>
      <w:r>
        <w:rPr>
          <w:rFonts w:ascii="Arial"/>
          <w:b/>
          <w:color w:val="010202"/>
          <w:sz w:val="23"/>
        </w:rPr>
        <w:t>HUMAN</w:t>
      </w:r>
      <w:r>
        <w:rPr>
          <w:rFonts w:ascii="Arial"/>
          <w:b/>
          <w:color w:val="010202"/>
          <w:spacing w:val="-9"/>
          <w:sz w:val="23"/>
        </w:rPr>
        <w:t> </w:t>
      </w:r>
      <w:r>
        <w:rPr>
          <w:rFonts w:ascii="Arial"/>
          <w:b/>
          <w:color w:val="010202"/>
          <w:sz w:val="23"/>
        </w:rPr>
        <w:t>SERVICES</w:t>
      </w:r>
    </w:p>
    <w:p>
      <w:pPr>
        <w:pStyle w:val="BodyText"/>
        <w:spacing w:before="10"/>
        <w:rPr>
          <w:rFonts w:ascii="Arial"/>
          <w:b/>
          <w:sz w:val="17"/>
        </w:rPr>
      </w:pPr>
    </w:p>
    <w:p>
      <w:pPr>
        <w:spacing w:line="266" w:lineRule="auto" w:before="91"/>
        <w:ind w:left="764" w:right="1322" w:firstLine="0"/>
        <w:jc w:val="left"/>
        <w:rPr>
          <w:i/>
          <w:sz w:val="22"/>
        </w:rPr>
      </w:pPr>
      <w:r>
        <w:rPr>
          <w:color w:val="231F20"/>
          <w:spacing w:val="-3"/>
          <w:sz w:val="22"/>
        </w:rPr>
        <w:t>As the first U.S. Department of Health and Human Services Assistant </w:t>
      </w:r>
      <w:r>
        <w:rPr>
          <w:color w:val="231F20"/>
          <w:spacing w:val="-2"/>
          <w:sz w:val="22"/>
        </w:rPr>
        <w:t>Secretary for Mental Health and</w:t>
      </w:r>
      <w:r>
        <w:rPr>
          <w:color w:val="231F20"/>
          <w:spacing w:val="-1"/>
          <w:sz w:val="22"/>
        </w:rPr>
        <w:t> </w:t>
      </w:r>
      <w:r>
        <w:rPr>
          <w:color w:val="231F20"/>
          <w:spacing w:val="-3"/>
          <w:sz w:val="22"/>
        </w:rPr>
        <w:t>Substance Use at the Substance Abuse and Mental Health </w:t>
      </w:r>
      <w:r>
        <w:rPr>
          <w:color w:val="231F20"/>
          <w:spacing w:val="-2"/>
          <w:sz w:val="22"/>
        </w:rPr>
        <w:t>Services Administration (SAMHSA), I am pleased to</w:t>
      </w:r>
      <w:r>
        <w:rPr>
          <w:color w:val="231F20"/>
          <w:spacing w:val="-52"/>
          <w:sz w:val="22"/>
        </w:rPr>
        <w:t> </w:t>
      </w:r>
      <w:r>
        <w:rPr>
          <w:color w:val="231F20"/>
          <w:spacing w:val="-3"/>
          <w:sz w:val="22"/>
        </w:rPr>
        <w:t>present </w:t>
      </w:r>
      <w:r>
        <w:rPr>
          <w:color w:val="231F20"/>
          <w:spacing w:val="-2"/>
          <w:sz w:val="22"/>
        </w:rPr>
        <w:t>this new resource: </w:t>
      </w:r>
      <w:r>
        <w:rPr>
          <w:i/>
          <w:color w:val="231F20"/>
          <w:spacing w:val="-2"/>
          <w:sz w:val="22"/>
        </w:rPr>
        <w:t>Prevention and Treatment of HIV Among People Living with Substance Use and/or</w:t>
      </w:r>
      <w:r>
        <w:rPr>
          <w:i/>
          <w:color w:val="231F20"/>
          <w:spacing w:val="-1"/>
          <w:sz w:val="22"/>
        </w:rPr>
        <w:t> </w:t>
      </w:r>
      <w:r>
        <w:rPr>
          <w:i/>
          <w:color w:val="231F20"/>
          <w:sz w:val="22"/>
        </w:rPr>
        <w:t>Mental</w:t>
      </w:r>
      <w:r>
        <w:rPr>
          <w:i/>
          <w:color w:val="231F20"/>
          <w:spacing w:val="-6"/>
          <w:sz w:val="22"/>
        </w:rPr>
        <w:t> </w:t>
      </w:r>
      <w:r>
        <w:rPr>
          <w:i/>
          <w:color w:val="231F20"/>
          <w:sz w:val="22"/>
        </w:rPr>
        <w:t>Disorders.</w:t>
      </w:r>
    </w:p>
    <w:p>
      <w:pPr>
        <w:pStyle w:val="BodyText"/>
        <w:spacing w:line="266" w:lineRule="auto" w:before="176"/>
        <w:ind w:left="764" w:right="1309"/>
      </w:pPr>
      <w:r>
        <w:rPr>
          <w:color w:val="231F20"/>
          <w:spacing w:val="-2"/>
        </w:rPr>
        <w:t>In</w:t>
      </w:r>
      <w:r>
        <w:rPr>
          <w:color w:val="231F20"/>
          <w:spacing w:val="-4"/>
        </w:rPr>
        <w:t> </w:t>
      </w:r>
      <w:r>
        <w:rPr>
          <w:color w:val="231F20"/>
          <w:spacing w:val="-2"/>
        </w:rPr>
        <w:t>response</w:t>
      </w:r>
      <w:r>
        <w:rPr>
          <w:color w:val="231F20"/>
          <w:spacing w:val="-4"/>
        </w:rPr>
        <w:t> </w:t>
      </w:r>
      <w:r>
        <w:rPr>
          <w:color w:val="231F20"/>
          <w:spacing w:val="-2"/>
        </w:rPr>
        <w:t>to</w:t>
      </w:r>
      <w:r>
        <w:rPr>
          <w:color w:val="231F20"/>
          <w:spacing w:val="-4"/>
        </w:rPr>
        <w:t> </w:t>
      </w:r>
      <w:r>
        <w:rPr>
          <w:color w:val="231F20"/>
          <w:spacing w:val="-2"/>
        </w:rPr>
        <w:t>the</w:t>
      </w:r>
      <w:r>
        <w:rPr>
          <w:color w:val="231F20"/>
          <w:spacing w:val="-4"/>
        </w:rPr>
        <w:t> </w:t>
      </w:r>
      <w:r>
        <w:rPr>
          <w:color w:val="231F20"/>
          <w:spacing w:val="-2"/>
        </w:rPr>
        <w:t>charge</w:t>
      </w:r>
      <w:r>
        <w:rPr>
          <w:color w:val="231F20"/>
          <w:spacing w:val="-4"/>
        </w:rPr>
        <w:t> </w:t>
      </w:r>
      <w:r>
        <w:rPr>
          <w:color w:val="231F20"/>
          <w:spacing w:val="-2"/>
        </w:rPr>
        <w:t>of</w:t>
      </w:r>
      <w:r>
        <w:rPr>
          <w:color w:val="231F20"/>
          <w:spacing w:val="-4"/>
        </w:rPr>
        <w:t> </w:t>
      </w:r>
      <w:r>
        <w:rPr>
          <w:color w:val="231F20"/>
          <w:spacing w:val="-2"/>
        </w:rPr>
        <w:t>the</w:t>
      </w:r>
      <w:r>
        <w:rPr>
          <w:color w:val="231F20"/>
          <w:spacing w:val="-4"/>
        </w:rPr>
        <w:t> </w:t>
      </w:r>
      <w:r>
        <w:rPr>
          <w:color w:val="231F20"/>
          <w:spacing w:val="-2"/>
        </w:rPr>
        <w:t>21st</w:t>
      </w:r>
      <w:r>
        <w:rPr>
          <w:color w:val="231F20"/>
          <w:spacing w:val="-4"/>
        </w:rPr>
        <w:t> </w:t>
      </w:r>
      <w:r>
        <w:rPr>
          <w:color w:val="231F20"/>
          <w:spacing w:val="-2"/>
        </w:rPr>
        <w:t>Century</w:t>
      </w:r>
      <w:r>
        <w:rPr>
          <w:color w:val="231F20"/>
          <w:spacing w:val="-4"/>
        </w:rPr>
        <w:t> </w:t>
      </w:r>
      <w:r>
        <w:rPr>
          <w:color w:val="231F20"/>
          <w:spacing w:val="-2"/>
        </w:rPr>
        <w:t>Cures</w:t>
      </w:r>
      <w:r>
        <w:rPr>
          <w:color w:val="231F20"/>
          <w:spacing w:val="-17"/>
        </w:rPr>
        <w:t> </w:t>
      </w:r>
      <w:r>
        <w:rPr>
          <w:color w:val="231F20"/>
          <w:spacing w:val="-2"/>
        </w:rPr>
        <w:t>Act</w:t>
      </w:r>
      <w:r>
        <w:rPr>
          <w:color w:val="231F20"/>
          <w:spacing w:val="-5"/>
        </w:rPr>
        <w:t> </w:t>
      </w:r>
      <w:r>
        <w:rPr>
          <w:color w:val="231F20"/>
          <w:spacing w:val="-2"/>
        </w:rPr>
        <w:t>to</w:t>
      </w:r>
      <w:r>
        <w:rPr>
          <w:color w:val="231F20"/>
          <w:spacing w:val="-4"/>
        </w:rPr>
        <w:t> </w:t>
      </w:r>
      <w:r>
        <w:rPr>
          <w:color w:val="231F20"/>
          <w:spacing w:val="-2"/>
        </w:rPr>
        <w:t>disseminate</w:t>
      </w:r>
      <w:r>
        <w:rPr>
          <w:color w:val="231F20"/>
          <w:spacing w:val="-4"/>
        </w:rPr>
        <w:t> </w:t>
      </w:r>
      <w:r>
        <w:rPr>
          <w:color w:val="231F20"/>
          <w:spacing w:val="-2"/>
        </w:rPr>
        <w:t>information</w:t>
      </w:r>
      <w:r>
        <w:rPr>
          <w:color w:val="231F20"/>
          <w:spacing w:val="-4"/>
        </w:rPr>
        <w:t> </w:t>
      </w:r>
      <w:r>
        <w:rPr>
          <w:color w:val="231F20"/>
          <w:spacing w:val="-1"/>
        </w:rPr>
        <w:t>on</w:t>
      </w:r>
      <w:r>
        <w:rPr>
          <w:color w:val="231F20"/>
          <w:spacing w:val="-4"/>
        </w:rPr>
        <w:t> </w:t>
      </w:r>
      <w:r>
        <w:rPr>
          <w:color w:val="231F20"/>
          <w:spacing w:val="-1"/>
        </w:rPr>
        <w:t>evidence-based</w:t>
      </w:r>
      <w:r>
        <w:rPr>
          <w:color w:val="231F20"/>
          <w:spacing w:val="-4"/>
        </w:rPr>
        <w:t> </w:t>
      </w:r>
      <w:r>
        <w:rPr>
          <w:color w:val="231F20"/>
          <w:spacing w:val="-1"/>
        </w:rPr>
        <w:t>practices</w:t>
      </w:r>
      <w:r>
        <w:rPr>
          <w:color w:val="231F20"/>
          <w:spacing w:val="-52"/>
        </w:rPr>
        <w:t> </w:t>
      </w:r>
      <w:r>
        <w:rPr>
          <w:color w:val="231F20"/>
          <w:spacing w:val="-1"/>
        </w:rPr>
        <w:t>and service delivery models, the National Mental Health and </w:t>
      </w:r>
      <w:r>
        <w:rPr>
          <w:color w:val="231F20"/>
        </w:rPr>
        <w:t>Substance Use Policy Laboratory has developed</w:t>
      </w:r>
      <w:r>
        <w:rPr>
          <w:color w:val="231F20"/>
          <w:spacing w:val="-52"/>
        </w:rPr>
        <w:t> </w:t>
      </w:r>
      <w:r>
        <w:rPr>
          <w:color w:val="231F20"/>
          <w:spacing w:val="-1"/>
        </w:rPr>
        <w:t>the</w:t>
      </w:r>
      <w:r>
        <w:rPr>
          <w:color w:val="231F20"/>
          <w:spacing w:val="-12"/>
        </w:rPr>
        <w:t> </w:t>
      </w:r>
      <w:r>
        <w:rPr>
          <w:color w:val="231F20"/>
          <w:spacing w:val="-1"/>
        </w:rPr>
        <w:t>Evidence-Based</w:t>
      </w:r>
      <w:r>
        <w:rPr>
          <w:color w:val="231F20"/>
          <w:spacing w:val="-12"/>
        </w:rPr>
        <w:t> </w:t>
      </w:r>
      <w:r>
        <w:rPr>
          <w:color w:val="231F20"/>
          <w:spacing w:val="-1"/>
        </w:rPr>
        <w:t>Resource</w:t>
      </w:r>
      <w:r>
        <w:rPr>
          <w:color w:val="231F20"/>
          <w:spacing w:val="-12"/>
        </w:rPr>
        <w:t> </w:t>
      </w:r>
      <w:r>
        <w:rPr>
          <w:color w:val="231F20"/>
          <w:spacing w:val="-1"/>
        </w:rPr>
        <w:t>Guide</w:t>
      </w:r>
      <w:r>
        <w:rPr>
          <w:color w:val="231F20"/>
          <w:spacing w:val="-12"/>
        </w:rPr>
        <w:t> </w:t>
      </w:r>
      <w:r>
        <w:rPr>
          <w:color w:val="231F20"/>
          <w:spacing w:val="-1"/>
        </w:rPr>
        <w:t>Series</w:t>
      </w:r>
      <w:r>
        <w:rPr>
          <w:color w:val="231F20"/>
          <w:spacing w:val="-13"/>
        </w:rPr>
        <w:t> </w:t>
      </w:r>
      <w:r>
        <w:rPr>
          <w:color w:val="231F20"/>
          <w:spacing w:val="-1"/>
        </w:rPr>
        <w:t>focused</w:t>
      </w:r>
      <w:r>
        <w:rPr>
          <w:color w:val="231F20"/>
          <w:spacing w:val="-11"/>
        </w:rPr>
        <w:t> </w:t>
      </w:r>
      <w:r>
        <w:rPr>
          <w:color w:val="231F20"/>
          <w:spacing w:val="-1"/>
        </w:rPr>
        <w:t>on</w:t>
      </w:r>
      <w:r>
        <w:rPr>
          <w:color w:val="231F20"/>
          <w:spacing w:val="-12"/>
        </w:rPr>
        <w:t> </w:t>
      </w:r>
      <w:r>
        <w:rPr>
          <w:color w:val="231F20"/>
          <w:spacing w:val="-1"/>
        </w:rPr>
        <w:t>the</w:t>
      </w:r>
      <w:r>
        <w:rPr>
          <w:color w:val="231F20"/>
          <w:spacing w:val="-12"/>
        </w:rPr>
        <w:t> </w:t>
      </w:r>
      <w:r>
        <w:rPr>
          <w:color w:val="231F20"/>
          <w:spacing w:val="-1"/>
        </w:rPr>
        <w:t>prevention</w:t>
      </w:r>
      <w:r>
        <w:rPr>
          <w:color w:val="231F20"/>
          <w:spacing w:val="-11"/>
        </w:rPr>
        <w:t> </w:t>
      </w:r>
      <w:r>
        <w:rPr>
          <w:color w:val="231F20"/>
        </w:rPr>
        <w:t>and</w:t>
      </w:r>
      <w:r>
        <w:rPr>
          <w:color w:val="231F20"/>
          <w:spacing w:val="-12"/>
        </w:rPr>
        <w:t> </w:t>
      </w:r>
      <w:r>
        <w:rPr>
          <w:color w:val="231F20"/>
        </w:rPr>
        <w:t>treatment</w:t>
      </w:r>
      <w:r>
        <w:rPr>
          <w:color w:val="231F20"/>
          <w:spacing w:val="-12"/>
        </w:rPr>
        <w:t> </w:t>
      </w:r>
      <w:r>
        <w:rPr>
          <w:color w:val="231F20"/>
        </w:rPr>
        <w:t>of</w:t>
      </w:r>
      <w:r>
        <w:rPr>
          <w:color w:val="231F20"/>
          <w:spacing w:val="-11"/>
        </w:rPr>
        <w:t> </w:t>
      </w:r>
      <w:r>
        <w:rPr>
          <w:color w:val="231F20"/>
        </w:rPr>
        <w:t>substance</w:t>
      </w:r>
      <w:r>
        <w:rPr>
          <w:color w:val="231F20"/>
          <w:spacing w:val="-13"/>
        </w:rPr>
        <w:t> </w:t>
      </w:r>
      <w:r>
        <w:rPr>
          <w:color w:val="231F20"/>
        </w:rPr>
        <w:t>use</w:t>
      </w:r>
      <w:r>
        <w:rPr>
          <w:color w:val="231F20"/>
          <w:spacing w:val="-11"/>
        </w:rPr>
        <w:t> </w:t>
      </w:r>
      <w:r>
        <w:rPr>
          <w:color w:val="231F20"/>
        </w:rPr>
        <w:t>disorders</w:t>
      </w:r>
      <w:r>
        <w:rPr>
          <w:color w:val="231F20"/>
          <w:spacing w:val="1"/>
        </w:rPr>
        <w:t> </w:t>
      </w:r>
      <w:r>
        <w:rPr>
          <w:color w:val="231F20"/>
          <w:spacing w:val="-2"/>
        </w:rPr>
        <w:t>(SUD)</w:t>
      </w:r>
      <w:r>
        <w:rPr>
          <w:color w:val="231F20"/>
          <w:spacing w:val="-9"/>
        </w:rPr>
        <w:t> </w:t>
      </w:r>
      <w:r>
        <w:rPr>
          <w:color w:val="231F20"/>
          <w:spacing w:val="-2"/>
        </w:rPr>
        <w:t>and</w:t>
      </w:r>
      <w:r>
        <w:rPr>
          <w:color w:val="231F20"/>
          <w:spacing w:val="-8"/>
        </w:rPr>
        <w:t> </w:t>
      </w:r>
      <w:r>
        <w:rPr>
          <w:color w:val="231F20"/>
          <w:spacing w:val="-2"/>
        </w:rPr>
        <w:t>mental</w:t>
      </w:r>
      <w:r>
        <w:rPr>
          <w:color w:val="231F20"/>
          <w:spacing w:val="-8"/>
        </w:rPr>
        <w:t> </w:t>
      </w:r>
      <w:r>
        <w:rPr>
          <w:color w:val="231F20"/>
          <w:spacing w:val="-2"/>
        </w:rPr>
        <w:t>illnesses.</w:t>
      </w:r>
      <w:r>
        <w:rPr>
          <w:color w:val="231F20"/>
          <w:spacing w:val="-11"/>
        </w:rPr>
        <w:t> </w:t>
      </w:r>
      <w:r>
        <w:rPr>
          <w:color w:val="231F20"/>
          <w:spacing w:val="-2"/>
        </w:rPr>
        <w:t>With</w:t>
      </w:r>
      <w:r>
        <w:rPr>
          <w:color w:val="231F20"/>
          <w:spacing w:val="-8"/>
        </w:rPr>
        <w:t> </w:t>
      </w:r>
      <w:r>
        <w:rPr>
          <w:color w:val="231F20"/>
          <w:spacing w:val="-2"/>
        </w:rPr>
        <w:t>this</w:t>
      </w:r>
      <w:r>
        <w:rPr>
          <w:color w:val="231F20"/>
          <w:spacing w:val="-9"/>
        </w:rPr>
        <w:t> </w:t>
      </w:r>
      <w:r>
        <w:rPr>
          <w:color w:val="231F20"/>
          <w:spacing w:val="-2"/>
        </w:rPr>
        <w:t>specific</w:t>
      </w:r>
      <w:r>
        <w:rPr>
          <w:color w:val="231F20"/>
          <w:spacing w:val="-9"/>
        </w:rPr>
        <w:t> </w:t>
      </w:r>
      <w:r>
        <w:rPr>
          <w:color w:val="231F20"/>
          <w:spacing w:val="-1"/>
        </w:rPr>
        <w:t>guide,</w:t>
      </w:r>
      <w:r>
        <w:rPr>
          <w:color w:val="231F20"/>
          <w:spacing w:val="-8"/>
        </w:rPr>
        <w:t> </w:t>
      </w:r>
      <w:r>
        <w:rPr>
          <w:color w:val="231F20"/>
          <w:spacing w:val="-1"/>
        </w:rPr>
        <w:t>SAMHSA’s</w:t>
      </w:r>
      <w:r>
        <w:rPr>
          <w:color w:val="231F20"/>
          <w:spacing w:val="-9"/>
        </w:rPr>
        <w:t> </w:t>
      </w:r>
      <w:r>
        <w:rPr>
          <w:color w:val="231F20"/>
          <w:spacing w:val="-1"/>
        </w:rPr>
        <w:t>goal</w:t>
      </w:r>
      <w:r>
        <w:rPr>
          <w:color w:val="231F20"/>
          <w:spacing w:val="-8"/>
        </w:rPr>
        <w:t> </w:t>
      </w:r>
      <w:r>
        <w:rPr>
          <w:color w:val="231F20"/>
          <w:spacing w:val="-1"/>
        </w:rPr>
        <w:t>is</w:t>
      </w:r>
      <w:r>
        <w:rPr>
          <w:color w:val="231F20"/>
          <w:spacing w:val="-8"/>
        </w:rPr>
        <w:t> </w:t>
      </w:r>
      <w:r>
        <w:rPr>
          <w:color w:val="231F20"/>
          <w:spacing w:val="-1"/>
        </w:rPr>
        <w:t>to</w:t>
      </w:r>
      <w:r>
        <w:rPr>
          <w:color w:val="231F20"/>
          <w:spacing w:val="-8"/>
        </w:rPr>
        <w:t> </w:t>
      </w:r>
      <w:r>
        <w:rPr>
          <w:color w:val="231F20"/>
          <w:spacing w:val="-1"/>
        </w:rPr>
        <w:t>inform</w:t>
      </w:r>
      <w:r>
        <w:rPr>
          <w:color w:val="231F20"/>
          <w:spacing w:val="-8"/>
        </w:rPr>
        <w:t> </w:t>
      </w:r>
      <w:r>
        <w:rPr>
          <w:color w:val="231F20"/>
          <w:spacing w:val="-1"/>
        </w:rPr>
        <w:t>health</w:t>
      </w:r>
      <w:r>
        <w:rPr>
          <w:color w:val="231F20"/>
          <w:spacing w:val="-8"/>
        </w:rPr>
        <w:t> </w:t>
      </w:r>
      <w:r>
        <w:rPr>
          <w:color w:val="231F20"/>
          <w:spacing w:val="-1"/>
        </w:rPr>
        <w:t>care</w:t>
      </w:r>
      <w:r>
        <w:rPr>
          <w:color w:val="231F20"/>
          <w:spacing w:val="-8"/>
        </w:rPr>
        <w:t> </w:t>
      </w:r>
      <w:r>
        <w:rPr>
          <w:color w:val="231F20"/>
          <w:spacing w:val="-1"/>
        </w:rPr>
        <w:t>practitioners</w:t>
      </w:r>
    </w:p>
    <w:p>
      <w:pPr>
        <w:pStyle w:val="BodyText"/>
        <w:spacing w:line="266" w:lineRule="auto"/>
        <w:ind w:left="764" w:right="1501"/>
      </w:pPr>
      <w:r>
        <w:rPr>
          <w:color w:val="231F20"/>
          <w:spacing w:val="-1"/>
        </w:rPr>
        <w:t>and</w:t>
      </w:r>
      <w:r>
        <w:rPr>
          <w:color w:val="231F20"/>
          <w:spacing w:val="-11"/>
        </w:rPr>
        <w:t> </w:t>
      </w:r>
      <w:r>
        <w:rPr>
          <w:color w:val="231F20"/>
          <w:spacing w:val="-1"/>
        </w:rPr>
        <w:t>administrators,</w:t>
      </w:r>
      <w:r>
        <w:rPr>
          <w:color w:val="231F20"/>
          <w:spacing w:val="-10"/>
        </w:rPr>
        <w:t> </w:t>
      </w:r>
      <w:r>
        <w:rPr>
          <w:color w:val="231F20"/>
          <w:spacing w:val="-1"/>
        </w:rPr>
        <w:t>policy</w:t>
      </w:r>
      <w:r>
        <w:rPr>
          <w:color w:val="231F20"/>
          <w:spacing w:val="-10"/>
        </w:rPr>
        <w:t> </w:t>
      </w:r>
      <w:r>
        <w:rPr>
          <w:color w:val="231F20"/>
          <w:spacing w:val="-1"/>
        </w:rPr>
        <w:t>makers,</w:t>
      </w:r>
      <w:r>
        <w:rPr>
          <w:color w:val="231F20"/>
          <w:spacing w:val="-10"/>
        </w:rPr>
        <w:t> </w:t>
      </w:r>
      <w:r>
        <w:rPr>
          <w:color w:val="231F20"/>
          <w:spacing w:val="-1"/>
        </w:rPr>
        <w:t>and</w:t>
      </w:r>
      <w:r>
        <w:rPr>
          <w:color w:val="231F20"/>
          <w:spacing w:val="-11"/>
        </w:rPr>
        <w:t> </w:t>
      </w:r>
      <w:r>
        <w:rPr>
          <w:color w:val="231F20"/>
          <w:spacing w:val="-1"/>
        </w:rPr>
        <w:t>community</w:t>
      </w:r>
      <w:r>
        <w:rPr>
          <w:color w:val="231F20"/>
          <w:spacing w:val="-10"/>
        </w:rPr>
        <w:t> </w:t>
      </w:r>
      <w:r>
        <w:rPr>
          <w:color w:val="231F20"/>
          <w:spacing w:val="-1"/>
        </w:rPr>
        <w:t>members</w:t>
      </w:r>
      <w:r>
        <w:rPr>
          <w:color w:val="231F20"/>
          <w:spacing w:val="-10"/>
        </w:rPr>
        <w:t> </w:t>
      </w:r>
      <w:r>
        <w:rPr>
          <w:color w:val="231F20"/>
          <w:spacing w:val="-1"/>
        </w:rPr>
        <w:t>about</w:t>
      </w:r>
      <w:r>
        <w:rPr>
          <w:color w:val="231F20"/>
          <w:spacing w:val="-10"/>
        </w:rPr>
        <w:t> </w:t>
      </w:r>
      <w:r>
        <w:rPr>
          <w:color w:val="231F20"/>
          <w:spacing w:val="-1"/>
        </w:rPr>
        <w:t>strategies</w:t>
      </w:r>
      <w:r>
        <w:rPr>
          <w:color w:val="231F20"/>
          <w:spacing w:val="-11"/>
        </w:rPr>
        <w:t> </w:t>
      </w:r>
      <w:r>
        <w:rPr>
          <w:color w:val="231F20"/>
          <w:spacing w:val="-1"/>
        </w:rPr>
        <w:t>to</w:t>
      </w:r>
      <w:r>
        <w:rPr>
          <w:color w:val="231F20"/>
          <w:spacing w:val="-11"/>
        </w:rPr>
        <w:t> </w:t>
      </w:r>
      <w:r>
        <w:rPr>
          <w:color w:val="231F20"/>
          <w:spacing w:val="-1"/>
        </w:rPr>
        <w:t>prevent</w:t>
      </w:r>
      <w:r>
        <w:rPr>
          <w:color w:val="231F20"/>
          <w:spacing w:val="-10"/>
        </w:rPr>
        <w:t> </w:t>
      </w:r>
      <w:r>
        <w:rPr>
          <w:color w:val="231F20"/>
        </w:rPr>
        <w:t>and</w:t>
      </w:r>
      <w:r>
        <w:rPr>
          <w:color w:val="231F20"/>
          <w:spacing w:val="-10"/>
        </w:rPr>
        <w:t> </w:t>
      </w:r>
      <w:r>
        <w:rPr>
          <w:color w:val="231F20"/>
        </w:rPr>
        <w:t>treat</w:t>
      </w:r>
      <w:r>
        <w:rPr>
          <w:color w:val="231F20"/>
          <w:spacing w:val="-10"/>
        </w:rPr>
        <w:t> </w:t>
      </w:r>
      <w:r>
        <w:rPr>
          <w:color w:val="231F20"/>
        </w:rPr>
        <w:t>HIV</w:t>
      </w:r>
      <w:r>
        <w:rPr>
          <w:color w:val="231F20"/>
          <w:spacing w:val="-14"/>
        </w:rPr>
        <w:t> </w:t>
      </w:r>
      <w:r>
        <w:rPr>
          <w:color w:val="231F20"/>
        </w:rPr>
        <w:t>among</w:t>
      </w:r>
      <w:r>
        <w:rPr>
          <w:color w:val="231F20"/>
          <w:spacing w:val="-52"/>
        </w:rPr>
        <w:t> </w:t>
      </w:r>
      <w:r>
        <w:rPr>
          <w:color w:val="231F20"/>
        </w:rPr>
        <w:t>individuals</w:t>
      </w:r>
      <w:r>
        <w:rPr>
          <w:color w:val="231F20"/>
          <w:spacing w:val="-5"/>
        </w:rPr>
        <w:t> </w:t>
      </w:r>
      <w:r>
        <w:rPr>
          <w:color w:val="231F20"/>
        </w:rPr>
        <w:t>who</w:t>
      </w:r>
      <w:r>
        <w:rPr>
          <w:color w:val="231F20"/>
          <w:spacing w:val="-6"/>
        </w:rPr>
        <w:t> </w:t>
      </w:r>
      <w:r>
        <w:rPr>
          <w:color w:val="231F20"/>
        </w:rPr>
        <w:t>have</w:t>
      </w:r>
      <w:r>
        <w:rPr>
          <w:color w:val="231F20"/>
          <w:spacing w:val="-5"/>
        </w:rPr>
        <w:t> </w:t>
      </w:r>
      <w:r>
        <w:rPr>
          <w:color w:val="231F20"/>
        </w:rPr>
        <w:t>mental</w:t>
      </w:r>
      <w:r>
        <w:rPr>
          <w:color w:val="231F20"/>
          <w:spacing w:val="-4"/>
        </w:rPr>
        <w:t> </w:t>
      </w:r>
      <w:r>
        <w:rPr>
          <w:color w:val="231F20"/>
        </w:rPr>
        <w:t>illness</w:t>
      </w:r>
      <w:r>
        <w:rPr>
          <w:color w:val="231F20"/>
          <w:spacing w:val="-5"/>
        </w:rPr>
        <w:t> </w:t>
      </w:r>
      <w:r>
        <w:rPr>
          <w:color w:val="231F20"/>
        </w:rPr>
        <w:t>and/or</w:t>
      </w:r>
      <w:r>
        <w:rPr>
          <w:color w:val="231F20"/>
          <w:spacing w:val="-5"/>
        </w:rPr>
        <w:t> </w:t>
      </w:r>
      <w:r>
        <w:rPr>
          <w:color w:val="231F20"/>
        </w:rPr>
        <w:t>SUD.</w:t>
      </w:r>
    </w:p>
    <w:p>
      <w:pPr>
        <w:pStyle w:val="BodyText"/>
        <w:spacing w:line="266" w:lineRule="auto" w:before="176"/>
        <w:ind w:left="764" w:right="1685"/>
      </w:pPr>
      <w:r>
        <w:rPr>
          <w:color w:val="231F20"/>
          <w:spacing w:val="-5"/>
        </w:rPr>
        <w:t>Established </w:t>
      </w:r>
      <w:r>
        <w:rPr>
          <w:color w:val="231F20"/>
          <w:spacing w:val="-4"/>
        </w:rPr>
        <w:t>in 2019, the federal initiative “Ending the HIV Epidemic: A Plan for America” aims to reduce</w:t>
      </w:r>
      <w:r>
        <w:rPr>
          <w:color w:val="231F20"/>
          <w:spacing w:val="-3"/>
        </w:rPr>
        <w:t> </w:t>
      </w:r>
      <w:r>
        <w:rPr>
          <w:color w:val="231F20"/>
          <w:spacing w:val="-4"/>
        </w:rPr>
        <w:t>new</w:t>
      </w:r>
      <w:r>
        <w:rPr>
          <w:color w:val="231F20"/>
          <w:spacing w:val="-9"/>
        </w:rPr>
        <w:t> </w:t>
      </w:r>
      <w:r>
        <w:rPr>
          <w:color w:val="231F20"/>
          <w:spacing w:val="-4"/>
        </w:rPr>
        <w:t>HIV</w:t>
      </w:r>
      <w:r>
        <w:rPr>
          <w:color w:val="231F20"/>
          <w:spacing w:val="-13"/>
        </w:rPr>
        <w:t> </w:t>
      </w:r>
      <w:r>
        <w:rPr>
          <w:color w:val="231F20"/>
          <w:spacing w:val="-4"/>
        </w:rPr>
        <w:t>infections</w:t>
      </w:r>
      <w:r>
        <w:rPr>
          <w:color w:val="231F20"/>
          <w:spacing w:val="-9"/>
        </w:rPr>
        <w:t> </w:t>
      </w:r>
      <w:r>
        <w:rPr>
          <w:color w:val="231F20"/>
          <w:spacing w:val="-4"/>
        </w:rPr>
        <w:t>in</w:t>
      </w:r>
      <w:r>
        <w:rPr>
          <w:color w:val="231F20"/>
          <w:spacing w:val="-9"/>
        </w:rPr>
        <w:t> </w:t>
      </w:r>
      <w:r>
        <w:rPr>
          <w:color w:val="231F20"/>
          <w:spacing w:val="-4"/>
        </w:rPr>
        <w:t>the</w:t>
      </w:r>
      <w:r>
        <w:rPr>
          <w:color w:val="231F20"/>
          <w:spacing w:val="-9"/>
        </w:rPr>
        <w:t> </w:t>
      </w:r>
      <w:r>
        <w:rPr>
          <w:color w:val="231F20"/>
          <w:spacing w:val="-4"/>
        </w:rPr>
        <w:t>United</w:t>
      </w:r>
      <w:r>
        <w:rPr>
          <w:color w:val="231F20"/>
          <w:spacing w:val="-9"/>
        </w:rPr>
        <w:t> </w:t>
      </w:r>
      <w:r>
        <w:rPr>
          <w:color w:val="231F20"/>
          <w:spacing w:val="-4"/>
        </w:rPr>
        <w:t>States</w:t>
      </w:r>
      <w:r>
        <w:rPr>
          <w:color w:val="231F20"/>
          <w:spacing w:val="-9"/>
        </w:rPr>
        <w:t> </w:t>
      </w:r>
      <w:r>
        <w:rPr>
          <w:color w:val="231F20"/>
          <w:spacing w:val="-4"/>
        </w:rPr>
        <w:t>by</w:t>
      </w:r>
      <w:r>
        <w:rPr>
          <w:color w:val="231F20"/>
          <w:spacing w:val="-9"/>
        </w:rPr>
        <w:t> </w:t>
      </w:r>
      <w:r>
        <w:rPr>
          <w:color w:val="231F20"/>
          <w:spacing w:val="-4"/>
        </w:rPr>
        <w:t>90</w:t>
      </w:r>
      <w:r>
        <w:rPr>
          <w:color w:val="231F20"/>
          <w:spacing w:val="-9"/>
        </w:rPr>
        <w:t> </w:t>
      </w:r>
      <w:r>
        <w:rPr>
          <w:color w:val="231F20"/>
          <w:spacing w:val="-4"/>
        </w:rPr>
        <w:t>percent</w:t>
      </w:r>
      <w:r>
        <w:rPr>
          <w:color w:val="231F20"/>
          <w:spacing w:val="-9"/>
        </w:rPr>
        <w:t> </w:t>
      </w:r>
      <w:r>
        <w:rPr>
          <w:color w:val="231F20"/>
          <w:spacing w:val="-4"/>
        </w:rPr>
        <w:t>by</w:t>
      </w:r>
      <w:r>
        <w:rPr>
          <w:color w:val="231F20"/>
          <w:spacing w:val="-9"/>
        </w:rPr>
        <w:t> </w:t>
      </w:r>
      <w:r>
        <w:rPr>
          <w:color w:val="231F20"/>
          <w:spacing w:val="-4"/>
        </w:rPr>
        <w:t>the</w:t>
      </w:r>
      <w:r>
        <w:rPr>
          <w:color w:val="231F20"/>
          <w:spacing w:val="-9"/>
        </w:rPr>
        <w:t> </w:t>
      </w:r>
      <w:r>
        <w:rPr>
          <w:color w:val="231F20"/>
          <w:spacing w:val="-4"/>
        </w:rPr>
        <w:t>year</w:t>
      </w:r>
      <w:r>
        <w:rPr>
          <w:color w:val="231F20"/>
          <w:spacing w:val="-9"/>
        </w:rPr>
        <w:t> </w:t>
      </w:r>
      <w:r>
        <w:rPr>
          <w:color w:val="231F20"/>
          <w:spacing w:val="-4"/>
        </w:rPr>
        <w:t>2030.</w:t>
      </w:r>
      <w:r>
        <w:rPr>
          <w:color w:val="231F20"/>
          <w:spacing w:val="-9"/>
        </w:rPr>
        <w:t> </w:t>
      </w:r>
      <w:r>
        <w:rPr>
          <w:color w:val="231F20"/>
          <w:spacing w:val="-4"/>
        </w:rPr>
        <w:t>It</w:t>
      </w:r>
      <w:r>
        <w:rPr>
          <w:color w:val="231F20"/>
          <w:spacing w:val="-9"/>
        </w:rPr>
        <w:t> </w:t>
      </w:r>
      <w:r>
        <w:rPr>
          <w:color w:val="231F20"/>
          <w:spacing w:val="-4"/>
        </w:rPr>
        <w:t>encourages</w:t>
      </w:r>
      <w:r>
        <w:rPr>
          <w:color w:val="231F20"/>
          <w:spacing w:val="-9"/>
        </w:rPr>
        <w:t> </w:t>
      </w:r>
      <w:r>
        <w:rPr>
          <w:color w:val="231F20"/>
          <w:spacing w:val="-4"/>
        </w:rPr>
        <w:t>implementation</w:t>
      </w:r>
      <w:r>
        <w:rPr>
          <w:color w:val="231F20"/>
          <w:spacing w:val="-9"/>
        </w:rPr>
        <w:t> </w:t>
      </w:r>
      <w:r>
        <w:rPr>
          <w:color w:val="231F20"/>
          <w:spacing w:val="-4"/>
        </w:rPr>
        <w:t>of</w:t>
      </w:r>
      <w:r>
        <w:rPr>
          <w:color w:val="231F20"/>
          <w:spacing w:val="-9"/>
        </w:rPr>
        <w:t> </w:t>
      </w:r>
      <w:r>
        <w:rPr>
          <w:color w:val="231F20"/>
          <w:spacing w:val="-4"/>
        </w:rPr>
        <w:t>HIV</w:t>
      </w:r>
      <w:r>
        <w:rPr>
          <w:color w:val="231F20"/>
          <w:spacing w:val="-3"/>
        </w:rPr>
        <w:t> </w:t>
      </w:r>
      <w:r>
        <w:rPr>
          <w:color w:val="231F20"/>
          <w:spacing w:val="-5"/>
        </w:rPr>
        <w:t>prevention,</w:t>
      </w:r>
      <w:r>
        <w:rPr>
          <w:color w:val="231F20"/>
          <w:spacing w:val="-9"/>
        </w:rPr>
        <w:t> </w:t>
      </w:r>
      <w:r>
        <w:rPr>
          <w:color w:val="231F20"/>
          <w:spacing w:val="-5"/>
        </w:rPr>
        <w:t>diagnosis,</w:t>
      </w:r>
      <w:r>
        <w:rPr>
          <w:color w:val="231F20"/>
          <w:spacing w:val="-9"/>
        </w:rPr>
        <w:t> </w:t>
      </w:r>
      <w:r>
        <w:rPr>
          <w:color w:val="231F20"/>
          <w:spacing w:val="-5"/>
        </w:rPr>
        <w:t>treatment,</w:t>
      </w:r>
      <w:r>
        <w:rPr>
          <w:color w:val="231F20"/>
          <w:spacing w:val="-9"/>
        </w:rPr>
        <w:t> </w:t>
      </w:r>
      <w:r>
        <w:rPr>
          <w:color w:val="231F20"/>
          <w:spacing w:val="-5"/>
        </w:rPr>
        <w:t>and</w:t>
      </w:r>
      <w:r>
        <w:rPr>
          <w:color w:val="231F20"/>
          <w:spacing w:val="-9"/>
        </w:rPr>
        <w:t> </w:t>
      </w:r>
      <w:r>
        <w:rPr>
          <w:color w:val="231F20"/>
          <w:spacing w:val="-5"/>
        </w:rPr>
        <w:t>outbreak</w:t>
      </w:r>
      <w:r>
        <w:rPr>
          <w:color w:val="231F20"/>
          <w:spacing w:val="-8"/>
        </w:rPr>
        <w:t> </w:t>
      </w:r>
      <w:r>
        <w:rPr>
          <w:color w:val="231F20"/>
          <w:spacing w:val="-5"/>
        </w:rPr>
        <w:t>response</w:t>
      </w:r>
      <w:r>
        <w:rPr>
          <w:color w:val="231F20"/>
          <w:spacing w:val="-9"/>
        </w:rPr>
        <w:t> </w:t>
      </w:r>
      <w:r>
        <w:rPr>
          <w:color w:val="231F20"/>
          <w:spacing w:val="-4"/>
        </w:rPr>
        <w:t>through</w:t>
      </w:r>
      <w:r>
        <w:rPr>
          <w:color w:val="231F20"/>
          <w:spacing w:val="-9"/>
        </w:rPr>
        <w:t> </w:t>
      </w:r>
      <w:r>
        <w:rPr>
          <w:color w:val="231F20"/>
          <w:spacing w:val="-4"/>
        </w:rPr>
        <w:t>effective</w:t>
      </w:r>
      <w:r>
        <w:rPr>
          <w:color w:val="231F20"/>
          <w:spacing w:val="-9"/>
        </w:rPr>
        <w:t> </w:t>
      </w:r>
      <w:r>
        <w:rPr>
          <w:color w:val="231F20"/>
          <w:spacing w:val="-4"/>
        </w:rPr>
        <w:t>programs,</w:t>
      </w:r>
      <w:r>
        <w:rPr>
          <w:color w:val="231F20"/>
          <w:spacing w:val="-9"/>
        </w:rPr>
        <w:t> </w:t>
      </w:r>
      <w:r>
        <w:rPr>
          <w:color w:val="231F20"/>
          <w:spacing w:val="-4"/>
        </w:rPr>
        <w:t>practices,</w:t>
      </w:r>
      <w:r>
        <w:rPr>
          <w:color w:val="231F20"/>
          <w:spacing w:val="-8"/>
        </w:rPr>
        <w:t> </w:t>
      </w:r>
      <w:r>
        <w:rPr>
          <w:color w:val="231F20"/>
          <w:spacing w:val="-4"/>
        </w:rPr>
        <w:t>and</w:t>
      </w:r>
      <w:r>
        <w:rPr>
          <w:color w:val="231F20"/>
          <w:spacing w:val="-9"/>
        </w:rPr>
        <w:t> </w:t>
      </w:r>
      <w:r>
        <w:rPr>
          <w:color w:val="231F20"/>
          <w:spacing w:val="-4"/>
        </w:rPr>
        <w:t>resources.</w:t>
      </w:r>
    </w:p>
    <w:p>
      <w:pPr>
        <w:pStyle w:val="BodyText"/>
        <w:spacing w:line="266" w:lineRule="auto"/>
        <w:ind w:left="764" w:right="1447"/>
        <w:jc w:val="both"/>
      </w:pPr>
      <w:r>
        <w:rPr>
          <w:color w:val="231F20"/>
          <w:spacing w:val="-4"/>
        </w:rPr>
        <w:t>Supporting</w:t>
      </w:r>
      <w:r>
        <w:rPr>
          <w:color w:val="231F20"/>
          <w:spacing w:val="-9"/>
        </w:rPr>
        <w:t> </w:t>
      </w:r>
      <w:r>
        <w:rPr>
          <w:color w:val="231F20"/>
          <w:spacing w:val="-4"/>
        </w:rPr>
        <w:t>the</w:t>
      </w:r>
      <w:r>
        <w:rPr>
          <w:color w:val="231F20"/>
          <w:spacing w:val="-9"/>
        </w:rPr>
        <w:t> </w:t>
      </w:r>
      <w:r>
        <w:rPr>
          <w:color w:val="231F20"/>
          <w:spacing w:val="-4"/>
        </w:rPr>
        <w:t>needs</w:t>
      </w:r>
      <w:r>
        <w:rPr>
          <w:color w:val="231F20"/>
          <w:spacing w:val="-9"/>
        </w:rPr>
        <w:t> </w:t>
      </w:r>
      <w:r>
        <w:rPr>
          <w:color w:val="231F20"/>
          <w:spacing w:val="-4"/>
        </w:rPr>
        <w:t>of</w:t>
      </w:r>
      <w:r>
        <w:rPr>
          <w:color w:val="231F20"/>
          <w:spacing w:val="-9"/>
        </w:rPr>
        <w:t> </w:t>
      </w:r>
      <w:r>
        <w:rPr>
          <w:color w:val="231F20"/>
          <w:spacing w:val="-4"/>
        </w:rPr>
        <w:t>people</w:t>
      </w:r>
      <w:r>
        <w:rPr>
          <w:color w:val="231F20"/>
          <w:spacing w:val="-9"/>
        </w:rPr>
        <w:t> </w:t>
      </w:r>
      <w:r>
        <w:rPr>
          <w:color w:val="231F20"/>
          <w:spacing w:val="-4"/>
        </w:rPr>
        <w:t>at</w:t>
      </w:r>
      <w:r>
        <w:rPr>
          <w:color w:val="231F20"/>
          <w:spacing w:val="-9"/>
        </w:rPr>
        <w:t> </w:t>
      </w:r>
      <w:r>
        <w:rPr>
          <w:color w:val="231F20"/>
          <w:spacing w:val="-4"/>
        </w:rPr>
        <w:t>risk</w:t>
      </w:r>
      <w:r>
        <w:rPr>
          <w:color w:val="231F20"/>
          <w:spacing w:val="-9"/>
        </w:rPr>
        <w:t> </w:t>
      </w:r>
      <w:r>
        <w:rPr>
          <w:color w:val="231F20"/>
          <w:spacing w:val="-4"/>
        </w:rPr>
        <w:t>for</w:t>
      </w:r>
      <w:r>
        <w:rPr>
          <w:color w:val="231F20"/>
          <w:spacing w:val="-9"/>
        </w:rPr>
        <w:t> </w:t>
      </w:r>
      <w:r>
        <w:rPr>
          <w:color w:val="231F20"/>
          <w:spacing w:val="-4"/>
        </w:rPr>
        <w:t>and</w:t>
      </w:r>
      <w:r>
        <w:rPr>
          <w:color w:val="231F20"/>
          <w:spacing w:val="-9"/>
        </w:rPr>
        <w:t> </w:t>
      </w:r>
      <w:r>
        <w:rPr>
          <w:color w:val="231F20"/>
          <w:spacing w:val="-4"/>
        </w:rPr>
        <w:t>with</w:t>
      </w:r>
      <w:r>
        <w:rPr>
          <w:color w:val="231F20"/>
          <w:spacing w:val="-9"/>
        </w:rPr>
        <w:t> </w:t>
      </w:r>
      <w:r>
        <w:rPr>
          <w:color w:val="231F20"/>
          <w:spacing w:val="-4"/>
        </w:rPr>
        <w:t>HIV</w:t>
      </w:r>
      <w:r>
        <w:rPr>
          <w:color w:val="231F20"/>
          <w:spacing w:val="-13"/>
        </w:rPr>
        <w:t> </w:t>
      </w:r>
      <w:r>
        <w:rPr>
          <w:color w:val="231F20"/>
          <w:spacing w:val="-4"/>
        </w:rPr>
        <w:t>who</w:t>
      </w:r>
      <w:r>
        <w:rPr>
          <w:color w:val="231F20"/>
          <w:spacing w:val="-9"/>
        </w:rPr>
        <w:t> </w:t>
      </w:r>
      <w:r>
        <w:rPr>
          <w:color w:val="231F20"/>
          <w:spacing w:val="-4"/>
        </w:rPr>
        <w:t>have</w:t>
      </w:r>
      <w:r>
        <w:rPr>
          <w:color w:val="231F20"/>
          <w:spacing w:val="-9"/>
        </w:rPr>
        <w:t> </w:t>
      </w:r>
      <w:r>
        <w:rPr>
          <w:color w:val="231F20"/>
          <w:spacing w:val="-4"/>
        </w:rPr>
        <w:t>co-occurring</w:t>
      </w:r>
      <w:r>
        <w:rPr>
          <w:color w:val="231F20"/>
          <w:spacing w:val="-9"/>
        </w:rPr>
        <w:t> </w:t>
      </w:r>
      <w:r>
        <w:rPr>
          <w:color w:val="231F20"/>
          <w:spacing w:val="-4"/>
        </w:rPr>
        <w:t>mental</w:t>
      </w:r>
      <w:r>
        <w:rPr>
          <w:color w:val="231F20"/>
          <w:spacing w:val="-9"/>
        </w:rPr>
        <w:t> </w:t>
      </w:r>
      <w:r>
        <w:rPr>
          <w:color w:val="231F20"/>
          <w:spacing w:val="-4"/>
        </w:rPr>
        <w:t>illness</w:t>
      </w:r>
      <w:r>
        <w:rPr>
          <w:color w:val="231F20"/>
          <w:spacing w:val="-9"/>
        </w:rPr>
        <w:t> </w:t>
      </w:r>
      <w:r>
        <w:rPr>
          <w:color w:val="231F20"/>
          <w:spacing w:val="-4"/>
        </w:rPr>
        <w:t>and/or</w:t>
      </w:r>
      <w:r>
        <w:rPr>
          <w:color w:val="231F20"/>
          <w:spacing w:val="-9"/>
        </w:rPr>
        <w:t> </w:t>
      </w:r>
      <w:r>
        <w:rPr>
          <w:color w:val="231F20"/>
          <w:spacing w:val="-4"/>
        </w:rPr>
        <w:t>SUD</w:t>
      </w:r>
      <w:r>
        <w:rPr>
          <w:color w:val="231F20"/>
          <w:spacing w:val="-9"/>
        </w:rPr>
        <w:t> </w:t>
      </w:r>
      <w:r>
        <w:rPr>
          <w:color w:val="231F20"/>
          <w:spacing w:val="-4"/>
        </w:rPr>
        <w:t>is</w:t>
      </w:r>
      <w:r>
        <w:rPr>
          <w:color w:val="231F20"/>
          <w:spacing w:val="-9"/>
        </w:rPr>
        <w:t> </w:t>
      </w:r>
      <w:r>
        <w:rPr>
          <w:color w:val="231F20"/>
          <w:spacing w:val="-3"/>
        </w:rPr>
        <w:t>key</w:t>
      </w:r>
      <w:r>
        <w:rPr>
          <w:color w:val="231F20"/>
          <w:spacing w:val="-2"/>
        </w:rPr>
        <w:t> </w:t>
      </w:r>
      <w:r>
        <w:rPr>
          <w:color w:val="231F20"/>
          <w:spacing w:val="-5"/>
        </w:rPr>
        <w:t>to meeting the initiative’s goals. People with mental illness and/or </w:t>
      </w:r>
      <w:r>
        <w:rPr>
          <w:color w:val="231F20"/>
          <w:spacing w:val="-4"/>
        </w:rPr>
        <w:t>SUD are particularly vulnerable to HIV. SUD,</w:t>
      </w:r>
      <w:r>
        <w:rPr>
          <w:color w:val="231F20"/>
          <w:spacing w:val="-52"/>
        </w:rPr>
        <w:t> </w:t>
      </w:r>
      <w:r>
        <w:rPr>
          <w:color w:val="231F20"/>
          <w:spacing w:val="-5"/>
        </w:rPr>
        <w:t>in particular, can hasten the progress of HIV.</w:t>
      </w:r>
      <w:r>
        <w:rPr>
          <w:color w:val="231F20"/>
          <w:spacing w:val="-5"/>
          <w:vertAlign w:val="superscript"/>
        </w:rPr>
        <w:t>1</w:t>
      </w:r>
      <w:r>
        <w:rPr>
          <w:color w:val="231F20"/>
          <w:spacing w:val="-5"/>
          <w:vertAlign w:val="baseline"/>
        </w:rPr>
        <w:t> More specifically, injection drug use increases </w:t>
      </w:r>
      <w:r>
        <w:rPr>
          <w:color w:val="231F20"/>
          <w:spacing w:val="-4"/>
          <w:vertAlign w:val="baseline"/>
        </w:rPr>
        <w:t>the risk of getting or</w:t>
      </w:r>
      <w:r>
        <w:rPr>
          <w:color w:val="231F20"/>
          <w:spacing w:val="-53"/>
          <w:vertAlign w:val="baseline"/>
        </w:rPr>
        <w:t> </w:t>
      </w:r>
      <w:r>
        <w:rPr>
          <w:color w:val="231F20"/>
          <w:spacing w:val="-5"/>
          <w:vertAlign w:val="baseline"/>
        </w:rPr>
        <w:t>transmitting</w:t>
      </w:r>
      <w:r>
        <w:rPr>
          <w:color w:val="231F20"/>
          <w:spacing w:val="-9"/>
          <w:vertAlign w:val="baseline"/>
        </w:rPr>
        <w:t> </w:t>
      </w:r>
      <w:r>
        <w:rPr>
          <w:color w:val="231F20"/>
          <w:spacing w:val="-4"/>
          <w:vertAlign w:val="baseline"/>
        </w:rPr>
        <w:t>the</w:t>
      </w:r>
      <w:r>
        <w:rPr>
          <w:color w:val="231F20"/>
          <w:spacing w:val="-9"/>
          <w:vertAlign w:val="baseline"/>
        </w:rPr>
        <w:t> </w:t>
      </w:r>
      <w:r>
        <w:rPr>
          <w:color w:val="231F20"/>
          <w:spacing w:val="-4"/>
          <w:vertAlign w:val="baseline"/>
        </w:rPr>
        <w:t>disease,</w:t>
      </w:r>
      <w:r>
        <w:rPr>
          <w:color w:val="231F20"/>
          <w:spacing w:val="-4"/>
          <w:vertAlign w:val="superscript"/>
        </w:rPr>
        <w:t>2</w:t>
      </w:r>
      <w:r>
        <w:rPr>
          <w:color w:val="231F20"/>
          <w:spacing w:val="-7"/>
          <w:vertAlign w:val="baseline"/>
        </w:rPr>
        <w:t> </w:t>
      </w:r>
      <w:r>
        <w:rPr>
          <w:color w:val="231F20"/>
          <w:spacing w:val="-4"/>
          <w:vertAlign w:val="baseline"/>
        </w:rPr>
        <w:t>and</w:t>
      </w:r>
      <w:r>
        <w:rPr>
          <w:color w:val="231F20"/>
          <w:spacing w:val="-9"/>
          <w:vertAlign w:val="baseline"/>
        </w:rPr>
        <w:t> </w:t>
      </w:r>
      <w:r>
        <w:rPr>
          <w:color w:val="231F20"/>
          <w:spacing w:val="-4"/>
          <w:vertAlign w:val="baseline"/>
        </w:rPr>
        <w:t>the</w:t>
      </w:r>
      <w:r>
        <w:rPr>
          <w:color w:val="231F20"/>
          <w:spacing w:val="-9"/>
          <w:vertAlign w:val="baseline"/>
        </w:rPr>
        <w:t> </w:t>
      </w:r>
      <w:r>
        <w:rPr>
          <w:color w:val="231F20"/>
          <w:spacing w:val="-4"/>
          <w:vertAlign w:val="baseline"/>
        </w:rPr>
        <w:t>risk</w:t>
      </w:r>
      <w:r>
        <w:rPr>
          <w:color w:val="231F20"/>
          <w:spacing w:val="-9"/>
          <w:vertAlign w:val="baseline"/>
        </w:rPr>
        <w:t> </w:t>
      </w:r>
      <w:r>
        <w:rPr>
          <w:color w:val="231F20"/>
          <w:spacing w:val="-4"/>
          <w:vertAlign w:val="baseline"/>
        </w:rPr>
        <w:t>of</w:t>
      </w:r>
      <w:r>
        <w:rPr>
          <w:color w:val="231F20"/>
          <w:spacing w:val="-9"/>
          <w:vertAlign w:val="baseline"/>
        </w:rPr>
        <w:t> </w:t>
      </w:r>
      <w:r>
        <w:rPr>
          <w:color w:val="231F20"/>
          <w:spacing w:val="-4"/>
          <w:vertAlign w:val="baseline"/>
        </w:rPr>
        <w:t>getting</w:t>
      </w:r>
      <w:r>
        <w:rPr>
          <w:color w:val="231F20"/>
          <w:spacing w:val="-9"/>
          <w:vertAlign w:val="baseline"/>
        </w:rPr>
        <w:t> </w:t>
      </w:r>
      <w:r>
        <w:rPr>
          <w:color w:val="231F20"/>
          <w:spacing w:val="-4"/>
          <w:vertAlign w:val="baseline"/>
        </w:rPr>
        <w:t>HIV</w:t>
      </w:r>
      <w:r>
        <w:rPr>
          <w:color w:val="231F20"/>
          <w:spacing w:val="-12"/>
          <w:vertAlign w:val="baseline"/>
        </w:rPr>
        <w:t> </w:t>
      </w:r>
      <w:r>
        <w:rPr>
          <w:color w:val="231F20"/>
          <w:spacing w:val="-4"/>
          <w:vertAlign w:val="baseline"/>
        </w:rPr>
        <w:t>is</w:t>
      </w:r>
      <w:r>
        <w:rPr>
          <w:color w:val="231F20"/>
          <w:spacing w:val="-9"/>
          <w:vertAlign w:val="baseline"/>
        </w:rPr>
        <w:t> </w:t>
      </w:r>
      <w:r>
        <w:rPr>
          <w:color w:val="231F20"/>
          <w:spacing w:val="-4"/>
          <w:vertAlign w:val="baseline"/>
        </w:rPr>
        <w:t>4</w:t>
      </w:r>
      <w:r>
        <w:rPr>
          <w:color w:val="231F20"/>
          <w:spacing w:val="-9"/>
          <w:vertAlign w:val="baseline"/>
        </w:rPr>
        <w:t> </w:t>
      </w:r>
      <w:r>
        <w:rPr>
          <w:color w:val="231F20"/>
          <w:spacing w:val="-4"/>
          <w:vertAlign w:val="baseline"/>
        </w:rPr>
        <w:t>to</w:t>
      </w:r>
      <w:r>
        <w:rPr>
          <w:color w:val="231F20"/>
          <w:spacing w:val="-9"/>
          <w:vertAlign w:val="baseline"/>
        </w:rPr>
        <w:t> </w:t>
      </w:r>
      <w:r>
        <w:rPr>
          <w:color w:val="231F20"/>
          <w:spacing w:val="-4"/>
          <w:vertAlign w:val="baseline"/>
        </w:rPr>
        <w:t>10</w:t>
      </w:r>
      <w:r>
        <w:rPr>
          <w:color w:val="231F20"/>
          <w:spacing w:val="-9"/>
          <w:vertAlign w:val="baseline"/>
        </w:rPr>
        <w:t> </w:t>
      </w:r>
      <w:r>
        <w:rPr>
          <w:color w:val="231F20"/>
          <w:spacing w:val="-4"/>
          <w:vertAlign w:val="baseline"/>
        </w:rPr>
        <w:t>times</w:t>
      </w:r>
      <w:r>
        <w:rPr>
          <w:color w:val="231F20"/>
          <w:spacing w:val="-9"/>
          <w:vertAlign w:val="baseline"/>
        </w:rPr>
        <w:t> </w:t>
      </w:r>
      <w:r>
        <w:rPr>
          <w:color w:val="231F20"/>
          <w:spacing w:val="-4"/>
          <w:vertAlign w:val="baseline"/>
        </w:rPr>
        <w:t>greater</w:t>
      </w:r>
      <w:r>
        <w:rPr>
          <w:color w:val="231F20"/>
          <w:spacing w:val="-9"/>
          <w:vertAlign w:val="baseline"/>
        </w:rPr>
        <w:t> </w:t>
      </w:r>
      <w:r>
        <w:rPr>
          <w:color w:val="231F20"/>
          <w:spacing w:val="-4"/>
          <w:vertAlign w:val="baseline"/>
        </w:rPr>
        <w:t>for</w:t>
      </w:r>
      <w:r>
        <w:rPr>
          <w:color w:val="231F20"/>
          <w:spacing w:val="-9"/>
          <w:vertAlign w:val="baseline"/>
        </w:rPr>
        <w:t> </w:t>
      </w:r>
      <w:r>
        <w:rPr>
          <w:color w:val="231F20"/>
          <w:spacing w:val="-4"/>
          <w:vertAlign w:val="baseline"/>
        </w:rPr>
        <w:t>people</w:t>
      </w:r>
      <w:r>
        <w:rPr>
          <w:color w:val="231F20"/>
          <w:spacing w:val="-9"/>
          <w:vertAlign w:val="baseline"/>
        </w:rPr>
        <w:t> </w:t>
      </w:r>
      <w:r>
        <w:rPr>
          <w:color w:val="231F20"/>
          <w:spacing w:val="-4"/>
          <w:vertAlign w:val="baseline"/>
        </w:rPr>
        <w:t>with</w:t>
      </w:r>
      <w:r>
        <w:rPr>
          <w:color w:val="231F20"/>
          <w:spacing w:val="-8"/>
          <w:vertAlign w:val="baseline"/>
        </w:rPr>
        <w:t> </w:t>
      </w:r>
      <w:r>
        <w:rPr>
          <w:color w:val="231F20"/>
          <w:spacing w:val="-4"/>
          <w:vertAlign w:val="baseline"/>
        </w:rPr>
        <w:t>mental</w:t>
      </w:r>
      <w:r>
        <w:rPr>
          <w:color w:val="231F20"/>
          <w:spacing w:val="-9"/>
          <w:vertAlign w:val="baseline"/>
        </w:rPr>
        <w:t> </w:t>
      </w:r>
      <w:r>
        <w:rPr>
          <w:color w:val="231F20"/>
          <w:spacing w:val="-4"/>
          <w:vertAlign w:val="baseline"/>
        </w:rPr>
        <w:t>illness.</w:t>
      </w:r>
      <w:r>
        <w:rPr>
          <w:color w:val="231F20"/>
          <w:spacing w:val="-4"/>
          <w:vertAlign w:val="superscript"/>
        </w:rPr>
        <w:t>3</w:t>
      </w:r>
    </w:p>
    <w:p>
      <w:pPr>
        <w:pStyle w:val="BodyText"/>
        <w:spacing w:line="266" w:lineRule="auto" w:before="174"/>
        <w:ind w:left="764" w:right="1242"/>
      </w:pPr>
      <w:r>
        <w:rPr>
          <w:color w:val="231F20"/>
          <w:spacing w:val="-4"/>
        </w:rPr>
        <w:t>This guide reviews effective programs </w:t>
      </w:r>
      <w:r>
        <w:rPr>
          <w:color w:val="231F20"/>
          <w:spacing w:val="-3"/>
        </w:rPr>
        <w:t>and practices to prevent HIV and increase adherence to and retention in</w:t>
      </w:r>
      <w:r>
        <w:rPr>
          <w:color w:val="231F20"/>
          <w:spacing w:val="-2"/>
        </w:rPr>
        <w:t> </w:t>
      </w:r>
      <w:r>
        <w:rPr>
          <w:color w:val="231F20"/>
          <w:spacing w:val="-3"/>
        </w:rPr>
        <w:t>care.</w:t>
      </w:r>
      <w:r>
        <w:rPr>
          <w:color w:val="231F20"/>
          <w:spacing w:val="-11"/>
        </w:rPr>
        <w:t> </w:t>
      </w:r>
      <w:r>
        <w:rPr>
          <w:color w:val="231F20"/>
          <w:spacing w:val="-3"/>
        </w:rPr>
        <w:t>I</w:t>
      </w:r>
      <w:r>
        <w:rPr>
          <w:color w:val="231F20"/>
          <w:spacing w:val="-11"/>
        </w:rPr>
        <w:t> </w:t>
      </w:r>
      <w:r>
        <w:rPr>
          <w:color w:val="231F20"/>
          <w:spacing w:val="-3"/>
        </w:rPr>
        <w:t>encourage</w:t>
      </w:r>
      <w:r>
        <w:rPr>
          <w:color w:val="231F20"/>
          <w:spacing w:val="-10"/>
        </w:rPr>
        <w:t> </w:t>
      </w:r>
      <w:r>
        <w:rPr>
          <w:color w:val="231F20"/>
          <w:spacing w:val="-3"/>
        </w:rPr>
        <w:t>you</w:t>
      </w:r>
      <w:r>
        <w:rPr>
          <w:color w:val="231F20"/>
          <w:spacing w:val="-11"/>
        </w:rPr>
        <w:t> </w:t>
      </w:r>
      <w:r>
        <w:rPr>
          <w:color w:val="231F20"/>
          <w:spacing w:val="-3"/>
        </w:rPr>
        <w:t>to</w:t>
      </w:r>
      <w:r>
        <w:rPr>
          <w:color w:val="231F20"/>
          <w:spacing w:val="-10"/>
        </w:rPr>
        <w:t> </w:t>
      </w:r>
      <w:r>
        <w:rPr>
          <w:color w:val="231F20"/>
          <w:spacing w:val="-3"/>
        </w:rPr>
        <w:t>use</w:t>
      </w:r>
      <w:r>
        <w:rPr>
          <w:color w:val="231F20"/>
          <w:spacing w:val="-11"/>
        </w:rPr>
        <w:t> </w:t>
      </w:r>
      <w:r>
        <w:rPr>
          <w:color w:val="231F20"/>
          <w:spacing w:val="-3"/>
        </w:rPr>
        <w:t>this</w:t>
      </w:r>
      <w:r>
        <w:rPr>
          <w:color w:val="231F20"/>
          <w:spacing w:val="-10"/>
        </w:rPr>
        <w:t> </w:t>
      </w:r>
      <w:r>
        <w:rPr>
          <w:color w:val="231F20"/>
          <w:spacing w:val="-3"/>
        </w:rPr>
        <w:t>guide</w:t>
      </w:r>
      <w:r>
        <w:rPr>
          <w:color w:val="231F20"/>
          <w:spacing w:val="-11"/>
        </w:rPr>
        <w:t> </w:t>
      </w:r>
      <w:r>
        <w:rPr>
          <w:color w:val="231F20"/>
          <w:spacing w:val="-3"/>
        </w:rPr>
        <w:t>to</w:t>
      </w:r>
      <w:r>
        <w:rPr>
          <w:color w:val="231F20"/>
          <w:spacing w:val="-10"/>
        </w:rPr>
        <w:t> </w:t>
      </w:r>
      <w:r>
        <w:rPr>
          <w:color w:val="231F20"/>
          <w:spacing w:val="-3"/>
        </w:rPr>
        <w:t>become</w:t>
      </w:r>
      <w:r>
        <w:rPr>
          <w:color w:val="231F20"/>
          <w:spacing w:val="-11"/>
        </w:rPr>
        <w:t> </w:t>
      </w:r>
      <w:r>
        <w:rPr>
          <w:color w:val="231F20"/>
          <w:spacing w:val="-3"/>
        </w:rPr>
        <w:t>informed</w:t>
      </w:r>
      <w:r>
        <w:rPr>
          <w:color w:val="231F20"/>
          <w:spacing w:val="-11"/>
        </w:rPr>
        <w:t> </w:t>
      </w:r>
      <w:r>
        <w:rPr>
          <w:color w:val="231F20"/>
          <w:spacing w:val="-2"/>
        </w:rPr>
        <w:t>about</w:t>
      </w:r>
      <w:r>
        <w:rPr>
          <w:color w:val="231F20"/>
          <w:spacing w:val="-10"/>
        </w:rPr>
        <w:t> </w:t>
      </w:r>
      <w:r>
        <w:rPr>
          <w:color w:val="231F20"/>
          <w:spacing w:val="-2"/>
        </w:rPr>
        <w:t>the</w:t>
      </w:r>
      <w:r>
        <w:rPr>
          <w:color w:val="231F20"/>
          <w:spacing w:val="-11"/>
        </w:rPr>
        <w:t> </w:t>
      </w:r>
      <w:r>
        <w:rPr>
          <w:color w:val="231F20"/>
          <w:spacing w:val="-2"/>
        </w:rPr>
        <w:t>populations</w:t>
      </w:r>
      <w:r>
        <w:rPr>
          <w:color w:val="231F20"/>
          <w:spacing w:val="-10"/>
        </w:rPr>
        <w:t> </w:t>
      </w:r>
      <w:r>
        <w:rPr>
          <w:color w:val="231F20"/>
          <w:spacing w:val="-2"/>
        </w:rPr>
        <w:t>experiencing</w:t>
      </w:r>
      <w:r>
        <w:rPr>
          <w:color w:val="231F20"/>
          <w:spacing w:val="-11"/>
        </w:rPr>
        <w:t> </w:t>
      </w:r>
      <w:r>
        <w:rPr>
          <w:color w:val="231F20"/>
          <w:spacing w:val="-2"/>
        </w:rPr>
        <w:t>mental</w:t>
      </w:r>
      <w:r>
        <w:rPr>
          <w:color w:val="231F20"/>
          <w:spacing w:val="-7"/>
        </w:rPr>
        <w:t> </w:t>
      </w:r>
      <w:r>
        <w:rPr>
          <w:color w:val="231F20"/>
          <w:spacing w:val="-2"/>
        </w:rPr>
        <w:t>illness</w:t>
      </w:r>
      <w:r>
        <w:rPr>
          <w:color w:val="231F20"/>
          <w:spacing w:val="-6"/>
        </w:rPr>
        <w:t> </w:t>
      </w:r>
      <w:r>
        <w:rPr>
          <w:color w:val="231F20"/>
          <w:spacing w:val="-2"/>
        </w:rPr>
        <w:t>and/</w:t>
      </w:r>
      <w:r>
        <w:rPr>
          <w:color w:val="231F20"/>
          <w:spacing w:val="-52"/>
        </w:rPr>
        <w:t> </w:t>
      </w:r>
      <w:r>
        <w:rPr>
          <w:color w:val="231F20"/>
          <w:spacing w:val="-3"/>
        </w:rPr>
        <w:t>or SUD with or at risk for HIV; to review the current evidence on </w:t>
      </w:r>
      <w:r>
        <w:rPr>
          <w:color w:val="231F20"/>
          <w:spacing w:val="-2"/>
        </w:rPr>
        <w:t>the effectiveness of programs and practices to</w:t>
      </w:r>
      <w:r>
        <w:rPr>
          <w:color w:val="231F20"/>
          <w:spacing w:val="-1"/>
        </w:rPr>
        <w:t> </w:t>
      </w:r>
      <w:r>
        <w:rPr>
          <w:color w:val="231F20"/>
          <w:spacing w:val="-4"/>
        </w:rPr>
        <w:t>prevent</w:t>
      </w:r>
      <w:r>
        <w:rPr>
          <w:color w:val="231F20"/>
          <w:spacing w:val="-8"/>
        </w:rPr>
        <w:t> </w:t>
      </w:r>
      <w:r>
        <w:rPr>
          <w:color w:val="231F20"/>
          <w:spacing w:val="-4"/>
        </w:rPr>
        <w:t>HIV</w:t>
      </w:r>
      <w:r>
        <w:rPr>
          <w:color w:val="231F20"/>
          <w:spacing w:val="-12"/>
        </w:rPr>
        <w:t> </w:t>
      </w:r>
      <w:r>
        <w:rPr>
          <w:color w:val="231F20"/>
          <w:spacing w:val="-4"/>
        </w:rPr>
        <w:t>among</w:t>
      </w:r>
      <w:r>
        <w:rPr>
          <w:color w:val="231F20"/>
          <w:spacing w:val="-8"/>
        </w:rPr>
        <w:t> </w:t>
      </w:r>
      <w:r>
        <w:rPr>
          <w:color w:val="231F20"/>
          <w:spacing w:val="-4"/>
        </w:rPr>
        <w:t>this</w:t>
      </w:r>
      <w:r>
        <w:rPr>
          <w:color w:val="231F20"/>
          <w:spacing w:val="-7"/>
        </w:rPr>
        <w:t> </w:t>
      </w:r>
      <w:r>
        <w:rPr>
          <w:color w:val="231F20"/>
          <w:spacing w:val="-4"/>
        </w:rPr>
        <w:t>population;</w:t>
      </w:r>
      <w:r>
        <w:rPr>
          <w:color w:val="231F20"/>
          <w:spacing w:val="-8"/>
        </w:rPr>
        <w:t> </w:t>
      </w:r>
      <w:r>
        <w:rPr>
          <w:color w:val="231F20"/>
          <w:spacing w:val="-4"/>
        </w:rPr>
        <w:t>and</w:t>
      </w:r>
      <w:r>
        <w:rPr>
          <w:color w:val="231F20"/>
          <w:spacing w:val="-8"/>
        </w:rPr>
        <w:t> </w:t>
      </w:r>
      <w:r>
        <w:rPr>
          <w:color w:val="231F20"/>
          <w:spacing w:val="-4"/>
        </w:rPr>
        <w:t>to</w:t>
      </w:r>
      <w:r>
        <w:rPr>
          <w:color w:val="231F20"/>
          <w:spacing w:val="-8"/>
        </w:rPr>
        <w:t> </w:t>
      </w:r>
      <w:r>
        <w:rPr>
          <w:color w:val="231F20"/>
          <w:spacing w:val="-4"/>
        </w:rPr>
        <w:t>develop</w:t>
      </w:r>
      <w:r>
        <w:rPr>
          <w:color w:val="231F20"/>
          <w:spacing w:val="-7"/>
        </w:rPr>
        <w:t> </w:t>
      </w:r>
      <w:r>
        <w:rPr>
          <w:color w:val="231F20"/>
          <w:spacing w:val="-3"/>
        </w:rPr>
        <w:t>and</w:t>
      </w:r>
      <w:r>
        <w:rPr>
          <w:color w:val="231F20"/>
          <w:spacing w:val="-8"/>
        </w:rPr>
        <w:t> </w:t>
      </w:r>
      <w:r>
        <w:rPr>
          <w:color w:val="231F20"/>
          <w:spacing w:val="-3"/>
        </w:rPr>
        <w:t>implement</w:t>
      </w:r>
      <w:r>
        <w:rPr>
          <w:color w:val="231F20"/>
          <w:spacing w:val="-8"/>
        </w:rPr>
        <w:t> </w:t>
      </w:r>
      <w:r>
        <w:rPr>
          <w:color w:val="231F20"/>
          <w:spacing w:val="-3"/>
        </w:rPr>
        <w:t>appropriate</w:t>
      </w:r>
      <w:r>
        <w:rPr>
          <w:color w:val="231F20"/>
          <w:spacing w:val="-8"/>
        </w:rPr>
        <w:t> </w:t>
      </w:r>
      <w:r>
        <w:rPr>
          <w:color w:val="231F20"/>
          <w:spacing w:val="-3"/>
        </w:rPr>
        <w:t>and</w:t>
      </w:r>
      <w:r>
        <w:rPr>
          <w:color w:val="231F20"/>
          <w:spacing w:val="-7"/>
        </w:rPr>
        <w:t> </w:t>
      </w:r>
      <w:r>
        <w:rPr>
          <w:color w:val="231F20"/>
          <w:spacing w:val="-3"/>
        </w:rPr>
        <w:t>effective</w:t>
      </w:r>
      <w:r>
        <w:rPr>
          <w:color w:val="231F20"/>
          <w:spacing w:val="-8"/>
        </w:rPr>
        <w:t> </w:t>
      </w:r>
      <w:r>
        <w:rPr>
          <w:color w:val="231F20"/>
          <w:spacing w:val="-3"/>
        </w:rPr>
        <w:t>programming</w:t>
      </w:r>
      <w:r>
        <w:rPr>
          <w:color w:val="231F20"/>
          <w:spacing w:val="-8"/>
        </w:rPr>
        <w:t> </w:t>
      </w:r>
      <w:r>
        <w:rPr>
          <w:color w:val="231F20"/>
          <w:spacing w:val="-3"/>
        </w:rPr>
        <w:t>in</w:t>
      </w:r>
      <w:r>
        <w:rPr>
          <w:color w:val="231F20"/>
          <w:spacing w:val="-8"/>
        </w:rPr>
        <w:t> </w:t>
      </w:r>
      <w:r>
        <w:rPr>
          <w:color w:val="231F20"/>
          <w:spacing w:val="-3"/>
        </w:rPr>
        <w:t>your</w:t>
      </w:r>
      <w:r>
        <w:rPr>
          <w:color w:val="231F20"/>
          <w:spacing w:val="-52"/>
        </w:rPr>
        <w:t> </w:t>
      </w:r>
      <w:r>
        <w:rPr>
          <w:color w:val="231F20"/>
          <w:spacing w:val="-4"/>
        </w:rPr>
        <w:t>communities.</w:t>
      </w:r>
      <w:r>
        <w:rPr>
          <w:color w:val="231F20"/>
          <w:spacing w:val="-8"/>
        </w:rPr>
        <w:t> </w:t>
      </w:r>
      <w:r>
        <w:rPr>
          <w:color w:val="231F20"/>
          <w:spacing w:val="-4"/>
        </w:rPr>
        <w:t>Ultimately,</w:t>
      </w:r>
      <w:r>
        <w:rPr>
          <w:color w:val="231F20"/>
          <w:spacing w:val="-8"/>
        </w:rPr>
        <w:t> </w:t>
      </w:r>
      <w:r>
        <w:rPr>
          <w:color w:val="231F20"/>
          <w:spacing w:val="-4"/>
        </w:rPr>
        <w:t>your</w:t>
      </w:r>
      <w:r>
        <w:rPr>
          <w:color w:val="231F20"/>
          <w:spacing w:val="-8"/>
        </w:rPr>
        <w:t> </w:t>
      </w:r>
      <w:r>
        <w:rPr>
          <w:color w:val="231F20"/>
          <w:spacing w:val="-4"/>
        </w:rPr>
        <w:t>efforts</w:t>
      </w:r>
      <w:r>
        <w:rPr>
          <w:color w:val="231F20"/>
          <w:spacing w:val="-8"/>
        </w:rPr>
        <w:t> </w:t>
      </w:r>
      <w:r>
        <w:rPr>
          <w:color w:val="231F20"/>
          <w:spacing w:val="-4"/>
        </w:rPr>
        <w:t>will</w:t>
      </w:r>
      <w:r>
        <w:rPr>
          <w:color w:val="231F20"/>
          <w:spacing w:val="-8"/>
        </w:rPr>
        <w:t> </w:t>
      </w:r>
      <w:r>
        <w:rPr>
          <w:color w:val="231F20"/>
          <w:spacing w:val="-4"/>
        </w:rPr>
        <w:t>help</w:t>
      </w:r>
      <w:r>
        <w:rPr>
          <w:color w:val="231F20"/>
          <w:spacing w:val="-8"/>
        </w:rPr>
        <w:t> </w:t>
      </w:r>
      <w:r>
        <w:rPr>
          <w:color w:val="231F20"/>
          <w:spacing w:val="-4"/>
        </w:rPr>
        <w:t>meet</w:t>
      </w:r>
      <w:r>
        <w:rPr>
          <w:color w:val="231F20"/>
          <w:spacing w:val="-8"/>
        </w:rPr>
        <w:t> </w:t>
      </w:r>
      <w:r>
        <w:rPr>
          <w:color w:val="231F20"/>
          <w:spacing w:val="-4"/>
        </w:rPr>
        <w:t>the</w:t>
      </w:r>
      <w:r>
        <w:rPr>
          <w:color w:val="231F20"/>
          <w:spacing w:val="-8"/>
        </w:rPr>
        <w:t> </w:t>
      </w:r>
      <w:r>
        <w:rPr>
          <w:color w:val="231F20"/>
          <w:spacing w:val="-3"/>
        </w:rPr>
        <w:t>goals</w:t>
      </w:r>
      <w:r>
        <w:rPr>
          <w:color w:val="231F20"/>
          <w:spacing w:val="-8"/>
        </w:rPr>
        <w:t> </w:t>
      </w:r>
      <w:r>
        <w:rPr>
          <w:color w:val="231F20"/>
          <w:spacing w:val="-3"/>
        </w:rPr>
        <w:t>of</w:t>
      </w:r>
      <w:r>
        <w:rPr>
          <w:color w:val="231F20"/>
          <w:spacing w:val="-8"/>
        </w:rPr>
        <w:t> </w:t>
      </w:r>
      <w:r>
        <w:rPr>
          <w:color w:val="231F20"/>
          <w:spacing w:val="-3"/>
        </w:rPr>
        <w:t>ending</w:t>
      </w:r>
      <w:r>
        <w:rPr>
          <w:color w:val="231F20"/>
          <w:spacing w:val="-8"/>
        </w:rPr>
        <w:t> </w:t>
      </w:r>
      <w:r>
        <w:rPr>
          <w:color w:val="231F20"/>
          <w:spacing w:val="-3"/>
        </w:rPr>
        <w:t>the</w:t>
      </w:r>
      <w:r>
        <w:rPr>
          <w:color w:val="231F20"/>
          <w:spacing w:val="-8"/>
        </w:rPr>
        <w:t> </w:t>
      </w:r>
      <w:r>
        <w:rPr>
          <w:color w:val="231F20"/>
          <w:spacing w:val="-3"/>
        </w:rPr>
        <w:t>HIV</w:t>
      </w:r>
      <w:r>
        <w:rPr>
          <w:color w:val="231F20"/>
          <w:spacing w:val="-12"/>
        </w:rPr>
        <w:t> </w:t>
      </w:r>
      <w:r>
        <w:rPr>
          <w:color w:val="231F20"/>
          <w:spacing w:val="-3"/>
        </w:rPr>
        <w:t>epidemic</w:t>
      </w:r>
      <w:r>
        <w:rPr>
          <w:color w:val="231F20"/>
          <w:spacing w:val="-8"/>
        </w:rPr>
        <w:t> </w:t>
      </w:r>
      <w:r>
        <w:rPr>
          <w:color w:val="231F20"/>
          <w:spacing w:val="-3"/>
        </w:rPr>
        <w:t>over</w:t>
      </w:r>
      <w:r>
        <w:rPr>
          <w:color w:val="231F20"/>
          <w:spacing w:val="-8"/>
        </w:rPr>
        <w:t> </w:t>
      </w:r>
      <w:r>
        <w:rPr>
          <w:color w:val="231F20"/>
          <w:spacing w:val="-3"/>
        </w:rPr>
        <w:t>the</w:t>
      </w:r>
      <w:r>
        <w:rPr>
          <w:color w:val="231F20"/>
          <w:spacing w:val="-8"/>
        </w:rPr>
        <w:t> </w:t>
      </w:r>
      <w:r>
        <w:rPr>
          <w:color w:val="231F20"/>
          <w:spacing w:val="-3"/>
        </w:rPr>
        <w:t>next</w:t>
      </w:r>
      <w:r>
        <w:rPr>
          <w:color w:val="231F20"/>
          <w:spacing w:val="-8"/>
        </w:rPr>
        <w:t> </w:t>
      </w:r>
      <w:r>
        <w:rPr>
          <w:color w:val="231F20"/>
          <w:spacing w:val="-3"/>
        </w:rPr>
        <w:t>decade.</w:t>
      </w:r>
    </w:p>
    <w:p>
      <w:pPr>
        <w:pStyle w:val="BodyText"/>
        <w:rPr>
          <w:sz w:val="24"/>
        </w:rPr>
      </w:pPr>
    </w:p>
    <w:p>
      <w:pPr>
        <w:pStyle w:val="BodyText"/>
        <w:rPr>
          <w:sz w:val="24"/>
        </w:rPr>
      </w:pPr>
    </w:p>
    <w:p>
      <w:pPr>
        <w:pStyle w:val="Heading6"/>
        <w:spacing w:before="164"/>
        <w:ind w:left="764"/>
        <w:jc w:val="both"/>
        <w:rPr>
          <w:rFonts w:ascii="Times New Roman"/>
        </w:rPr>
      </w:pPr>
      <w:r>
        <w:rPr>
          <w:rFonts w:ascii="Times New Roman"/>
          <w:color w:val="231F20"/>
          <w:spacing w:val="-1"/>
        </w:rPr>
        <w:t>Elinore</w:t>
      </w:r>
      <w:r>
        <w:rPr>
          <w:rFonts w:ascii="Times New Roman"/>
          <w:color w:val="231F20"/>
          <w:spacing w:val="-13"/>
        </w:rPr>
        <w:t> </w:t>
      </w:r>
      <w:r>
        <w:rPr>
          <w:rFonts w:ascii="Times New Roman"/>
          <w:color w:val="231F20"/>
          <w:spacing w:val="-1"/>
        </w:rPr>
        <w:t>F.</w:t>
      </w:r>
      <w:r>
        <w:rPr>
          <w:rFonts w:ascii="Times New Roman"/>
          <w:color w:val="231F20"/>
          <w:spacing w:val="-12"/>
        </w:rPr>
        <w:t> </w:t>
      </w:r>
      <w:r>
        <w:rPr>
          <w:rFonts w:ascii="Times New Roman"/>
          <w:color w:val="231F20"/>
          <w:spacing w:val="-1"/>
        </w:rPr>
        <w:t>McCance-Katz,</w:t>
      </w:r>
      <w:r>
        <w:rPr>
          <w:rFonts w:ascii="Times New Roman"/>
          <w:color w:val="231F20"/>
          <w:spacing w:val="-12"/>
        </w:rPr>
        <w:t> </w:t>
      </w:r>
      <w:r>
        <w:rPr>
          <w:rFonts w:ascii="Times New Roman"/>
          <w:color w:val="231F20"/>
          <w:spacing w:val="-1"/>
        </w:rPr>
        <w:t>MD,</w:t>
      </w:r>
      <w:r>
        <w:rPr>
          <w:rFonts w:ascii="Times New Roman"/>
          <w:color w:val="231F20"/>
          <w:spacing w:val="-13"/>
        </w:rPr>
        <w:t> </w:t>
      </w:r>
      <w:r>
        <w:rPr>
          <w:rFonts w:ascii="Times New Roman"/>
          <w:color w:val="231F20"/>
          <w:spacing w:val="-1"/>
        </w:rPr>
        <w:t>PhD</w:t>
      </w:r>
    </w:p>
    <w:p>
      <w:pPr>
        <w:pStyle w:val="BodyText"/>
        <w:spacing w:before="27"/>
        <w:ind w:left="764"/>
        <w:jc w:val="both"/>
      </w:pPr>
      <w:r>
        <w:rPr>
          <w:color w:val="231F20"/>
          <w:spacing w:val="-2"/>
        </w:rPr>
        <w:t>Assistant</w:t>
      </w:r>
      <w:r>
        <w:rPr>
          <w:color w:val="231F20"/>
          <w:spacing w:val="-12"/>
        </w:rPr>
        <w:t> </w:t>
      </w:r>
      <w:r>
        <w:rPr>
          <w:color w:val="231F20"/>
          <w:spacing w:val="-2"/>
        </w:rPr>
        <w:t>Secretary</w:t>
      </w:r>
      <w:r>
        <w:rPr>
          <w:color w:val="231F20"/>
          <w:spacing w:val="-11"/>
        </w:rPr>
        <w:t> </w:t>
      </w:r>
      <w:r>
        <w:rPr>
          <w:color w:val="231F20"/>
          <w:spacing w:val="-1"/>
        </w:rPr>
        <w:t>for</w:t>
      </w:r>
      <w:r>
        <w:rPr>
          <w:color w:val="231F20"/>
          <w:spacing w:val="-10"/>
        </w:rPr>
        <w:t> </w:t>
      </w:r>
      <w:r>
        <w:rPr>
          <w:color w:val="231F20"/>
          <w:spacing w:val="-1"/>
        </w:rPr>
        <w:t>Mental</w:t>
      </w:r>
      <w:r>
        <w:rPr>
          <w:color w:val="231F20"/>
          <w:spacing w:val="-12"/>
        </w:rPr>
        <w:t> </w:t>
      </w:r>
      <w:r>
        <w:rPr>
          <w:color w:val="231F20"/>
          <w:spacing w:val="-1"/>
        </w:rPr>
        <w:t>Health</w:t>
      </w:r>
      <w:r>
        <w:rPr>
          <w:color w:val="231F20"/>
          <w:spacing w:val="-11"/>
        </w:rPr>
        <w:t> </w:t>
      </w:r>
      <w:r>
        <w:rPr>
          <w:color w:val="231F20"/>
          <w:spacing w:val="-1"/>
        </w:rPr>
        <w:t>and</w:t>
      </w:r>
      <w:r>
        <w:rPr>
          <w:color w:val="231F20"/>
          <w:spacing w:val="-10"/>
        </w:rPr>
        <w:t> </w:t>
      </w:r>
      <w:r>
        <w:rPr>
          <w:color w:val="231F20"/>
          <w:spacing w:val="-1"/>
        </w:rPr>
        <w:t>Substance</w:t>
      </w:r>
      <w:r>
        <w:rPr>
          <w:color w:val="231F20"/>
          <w:spacing w:val="-11"/>
        </w:rPr>
        <w:t> </w:t>
      </w:r>
      <w:r>
        <w:rPr>
          <w:color w:val="231F20"/>
          <w:spacing w:val="-1"/>
        </w:rPr>
        <w:t>Use</w:t>
      </w:r>
    </w:p>
    <w:p>
      <w:pPr>
        <w:pStyle w:val="BodyText"/>
        <w:spacing w:before="27"/>
        <w:ind w:left="764"/>
      </w:pPr>
      <w:r>
        <w:rPr>
          <w:color w:val="231F20"/>
          <w:spacing w:val="-1"/>
        </w:rPr>
        <w:t>U.S.</w:t>
      </w:r>
      <w:r>
        <w:rPr>
          <w:color w:val="231F20"/>
          <w:spacing w:val="-13"/>
        </w:rPr>
        <w:t> </w:t>
      </w:r>
      <w:r>
        <w:rPr>
          <w:color w:val="231F20"/>
          <w:spacing w:val="-1"/>
        </w:rPr>
        <w:t>Department</w:t>
      </w:r>
      <w:r>
        <w:rPr>
          <w:color w:val="231F20"/>
          <w:spacing w:val="-12"/>
        </w:rPr>
        <w:t> </w:t>
      </w:r>
      <w:r>
        <w:rPr>
          <w:color w:val="231F20"/>
          <w:spacing w:val="-1"/>
        </w:rPr>
        <w:t>of</w:t>
      </w:r>
      <w:r>
        <w:rPr>
          <w:color w:val="231F20"/>
          <w:spacing w:val="-12"/>
        </w:rPr>
        <w:t> </w:t>
      </w:r>
      <w:r>
        <w:rPr>
          <w:color w:val="231F20"/>
          <w:spacing w:val="-1"/>
        </w:rPr>
        <w:t>Health</w:t>
      </w:r>
      <w:r>
        <w:rPr>
          <w:color w:val="231F20"/>
          <w:spacing w:val="-12"/>
        </w:rPr>
        <w:t> </w:t>
      </w:r>
      <w:r>
        <w:rPr>
          <w:color w:val="231F20"/>
          <w:spacing w:val="-1"/>
        </w:rPr>
        <w:t>and</w:t>
      </w:r>
      <w:r>
        <w:rPr>
          <w:color w:val="231F20"/>
          <w:spacing w:val="-11"/>
        </w:rPr>
        <w:t> </w:t>
      </w:r>
      <w:r>
        <w:rPr>
          <w:color w:val="231F20"/>
          <w:spacing w:val="-1"/>
        </w:rPr>
        <w:t>Human</w:t>
      </w:r>
      <w:r>
        <w:rPr>
          <w:color w:val="231F20"/>
          <w:spacing w:val="-13"/>
        </w:rPr>
        <w:t> </w:t>
      </w:r>
      <w:r>
        <w:rPr>
          <w:color w:val="231F20"/>
          <w:spacing w:val="-1"/>
        </w:rPr>
        <w:t>Services</w:t>
      </w:r>
    </w:p>
    <w:p>
      <w:pPr>
        <w:pStyle w:val="BodyText"/>
        <w:rPr>
          <w:sz w:val="20"/>
        </w:rPr>
      </w:pPr>
    </w:p>
    <w:p>
      <w:pPr>
        <w:pStyle w:val="BodyText"/>
        <w:rPr>
          <w:sz w:val="20"/>
        </w:rPr>
      </w:pPr>
    </w:p>
    <w:p>
      <w:pPr>
        <w:pStyle w:val="BodyText"/>
        <w:rPr>
          <w:sz w:val="20"/>
        </w:rPr>
      </w:pPr>
    </w:p>
    <w:p>
      <w:pPr>
        <w:pStyle w:val="BodyText"/>
        <w:spacing w:before="11"/>
        <w:rPr>
          <w:sz w:val="18"/>
        </w:rPr>
      </w:pPr>
      <w:r>
        <w:rPr/>
        <w:pict>
          <v:shape style="position:absolute;margin-left:66.239799pt;margin-top:12.105332pt;width:72pt;height:.1pt;mso-position-horizontal-relative:page;mso-position-vertical-relative:paragraph;z-index:-15726080;mso-wrap-distance-left:0;mso-wrap-distance-right:0" id="docshape17" coordorigin="1325,242" coordsize="1440,0" path="m1325,242l2765,242e" filled="false" stroked="true" strokeweight="1pt" strokecolor="#231f20">
            <v:path arrowok="t"/>
            <v:stroke dashstyle="solid"/>
            <w10:wrap type="topAndBottom"/>
          </v:shape>
        </w:pict>
      </w:r>
    </w:p>
    <w:p>
      <w:pPr>
        <w:pStyle w:val="ListParagraph"/>
        <w:numPr>
          <w:ilvl w:val="0"/>
          <w:numId w:val="1"/>
        </w:numPr>
        <w:tabs>
          <w:tab w:pos="1035" w:val="left" w:leader="none"/>
        </w:tabs>
        <w:spacing w:line="278" w:lineRule="auto" w:before="62" w:after="0"/>
        <w:ind w:left="1034" w:right="1371" w:hanging="270"/>
        <w:jc w:val="left"/>
        <w:rPr>
          <w:sz w:val="18"/>
        </w:rPr>
      </w:pPr>
      <w:r>
        <w:rPr>
          <w:color w:val="231F20"/>
          <w:spacing w:val="-1"/>
          <w:sz w:val="18"/>
        </w:rPr>
        <w:t>National Institute on Drug Abuse. (2020, April 10). </w:t>
      </w:r>
      <w:r>
        <w:rPr>
          <w:i/>
          <w:color w:val="231F20"/>
          <w:spacing w:val="-1"/>
          <w:sz w:val="18"/>
        </w:rPr>
        <w:t>Common comorbidities </w:t>
      </w:r>
      <w:r>
        <w:rPr>
          <w:i/>
          <w:color w:val="231F20"/>
          <w:sz w:val="18"/>
        </w:rPr>
        <w:t>with substance use disorders research report</w:t>
      </w:r>
      <w:r>
        <w:rPr>
          <w:color w:val="231F20"/>
          <w:sz w:val="18"/>
        </w:rPr>
        <w:t>.</w:t>
      </w:r>
      <w:r>
        <w:rPr>
          <w:color w:val="3953A4"/>
          <w:sz w:val="18"/>
        </w:rPr>
        <w:t> </w:t>
      </w:r>
      <w:hyperlink r:id="rId12">
        <w:r>
          <w:rPr>
            <w:color w:val="3953A4"/>
            <w:sz w:val="18"/>
            <w:u w:val="single" w:color="3953A4"/>
          </w:rPr>
          <w:t>https://</w:t>
        </w:r>
      </w:hyperlink>
      <w:r>
        <w:rPr>
          <w:color w:val="3953A4"/>
          <w:spacing w:val="-42"/>
          <w:sz w:val="18"/>
        </w:rPr>
        <w:t> </w:t>
      </w:r>
      <w:hyperlink r:id="rId12">
        <w:r>
          <w:rPr>
            <w:color w:val="3953A4"/>
            <w:sz w:val="18"/>
            <w:u w:val="single" w:color="3953A4"/>
          </w:rPr>
          <w:t>www.drugabuse.gov/publications/research-reports/common-comorbidities-substance-use-disorders/part-3-connection-between-</w:t>
        </w:r>
      </w:hyperlink>
      <w:r>
        <w:rPr>
          <w:color w:val="3953A4"/>
          <w:spacing w:val="1"/>
          <w:sz w:val="18"/>
        </w:rPr>
        <w:t> </w:t>
      </w:r>
      <w:hyperlink r:id="rId12">
        <w:r>
          <w:rPr>
            <w:color w:val="3953A4"/>
            <w:sz w:val="18"/>
            <w:u w:val="single" w:color="3953A4"/>
          </w:rPr>
          <w:t>substance-use-disorders-hiv</w:t>
        </w:r>
      </w:hyperlink>
    </w:p>
    <w:p>
      <w:pPr>
        <w:pStyle w:val="ListParagraph"/>
        <w:numPr>
          <w:ilvl w:val="0"/>
          <w:numId w:val="1"/>
        </w:numPr>
        <w:tabs>
          <w:tab w:pos="1035" w:val="left" w:leader="none"/>
        </w:tabs>
        <w:spacing w:line="207" w:lineRule="exact" w:before="0" w:after="0"/>
        <w:ind w:left="1034" w:right="0" w:hanging="271"/>
        <w:jc w:val="left"/>
        <w:rPr>
          <w:i/>
          <w:sz w:val="18"/>
        </w:rPr>
      </w:pPr>
      <w:r>
        <w:rPr>
          <w:color w:val="231F20"/>
          <w:spacing w:val="-1"/>
          <w:sz w:val="18"/>
        </w:rPr>
        <w:t>National</w:t>
      </w:r>
      <w:r>
        <w:rPr>
          <w:color w:val="231F20"/>
          <w:spacing w:val="-2"/>
          <w:sz w:val="18"/>
        </w:rPr>
        <w:t> </w:t>
      </w:r>
      <w:r>
        <w:rPr>
          <w:color w:val="231F20"/>
          <w:spacing w:val="-1"/>
          <w:sz w:val="18"/>
        </w:rPr>
        <w:t>Institute</w:t>
      </w:r>
      <w:r>
        <w:rPr>
          <w:color w:val="231F20"/>
          <w:sz w:val="18"/>
        </w:rPr>
        <w:t> on Drug</w:t>
      </w:r>
      <w:r>
        <w:rPr>
          <w:color w:val="231F20"/>
          <w:spacing w:val="-11"/>
          <w:sz w:val="18"/>
        </w:rPr>
        <w:t> </w:t>
      </w:r>
      <w:r>
        <w:rPr>
          <w:color w:val="231F20"/>
          <w:sz w:val="18"/>
        </w:rPr>
        <w:t>Abuse.</w:t>
      </w:r>
      <w:r>
        <w:rPr>
          <w:color w:val="231F20"/>
          <w:spacing w:val="-2"/>
          <w:sz w:val="18"/>
        </w:rPr>
        <w:t> </w:t>
      </w:r>
      <w:r>
        <w:rPr>
          <w:color w:val="231F20"/>
          <w:sz w:val="18"/>
        </w:rPr>
        <w:t>(2020,</w:t>
      </w:r>
      <w:r>
        <w:rPr>
          <w:color w:val="231F20"/>
          <w:spacing w:val="-10"/>
          <w:sz w:val="18"/>
        </w:rPr>
        <w:t> </w:t>
      </w:r>
      <w:r>
        <w:rPr>
          <w:color w:val="231F20"/>
          <w:sz w:val="18"/>
        </w:rPr>
        <w:t>April</w:t>
      </w:r>
      <w:r>
        <w:rPr>
          <w:color w:val="231F20"/>
          <w:spacing w:val="-1"/>
          <w:sz w:val="18"/>
        </w:rPr>
        <w:t> </w:t>
      </w:r>
      <w:r>
        <w:rPr>
          <w:color w:val="231F20"/>
          <w:sz w:val="18"/>
        </w:rPr>
        <w:t>10). </w:t>
      </w:r>
      <w:r>
        <w:rPr>
          <w:i/>
          <w:color w:val="231F20"/>
          <w:sz w:val="18"/>
        </w:rPr>
        <w:t>ibid</w:t>
      </w:r>
    </w:p>
    <w:p>
      <w:pPr>
        <w:pStyle w:val="ListParagraph"/>
        <w:numPr>
          <w:ilvl w:val="0"/>
          <w:numId w:val="1"/>
        </w:numPr>
        <w:tabs>
          <w:tab w:pos="1035" w:val="left" w:leader="none"/>
        </w:tabs>
        <w:spacing w:line="278" w:lineRule="auto" w:before="33" w:after="0"/>
        <w:ind w:left="1034" w:right="1594" w:hanging="270"/>
        <w:jc w:val="left"/>
        <w:rPr>
          <w:sz w:val="18"/>
        </w:rPr>
      </w:pPr>
      <w:r>
        <w:rPr>
          <w:color w:val="231F20"/>
          <w:spacing w:val="-4"/>
          <w:sz w:val="18"/>
        </w:rPr>
        <w:t>Remien,</w:t>
      </w:r>
      <w:r>
        <w:rPr>
          <w:color w:val="231F20"/>
          <w:spacing w:val="-8"/>
          <w:sz w:val="18"/>
        </w:rPr>
        <w:t> </w:t>
      </w:r>
      <w:r>
        <w:rPr>
          <w:color w:val="231F20"/>
          <w:spacing w:val="-4"/>
          <w:sz w:val="18"/>
        </w:rPr>
        <w:t>R.</w:t>
      </w:r>
      <w:r>
        <w:rPr>
          <w:color w:val="231F20"/>
          <w:spacing w:val="-8"/>
          <w:sz w:val="18"/>
        </w:rPr>
        <w:t> </w:t>
      </w:r>
      <w:r>
        <w:rPr>
          <w:color w:val="231F20"/>
          <w:spacing w:val="-4"/>
          <w:sz w:val="18"/>
        </w:rPr>
        <w:t>H.,</w:t>
      </w:r>
      <w:r>
        <w:rPr>
          <w:color w:val="231F20"/>
          <w:spacing w:val="-8"/>
          <w:sz w:val="18"/>
        </w:rPr>
        <w:t> </w:t>
      </w:r>
      <w:r>
        <w:rPr>
          <w:color w:val="231F20"/>
          <w:spacing w:val="-4"/>
          <w:sz w:val="18"/>
        </w:rPr>
        <w:t>Stirratt,</w:t>
      </w:r>
      <w:r>
        <w:rPr>
          <w:color w:val="231F20"/>
          <w:spacing w:val="-7"/>
          <w:sz w:val="18"/>
        </w:rPr>
        <w:t> </w:t>
      </w:r>
      <w:r>
        <w:rPr>
          <w:color w:val="231F20"/>
          <w:spacing w:val="-3"/>
          <w:sz w:val="18"/>
        </w:rPr>
        <w:t>M.</w:t>
      </w:r>
      <w:r>
        <w:rPr>
          <w:color w:val="231F20"/>
          <w:spacing w:val="-8"/>
          <w:sz w:val="18"/>
        </w:rPr>
        <w:t> </w:t>
      </w:r>
      <w:r>
        <w:rPr>
          <w:color w:val="231F20"/>
          <w:spacing w:val="-3"/>
          <w:sz w:val="18"/>
        </w:rPr>
        <w:t>K.,</w:t>
      </w:r>
      <w:r>
        <w:rPr>
          <w:color w:val="231F20"/>
          <w:spacing w:val="-8"/>
          <w:sz w:val="18"/>
        </w:rPr>
        <w:t> </w:t>
      </w:r>
      <w:r>
        <w:rPr>
          <w:color w:val="231F20"/>
          <w:spacing w:val="-3"/>
          <w:sz w:val="18"/>
        </w:rPr>
        <w:t>Nguyen,</w:t>
      </w:r>
      <w:r>
        <w:rPr>
          <w:color w:val="231F20"/>
          <w:spacing w:val="-7"/>
          <w:sz w:val="18"/>
        </w:rPr>
        <w:t> </w:t>
      </w:r>
      <w:r>
        <w:rPr>
          <w:color w:val="231F20"/>
          <w:spacing w:val="-3"/>
          <w:sz w:val="18"/>
        </w:rPr>
        <w:t>N.,</w:t>
      </w:r>
      <w:r>
        <w:rPr>
          <w:color w:val="231F20"/>
          <w:spacing w:val="-8"/>
          <w:sz w:val="18"/>
        </w:rPr>
        <w:t> </w:t>
      </w:r>
      <w:r>
        <w:rPr>
          <w:color w:val="231F20"/>
          <w:spacing w:val="-3"/>
          <w:sz w:val="18"/>
        </w:rPr>
        <w:t>Robbins,</w:t>
      </w:r>
      <w:r>
        <w:rPr>
          <w:color w:val="231F20"/>
          <w:spacing w:val="-8"/>
          <w:sz w:val="18"/>
        </w:rPr>
        <w:t> </w:t>
      </w:r>
      <w:r>
        <w:rPr>
          <w:color w:val="231F20"/>
          <w:spacing w:val="-3"/>
          <w:sz w:val="18"/>
        </w:rPr>
        <w:t>R.</w:t>
      </w:r>
      <w:r>
        <w:rPr>
          <w:color w:val="231F20"/>
          <w:spacing w:val="-8"/>
          <w:sz w:val="18"/>
        </w:rPr>
        <w:t> </w:t>
      </w:r>
      <w:r>
        <w:rPr>
          <w:color w:val="231F20"/>
          <w:spacing w:val="-3"/>
          <w:sz w:val="18"/>
        </w:rPr>
        <w:t>N.,</w:t>
      </w:r>
      <w:r>
        <w:rPr>
          <w:color w:val="231F20"/>
          <w:spacing w:val="-7"/>
          <w:sz w:val="18"/>
        </w:rPr>
        <w:t> </w:t>
      </w:r>
      <w:r>
        <w:rPr>
          <w:color w:val="231F20"/>
          <w:spacing w:val="-3"/>
          <w:sz w:val="18"/>
        </w:rPr>
        <w:t>Pala,</w:t>
      </w:r>
      <w:r>
        <w:rPr>
          <w:color w:val="231F20"/>
          <w:spacing w:val="-18"/>
          <w:sz w:val="18"/>
        </w:rPr>
        <w:t> </w:t>
      </w:r>
      <w:r>
        <w:rPr>
          <w:color w:val="231F20"/>
          <w:spacing w:val="-3"/>
          <w:sz w:val="18"/>
        </w:rPr>
        <w:t>A.</w:t>
      </w:r>
      <w:r>
        <w:rPr>
          <w:color w:val="231F20"/>
          <w:spacing w:val="-8"/>
          <w:sz w:val="18"/>
        </w:rPr>
        <w:t> </w:t>
      </w:r>
      <w:r>
        <w:rPr>
          <w:color w:val="231F20"/>
          <w:spacing w:val="-3"/>
          <w:sz w:val="18"/>
        </w:rPr>
        <w:t>N.,</w:t>
      </w:r>
      <w:r>
        <w:rPr>
          <w:color w:val="231F20"/>
          <w:spacing w:val="-7"/>
          <w:sz w:val="18"/>
        </w:rPr>
        <w:t> </w:t>
      </w:r>
      <w:r>
        <w:rPr>
          <w:color w:val="231F20"/>
          <w:spacing w:val="-3"/>
          <w:sz w:val="18"/>
        </w:rPr>
        <w:t>&amp;</w:t>
      </w:r>
      <w:r>
        <w:rPr>
          <w:color w:val="231F20"/>
          <w:spacing w:val="-8"/>
          <w:sz w:val="18"/>
        </w:rPr>
        <w:t> </w:t>
      </w:r>
      <w:r>
        <w:rPr>
          <w:color w:val="231F20"/>
          <w:spacing w:val="-3"/>
          <w:sz w:val="18"/>
        </w:rPr>
        <w:t>Mellins,</w:t>
      </w:r>
      <w:r>
        <w:rPr>
          <w:color w:val="231F20"/>
          <w:spacing w:val="-8"/>
          <w:sz w:val="18"/>
        </w:rPr>
        <w:t> </w:t>
      </w:r>
      <w:r>
        <w:rPr>
          <w:color w:val="231F20"/>
          <w:spacing w:val="-3"/>
          <w:sz w:val="18"/>
        </w:rPr>
        <w:t>C.</w:t>
      </w:r>
      <w:r>
        <w:rPr>
          <w:color w:val="231F20"/>
          <w:spacing w:val="-18"/>
          <w:sz w:val="18"/>
        </w:rPr>
        <w:t> </w:t>
      </w:r>
      <w:r>
        <w:rPr>
          <w:color w:val="231F20"/>
          <w:spacing w:val="-3"/>
          <w:sz w:val="18"/>
        </w:rPr>
        <w:t>A.</w:t>
      </w:r>
      <w:r>
        <w:rPr>
          <w:color w:val="231F20"/>
          <w:spacing w:val="-7"/>
          <w:sz w:val="18"/>
        </w:rPr>
        <w:t> </w:t>
      </w:r>
      <w:r>
        <w:rPr>
          <w:color w:val="231F20"/>
          <w:spacing w:val="-3"/>
          <w:sz w:val="18"/>
        </w:rPr>
        <w:t>(2019).</w:t>
      </w:r>
      <w:r>
        <w:rPr>
          <w:color w:val="231F20"/>
          <w:spacing w:val="-8"/>
          <w:sz w:val="18"/>
        </w:rPr>
        <w:t> </w:t>
      </w:r>
      <w:r>
        <w:rPr>
          <w:color w:val="231F20"/>
          <w:spacing w:val="-3"/>
          <w:sz w:val="18"/>
        </w:rPr>
        <w:t>Mental</w:t>
      </w:r>
      <w:r>
        <w:rPr>
          <w:color w:val="231F20"/>
          <w:spacing w:val="-8"/>
          <w:sz w:val="18"/>
        </w:rPr>
        <w:t> </w:t>
      </w:r>
      <w:r>
        <w:rPr>
          <w:color w:val="231F20"/>
          <w:spacing w:val="-3"/>
          <w:sz w:val="18"/>
        </w:rPr>
        <w:t>health</w:t>
      </w:r>
      <w:r>
        <w:rPr>
          <w:color w:val="231F20"/>
          <w:spacing w:val="-7"/>
          <w:sz w:val="18"/>
        </w:rPr>
        <w:t> </w:t>
      </w:r>
      <w:r>
        <w:rPr>
          <w:color w:val="231F20"/>
          <w:spacing w:val="-3"/>
          <w:sz w:val="18"/>
        </w:rPr>
        <w:t>and</w:t>
      </w:r>
      <w:r>
        <w:rPr>
          <w:color w:val="231F20"/>
          <w:spacing w:val="-8"/>
          <w:sz w:val="18"/>
        </w:rPr>
        <w:t> </w:t>
      </w:r>
      <w:r>
        <w:rPr>
          <w:color w:val="231F20"/>
          <w:spacing w:val="-3"/>
          <w:sz w:val="18"/>
        </w:rPr>
        <w:t>HIV/AIDS:</w:t>
      </w:r>
      <w:r>
        <w:rPr>
          <w:color w:val="231F20"/>
          <w:spacing w:val="-11"/>
          <w:sz w:val="18"/>
        </w:rPr>
        <w:t> </w:t>
      </w:r>
      <w:r>
        <w:rPr>
          <w:color w:val="231F20"/>
          <w:spacing w:val="-3"/>
          <w:sz w:val="18"/>
        </w:rPr>
        <w:t>The</w:t>
      </w:r>
      <w:r>
        <w:rPr>
          <w:color w:val="231F20"/>
          <w:spacing w:val="-2"/>
          <w:sz w:val="18"/>
        </w:rPr>
        <w:t> </w:t>
      </w:r>
      <w:r>
        <w:rPr>
          <w:color w:val="231F20"/>
          <w:spacing w:val="-4"/>
          <w:sz w:val="18"/>
        </w:rPr>
        <w:t>need</w:t>
      </w:r>
      <w:r>
        <w:rPr>
          <w:color w:val="231F20"/>
          <w:spacing w:val="-8"/>
          <w:sz w:val="18"/>
        </w:rPr>
        <w:t> </w:t>
      </w:r>
      <w:r>
        <w:rPr>
          <w:color w:val="231F20"/>
          <w:spacing w:val="-4"/>
          <w:sz w:val="18"/>
        </w:rPr>
        <w:t>for</w:t>
      </w:r>
      <w:r>
        <w:rPr>
          <w:color w:val="231F20"/>
          <w:spacing w:val="-8"/>
          <w:sz w:val="18"/>
        </w:rPr>
        <w:t> </w:t>
      </w:r>
      <w:r>
        <w:rPr>
          <w:color w:val="231F20"/>
          <w:spacing w:val="-4"/>
          <w:sz w:val="18"/>
        </w:rPr>
        <w:t>an</w:t>
      </w:r>
      <w:r>
        <w:rPr>
          <w:color w:val="231F20"/>
          <w:spacing w:val="-8"/>
          <w:sz w:val="18"/>
        </w:rPr>
        <w:t> </w:t>
      </w:r>
      <w:r>
        <w:rPr>
          <w:color w:val="231F20"/>
          <w:spacing w:val="-4"/>
          <w:sz w:val="18"/>
        </w:rPr>
        <w:t>integrated</w:t>
      </w:r>
      <w:r>
        <w:rPr>
          <w:color w:val="231F20"/>
          <w:spacing w:val="-8"/>
          <w:sz w:val="18"/>
        </w:rPr>
        <w:t> </w:t>
      </w:r>
      <w:r>
        <w:rPr>
          <w:color w:val="231F20"/>
          <w:spacing w:val="-4"/>
          <w:sz w:val="18"/>
        </w:rPr>
        <w:t>response.</w:t>
      </w:r>
      <w:r>
        <w:rPr>
          <w:color w:val="231F20"/>
          <w:spacing w:val="-8"/>
          <w:sz w:val="18"/>
        </w:rPr>
        <w:t> </w:t>
      </w:r>
      <w:r>
        <w:rPr>
          <w:i/>
          <w:color w:val="231F20"/>
          <w:spacing w:val="-4"/>
          <w:sz w:val="18"/>
        </w:rPr>
        <w:t>AIDS,</w:t>
      </w:r>
      <w:r>
        <w:rPr>
          <w:i/>
          <w:color w:val="231F20"/>
          <w:spacing w:val="-8"/>
          <w:sz w:val="18"/>
        </w:rPr>
        <w:t> </w:t>
      </w:r>
      <w:r>
        <w:rPr>
          <w:i/>
          <w:color w:val="231F20"/>
          <w:spacing w:val="-4"/>
          <w:sz w:val="18"/>
        </w:rPr>
        <w:t>33</w:t>
      </w:r>
      <w:r>
        <w:rPr>
          <w:color w:val="231F20"/>
          <w:spacing w:val="-4"/>
          <w:sz w:val="18"/>
        </w:rPr>
        <w:t>(9),</w:t>
      </w:r>
      <w:r>
        <w:rPr>
          <w:color w:val="231F20"/>
          <w:spacing w:val="-8"/>
          <w:sz w:val="18"/>
        </w:rPr>
        <w:t> </w:t>
      </w:r>
      <w:r>
        <w:rPr>
          <w:color w:val="231F20"/>
          <w:spacing w:val="-4"/>
          <w:sz w:val="18"/>
        </w:rPr>
        <w:t>1411-1420.</w:t>
      </w:r>
      <w:r>
        <w:rPr>
          <w:color w:val="231F20"/>
          <w:spacing w:val="-8"/>
          <w:sz w:val="18"/>
        </w:rPr>
        <w:t> </w:t>
      </w:r>
      <w:r>
        <w:rPr>
          <w:color w:val="231F20"/>
          <w:spacing w:val="-4"/>
          <w:sz w:val="18"/>
        </w:rPr>
        <w:t>doi:</w:t>
      </w:r>
      <w:r>
        <w:rPr>
          <w:color w:val="231F20"/>
          <w:spacing w:val="-8"/>
          <w:sz w:val="18"/>
        </w:rPr>
        <w:t> </w:t>
      </w:r>
      <w:r>
        <w:rPr>
          <w:color w:val="231F20"/>
          <w:spacing w:val="-3"/>
          <w:sz w:val="18"/>
        </w:rPr>
        <w:t>10.1097/QAD.0000000000002227</w:t>
      </w:r>
    </w:p>
    <w:p>
      <w:pPr>
        <w:spacing w:after="0" w:line="278" w:lineRule="auto"/>
        <w:jc w:val="left"/>
        <w:rPr>
          <w:sz w:val="18"/>
        </w:rPr>
        <w:sectPr>
          <w:headerReference w:type="default" r:id="rId9"/>
          <w:footerReference w:type="default" r:id="rId10"/>
          <w:pgSz w:w="12240" w:h="15840"/>
          <w:pgMar w:header="0" w:footer="666" w:top="380" w:bottom="860" w:left="5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5"/>
        </w:rPr>
      </w:pPr>
    </w:p>
    <w:p>
      <w:pPr>
        <w:pStyle w:val="Heading1"/>
        <w:spacing w:line="196" w:lineRule="auto"/>
        <w:ind w:left="2046" w:right="2660"/>
      </w:pPr>
      <w:bookmarkStart w:name="_bookmark0" w:id="9"/>
      <w:bookmarkEnd w:id="9"/>
      <w:r>
        <w:rPr/>
      </w:r>
      <w:bookmarkStart w:name="FOREWORD Evidence-Based Resource Guide S" w:id="10"/>
      <w:bookmarkEnd w:id="10"/>
      <w:r>
        <w:rPr/>
      </w:r>
      <w:r>
        <w:rPr>
          <w:color w:val="1C384B"/>
          <w:spacing w:val="-3"/>
        </w:rPr>
        <w:t>Evidence-Based</w:t>
      </w:r>
      <w:r>
        <w:rPr>
          <w:color w:val="1C384B"/>
          <w:spacing w:val="-31"/>
        </w:rPr>
        <w:t> </w:t>
      </w:r>
      <w:r>
        <w:rPr>
          <w:color w:val="1C384B"/>
          <w:spacing w:val="-3"/>
        </w:rPr>
        <w:t>Resource</w:t>
      </w:r>
      <w:r>
        <w:rPr>
          <w:color w:val="1C384B"/>
          <w:spacing w:val="-30"/>
        </w:rPr>
        <w:t> </w:t>
      </w:r>
      <w:r>
        <w:rPr>
          <w:color w:val="1C384B"/>
          <w:spacing w:val="-2"/>
        </w:rPr>
        <w:t>Guide</w:t>
      </w:r>
      <w:r>
        <w:rPr>
          <w:color w:val="1C384B"/>
          <w:spacing w:val="-130"/>
        </w:rPr>
        <w:t> </w:t>
      </w:r>
      <w:r>
        <w:rPr>
          <w:color w:val="1C384B"/>
        </w:rPr>
        <w:t>Series</w:t>
      </w:r>
      <w:r>
        <w:rPr>
          <w:color w:val="1C384B"/>
          <w:spacing w:val="-11"/>
        </w:rPr>
        <w:t> </w:t>
      </w:r>
      <w:r>
        <w:rPr>
          <w:color w:val="1C384B"/>
        </w:rPr>
        <w:t>Overview</w:t>
      </w:r>
    </w:p>
    <w:p>
      <w:pPr>
        <w:pStyle w:val="BodyText"/>
        <w:rPr>
          <w:rFonts w:ascii="Arial Black"/>
          <w:sz w:val="20"/>
        </w:rPr>
      </w:pPr>
    </w:p>
    <w:p>
      <w:pPr>
        <w:pStyle w:val="BodyText"/>
        <w:spacing w:before="1"/>
        <w:rPr>
          <w:rFonts w:ascii="Arial Black"/>
          <w:sz w:val="11"/>
        </w:rPr>
      </w:pPr>
      <w:r>
        <w:rPr/>
        <w:pict>
          <v:shape style="position:absolute;margin-left:36pt;margin-top:9.02657pt;width:540pt;height:.1pt;mso-position-horizontal-relative:page;mso-position-vertical-relative:paragraph;z-index:-15725056;mso-wrap-distance-left:0;mso-wrap-distance-right:0" id="docshape21" coordorigin="720,181" coordsize="10800,0" path="m720,181l11520,181e" filled="false" stroked="true" strokeweight="1pt" strokecolor="#ce372e">
            <v:path arrowok="t"/>
            <v:stroke dashstyle="solid"/>
            <w10:wrap type="topAndBottom"/>
          </v:shape>
        </w:pict>
      </w:r>
    </w:p>
    <w:p>
      <w:pPr>
        <w:pStyle w:val="BodyText"/>
        <w:spacing w:before="11"/>
        <w:rPr>
          <w:rFonts w:ascii="Arial Black"/>
          <w:sz w:val="23"/>
        </w:rPr>
      </w:pPr>
    </w:p>
    <w:p>
      <w:pPr>
        <w:spacing w:after="0"/>
        <w:rPr>
          <w:rFonts w:ascii="Arial Black"/>
          <w:sz w:val="23"/>
        </w:rPr>
        <w:sectPr>
          <w:headerReference w:type="default" r:id="rId13"/>
          <w:footerReference w:type="default" r:id="rId14"/>
          <w:pgSz w:w="12240" w:h="15840"/>
          <w:pgMar w:header="0" w:footer="666" w:top="0" w:bottom="860" w:left="560" w:right="0"/>
          <w:pgNumType w:start="4"/>
        </w:sectPr>
      </w:pPr>
    </w:p>
    <w:p>
      <w:pPr>
        <w:pStyle w:val="BodyText"/>
        <w:spacing w:line="266" w:lineRule="auto" w:before="91"/>
        <w:ind w:left="160" w:right="38"/>
      </w:pPr>
      <w:r>
        <w:rPr>
          <w:color w:val="231F20"/>
          <w:spacing w:val="-1"/>
        </w:rPr>
        <w:t>The Substance Abuse and Mental Health </w:t>
      </w:r>
      <w:r>
        <w:rPr>
          <w:color w:val="231F20"/>
        </w:rPr>
        <w:t>Services</w:t>
      </w:r>
      <w:r>
        <w:rPr>
          <w:color w:val="231F20"/>
          <w:spacing w:val="1"/>
        </w:rPr>
        <w:t> </w:t>
      </w:r>
      <w:r>
        <w:rPr>
          <w:color w:val="231F20"/>
        </w:rPr>
        <w:t>Administration (SAMHSA), and specifically, the</w:t>
      </w:r>
      <w:r>
        <w:rPr>
          <w:color w:val="231F20"/>
          <w:spacing w:val="1"/>
        </w:rPr>
        <w:t> </w:t>
      </w:r>
      <w:r>
        <w:rPr>
          <w:color w:val="231F20"/>
        </w:rPr>
        <w:t>National Mental Health and Substance Use Policy</w:t>
      </w:r>
      <w:r>
        <w:rPr>
          <w:color w:val="231F20"/>
          <w:spacing w:val="1"/>
        </w:rPr>
        <w:t> </w:t>
      </w:r>
      <w:r>
        <w:rPr>
          <w:color w:val="231F20"/>
        </w:rPr>
        <w:t>Laboratory (Policy Lab), is pleased to fulfill the charge</w:t>
      </w:r>
      <w:r>
        <w:rPr>
          <w:color w:val="231F20"/>
          <w:spacing w:val="1"/>
        </w:rPr>
        <w:t> </w:t>
      </w:r>
      <w:r>
        <w:rPr>
          <w:color w:val="231F20"/>
          <w:spacing w:val="-1"/>
        </w:rPr>
        <w:t>of the 21st </w:t>
      </w:r>
      <w:r>
        <w:rPr>
          <w:color w:val="231F20"/>
        </w:rPr>
        <w:t>Century Cures Act to disseminate information</w:t>
      </w:r>
      <w:r>
        <w:rPr>
          <w:color w:val="231F20"/>
          <w:spacing w:val="-52"/>
        </w:rPr>
        <w:t> </w:t>
      </w:r>
      <w:r>
        <w:rPr>
          <w:color w:val="231F20"/>
        </w:rPr>
        <w:t>on evidence-based practices and service delivery models</w:t>
      </w:r>
      <w:r>
        <w:rPr>
          <w:color w:val="231F20"/>
          <w:spacing w:val="-52"/>
        </w:rPr>
        <w:t> </w:t>
      </w:r>
      <w:r>
        <w:rPr>
          <w:color w:val="231F20"/>
        </w:rPr>
        <w:t>to prevent substance misuse and help people with</w:t>
      </w:r>
      <w:r>
        <w:rPr>
          <w:color w:val="231F20"/>
          <w:spacing w:val="1"/>
        </w:rPr>
        <w:t> </w:t>
      </w:r>
      <w:r>
        <w:rPr>
          <w:color w:val="231F20"/>
        </w:rPr>
        <w:t>substance use disorders (SUD), serious mental illnesses</w:t>
      </w:r>
      <w:r>
        <w:rPr>
          <w:color w:val="231F20"/>
          <w:spacing w:val="1"/>
        </w:rPr>
        <w:t> </w:t>
      </w:r>
      <w:r>
        <w:rPr>
          <w:color w:val="231F20"/>
        </w:rPr>
        <w:t>(SMI), and serious emotional disturbances (SED) get the</w:t>
      </w:r>
      <w:r>
        <w:rPr>
          <w:color w:val="231F20"/>
          <w:spacing w:val="-52"/>
        </w:rPr>
        <w:t> </w:t>
      </w:r>
      <w:r>
        <w:rPr>
          <w:color w:val="231F20"/>
        </w:rPr>
        <w:t>treatment</w:t>
      </w:r>
      <w:r>
        <w:rPr>
          <w:color w:val="231F20"/>
          <w:spacing w:val="-1"/>
        </w:rPr>
        <w:t> </w:t>
      </w:r>
      <w:r>
        <w:rPr>
          <w:color w:val="231F20"/>
        </w:rPr>
        <w:t>and support</w:t>
      </w:r>
      <w:r>
        <w:rPr>
          <w:color w:val="231F20"/>
          <w:spacing w:val="-1"/>
        </w:rPr>
        <w:t> </w:t>
      </w:r>
      <w:r>
        <w:rPr>
          <w:color w:val="231F20"/>
        </w:rPr>
        <w:t>they need.</w:t>
      </w:r>
    </w:p>
    <w:p>
      <w:pPr>
        <w:pStyle w:val="BodyText"/>
        <w:spacing w:line="266" w:lineRule="auto" w:before="173"/>
        <w:ind w:left="160" w:right="126"/>
      </w:pPr>
      <w:r>
        <w:rPr>
          <w:color w:val="231F20"/>
        </w:rPr>
        <w:t>Treatment and recovery for SUD, SMI, and SED can</w:t>
      </w:r>
      <w:r>
        <w:rPr>
          <w:color w:val="231F20"/>
          <w:spacing w:val="1"/>
        </w:rPr>
        <w:t> </w:t>
      </w:r>
      <w:r>
        <w:rPr>
          <w:color w:val="231F20"/>
        </w:rPr>
        <w:t>vary based on a number of geographic, socio-economic,</w:t>
      </w:r>
      <w:r>
        <w:rPr>
          <w:color w:val="231F20"/>
          <w:spacing w:val="-53"/>
        </w:rPr>
        <w:t> </w:t>
      </w:r>
      <w:r>
        <w:rPr>
          <w:color w:val="231F20"/>
        </w:rPr>
        <w:t>cultural, gender, race, ethnicity, and age-related factors,</w:t>
      </w:r>
      <w:r>
        <w:rPr>
          <w:color w:val="231F20"/>
          <w:spacing w:val="-52"/>
        </w:rPr>
        <w:t> </w:t>
      </w:r>
      <w:r>
        <w:rPr>
          <w:color w:val="231F20"/>
        </w:rPr>
        <w:t>which</w:t>
      </w:r>
      <w:r>
        <w:rPr>
          <w:color w:val="231F20"/>
          <w:spacing w:val="-2"/>
        </w:rPr>
        <w:t> </w:t>
      </w:r>
      <w:r>
        <w:rPr>
          <w:color w:val="231F20"/>
        </w:rPr>
        <w:t>can</w:t>
      </w:r>
      <w:r>
        <w:rPr>
          <w:color w:val="231F20"/>
          <w:spacing w:val="-1"/>
        </w:rPr>
        <w:t> </w:t>
      </w:r>
      <w:r>
        <w:rPr>
          <w:color w:val="231F20"/>
        </w:rPr>
        <w:t>complicate evaluating</w:t>
      </w:r>
      <w:r>
        <w:rPr>
          <w:color w:val="231F20"/>
          <w:spacing w:val="-1"/>
        </w:rPr>
        <w:t> </w:t>
      </w:r>
      <w:r>
        <w:rPr>
          <w:color w:val="231F20"/>
        </w:rPr>
        <w:t>the</w:t>
      </w:r>
      <w:r>
        <w:rPr>
          <w:color w:val="231F20"/>
          <w:spacing w:val="-1"/>
        </w:rPr>
        <w:t> </w:t>
      </w:r>
      <w:r>
        <w:rPr>
          <w:color w:val="231F20"/>
        </w:rPr>
        <w:t>effectiveness</w:t>
      </w:r>
    </w:p>
    <w:p>
      <w:pPr>
        <w:pStyle w:val="BodyText"/>
        <w:spacing w:line="266" w:lineRule="auto"/>
        <w:ind w:left="160" w:right="308"/>
      </w:pPr>
      <w:r>
        <w:rPr>
          <w:color w:val="231F20"/>
        </w:rPr>
        <w:t>of services, treatments, and supports. Despite these</w:t>
      </w:r>
      <w:r>
        <w:rPr>
          <w:color w:val="231F20"/>
          <w:spacing w:val="1"/>
        </w:rPr>
        <w:t> </w:t>
      </w:r>
      <w:r>
        <w:rPr>
          <w:color w:val="231F20"/>
        </w:rPr>
        <w:t>variations, however, there is substantial evidence to</w:t>
      </w:r>
      <w:r>
        <w:rPr>
          <w:color w:val="231F20"/>
          <w:spacing w:val="1"/>
        </w:rPr>
        <w:t> </w:t>
      </w:r>
      <w:r>
        <w:rPr>
          <w:color w:val="231F20"/>
        </w:rPr>
        <w:t>inform the types of resources that can help reduce</w:t>
      </w:r>
      <w:r>
        <w:rPr>
          <w:color w:val="231F20"/>
          <w:spacing w:val="1"/>
        </w:rPr>
        <w:t> </w:t>
      </w:r>
      <w:r>
        <w:rPr>
          <w:color w:val="231F20"/>
        </w:rPr>
        <w:t>substance use, lessen symptoms of mental illness, and</w:t>
      </w:r>
      <w:r>
        <w:rPr>
          <w:color w:val="231F20"/>
          <w:spacing w:val="-52"/>
        </w:rPr>
        <w:t> </w:t>
      </w:r>
      <w:r>
        <w:rPr>
          <w:color w:val="231F20"/>
        </w:rPr>
        <w:t>improve quality of life.</w:t>
      </w:r>
    </w:p>
    <w:p>
      <w:pPr>
        <w:pStyle w:val="BodyText"/>
        <w:spacing w:line="266" w:lineRule="auto" w:before="92"/>
        <w:ind w:left="160" w:right="1017"/>
      </w:pPr>
      <w:r>
        <w:rPr/>
        <w:br w:type="column"/>
      </w:r>
      <w:r>
        <w:rPr>
          <w:color w:val="231F20"/>
        </w:rPr>
        <w:t>This Evidence-Based Resource Guide Series contains</w:t>
      </w:r>
      <w:r>
        <w:rPr>
          <w:color w:val="231F20"/>
          <w:spacing w:val="-52"/>
        </w:rPr>
        <w:t> </w:t>
      </w:r>
      <w:r>
        <w:rPr>
          <w:color w:val="231F20"/>
        </w:rPr>
        <w:t>a</w:t>
      </w:r>
      <w:r>
        <w:rPr>
          <w:color w:val="231F20"/>
          <w:spacing w:val="-1"/>
        </w:rPr>
        <w:t> </w:t>
      </w:r>
      <w:r>
        <w:rPr>
          <w:color w:val="231F20"/>
        </w:rPr>
        <w:t>comprehensive set</w:t>
      </w:r>
      <w:r>
        <w:rPr>
          <w:color w:val="231F20"/>
          <w:spacing w:val="-2"/>
        </w:rPr>
        <w:t> </w:t>
      </w:r>
      <w:r>
        <w:rPr>
          <w:color w:val="231F20"/>
        </w:rPr>
        <w:t>of modules with</w:t>
      </w:r>
      <w:r>
        <w:rPr>
          <w:color w:val="231F20"/>
          <w:spacing w:val="-2"/>
        </w:rPr>
        <w:t> </w:t>
      </w:r>
      <w:r>
        <w:rPr>
          <w:color w:val="231F20"/>
        </w:rPr>
        <w:t>information</w:t>
      </w:r>
    </w:p>
    <w:p>
      <w:pPr>
        <w:pStyle w:val="BodyText"/>
        <w:spacing w:line="266" w:lineRule="auto"/>
        <w:ind w:left="160" w:right="1189"/>
      </w:pPr>
      <w:r>
        <w:rPr>
          <w:color w:val="231F20"/>
        </w:rPr>
        <w:t>to improve health outcomes for people at risk for</w:t>
      </w:r>
      <w:r>
        <w:rPr>
          <w:color w:val="231F20"/>
          <w:spacing w:val="1"/>
        </w:rPr>
        <w:t> </w:t>
      </w:r>
      <w:r>
        <w:rPr>
          <w:color w:val="231F20"/>
        </w:rPr>
        <w:t>developing, living with, or recovering from mental</w:t>
      </w:r>
      <w:r>
        <w:rPr>
          <w:color w:val="231F20"/>
          <w:spacing w:val="1"/>
        </w:rPr>
        <w:t> </w:t>
      </w:r>
      <w:r>
        <w:rPr>
          <w:color w:val="231F20"/>
        </w:rPr>
        <w:t>illness and/or SUD. It is designed for practitioners,</w:t>
      </w:r>
      <w:r>
        <w:rPr>
          <w:color w:val="231F20"/>
          <w:spacing w:val="1"/>
        </w:rPr>
        <w:t> </w:t>
      </w:r>
      <w:r>
        <w:rPr>
          <w:color w:val="231F20"/>
        </w:rPr>
        <w:t>administrators, community leaders, and others</w:t>
      </w:r>
      <w:r>
        <w:rPr>
          <w:color w:val="231F20"/>
          <w:spacing w:val="1"/>
        </w:rPr>
        <w:t> </w:t>
      </w:r>
      <w:r>
        <w:rPr>
          <w:color w:val="231F20"/>
        </w:rPr>
        <w:t>considering</w:t>
      </w:r>
      <w:r>
        <w:rPr>
          <w:color w:val="231F20"/>
          <w:spacing w:val="-4"/>
        </w:rPr>
        <w:t> </w:t>
      </w:r>
      <w:r>
        <w:rPr>
          <w:color w:val="231F20"/>
        </w:rPr>
        <w:t>an</w:t>
      </w:r>
      <w:r>
        <w:rPr>
          <w:color w:val="231F20"/>
          <w:spacing w:val="-3"/>
        </w:rPr>
        <w:t> </w:t>
      </w:r>
      <w:r>
        <w:rPr>
          <w:color w:val="231F20"/>
        </w:rPr>
        <w:t>intervention</w:t>
      </w:r>
      <w:r>
        <w:rPr>
          <w:color w:val="231F20"/>
          <w:spacing w:val="-3"/>
        </w:rPr>
        <w:t> </w:t>
      </w:r>
      <w:r>
        <w:rPr>
          <w:color w:val="231F20"/>
        </w:rPr>
        <w:t>for</w:t>
      </w:r>
      <w:r>
        <w:rPr>
          <w:color w:val="231F20"/>
          <w:spacing w:val="-3"/>
        </w:rPr>
        <w:t> </w:t>
      </w:r>
      <w:r>
        <w:rPr>
          <w:color w:val="231F20"/>
        </w:rPr>
        <w:t>their</w:t>
      </w:r>
      <w:r>
        <w:rPr>
          <w:color w:val="231F20"/>
          <w:spacing w:val="-3"/>
        </w:rPr>
        <w:t> </w:t>
      </w:r>
      <w:r>
        <w:rPr>
          <w:color w:val="231F20"/>
        </w:rPr>
        <w:t>organization</w:t>
      </w:r>
      <w:r>
        <w:rPr>
          <w:color w:val="231F20"/>
          <w:spacing w:val="-3"/>
        </w:rPr>
        <w:t> </w:t>
      </w:r>
      <w:r>
        <w:rPr>
          <w:color w:val="231F20"/>
        </w:rPr>
        <w:t>or</w:t>
      </w:r>
      <w:r>
        <w:rPr>
          <w:color w:val="231F20"/>
          <w:spacing w:val="-52"/>
        </w:rPr>
        <w:t> </w:t>
      </w:r>
      <w:r>
        <w:rPr>
          <w:color w:val="231F20"/>
        </w:rPr>
        <w:t>community.</w:t>
      </w:r>
    </w:p>
    <w:p>
      <w:pPr>
        <w:pStyle w:val="BodyText"/>
        <w:spacing w:line="266" w:lineRule="auto" w:before="174"/>
        <w:ind w:left="160" w:right="1018"/>
      </w:pPr>
      <w:r>
        <w:rPr>
          <w:color w:val="231F20"/>
        </w:rPr>
        <w:t>A priority topic for SAMHSA is preventing human</w:t>
      </w:r>
      <w:r>
        <w:rPr>
          <w:color w:val="231F20"/>
          <w:spacing w:val="1"/>
        </w:rPr>
        <w:t> </w:t>
      </w:r>
      <w:r>
        <w:rPr>
          <w:color w:val="231F20"/>
        </w:rPr>
        <w:t>immunodeficiency virus (HIV) among people with</w:t>
      </w:r>
      <w:r>
        <w:rPr>
          <w:color w:val="231F20"/>
          <w:spacing w:val="1"/>
        </w:rPr>
        <w:t> </w:t>
      </w:r>
      <w:r>
        <w:rPr>
          <w:color w:val="231F20"/>
        </w:rPr>
        <w:t>mental illness and/or SUD and linking people with</w:t>
      </w:r>
      <w:r>
        <w:rPr>
          <w:color w:val="231F20"/>
          <w:spacing w:val="1"/>
        </w:rPr>
        <w:t> </w:t>
      </w:r>
      <w:r>
        <w:rPr>
          <w:color w:val="231F20"/>
        </w:rPr>
        <w:t>HIV and co-occurring mental illness and/or SUD to</w:t>
      </w:r>
      <w:r>
        <w:rPr>
          <w:color w:val="231F20"/>
          <w:spacing w:val="1"/>
        </w:rPr>
        <w:t> </w:t>
      </w:r>
      <w:r>
        <w:rPr>
          <w:color w:val="231F20"/>
        </w:rPr>
        <w:t>HIV care. This guide reviews research findings and</w:t>
      </w:r>
      <w:r>
        <w:rPr>
          <w:color w:val="231F20"/>
          <w:spacing w:val="1"/>
        </w:rPr>
        <w:t> </w:t>
      </w:r>
      <w:r>
        <w:rPr>
          <w:color w:val="231F20"/>
        </w:rPr>
        <w:t>literature</w:t>
      </w:r>
      <w:r>
        <w:rPr>
          <w:color w:val="231F20"/>
          <w:spacing w:val="-3"/>
        </w:rPr>
        <w:t> </w:t>
      </w:r>
      <w:r>
        <w:rPr>
          <w:color w:val="231F20"/>
        </w:rPr>
        <w:t>related</w:t>
      </w:r>
      <w:r>
        <w:rPr>
          <w:color w:val="231F20"/>
          <w:spacing w:val="-3"/>
        </w:rPr>
        <w:t> </w:t>
      </w:r>
      <w:r>
        <w:rPr>
          <w:color w:val="231F20"/>
        </w:rPr>
        <w:t>to</w:t>
      </w:r>
      <w:r>
        <w:rPr>
          <w:color w:val="231F20"/>
          <w:spacing w:val="-3"/>
        </w:rPr>
        <w:t> </w:t>
      </w:r>
      <w:r>
        <w:rPr>
          <w:color w:val="231F20"/>
        </w:rPr>
        <w:t>this</w:t>
      </w:r>
      <w:r>
        <w:rPr>
          <w:color w:val="231F20"/>
          <w:spacing w:val="-2"/>
        </w:rPr>
        <w:t> </w:t>
      </w:r>
      <w:r>
        <w:rPr>
          <w:color w:val="231F20"/>
        </w:rPr>
        <w:t>issue,</w:t>
      </w:r>
      <w:r>
        <w:rPr>
          <w:color w:val="231F20"/>
          <w:spacing w:val="-3"/>
        </w:rPr>
        <w:t> </w:t>
      </w:r>
      <w:r>
        <w:rPr>
          <w:color w:val="231F20"/>
        </w:rPr>
        <w:t>examines</w:t>
      </w:r>
      <w:r>
        <w:rPr>
          <w:color w:val="231F20"/>
          <w:spacing w:val="-3"/>
        </w:rPr>
        <w:t> </w:t>
      </w:r>
      <w:r>
        <w:rPr>
          <w:color w:val="231F20"/>
        </w:rPr>
        <w:t>emerging</w:t>
      </w:r>
      <w:r>
        <w:rPr>
          <w:color w:val="231F20"/>
          <w:spacing w:val="-2"/>
        </w:rPr>
        <w:t> </w:t>
      </w:r>
      <w:r>
        <w:rPr>
          <w:color w:val="231F20"/>
        </w:rPr>
        <w:t>and</w:t>
      </w:r>
    </w:p>
    <w:p>
      <w:pPr>
        <w:pStyle w:val="BodyText"/>
        <w:spacing w:line="249" w:lineRule="exact"/>
        <w:ind w:left="160"/>
      </w:pPr>
      <w:r>
        <w:rPr>
          <w:color w:val="231F20"/>
        </w:rPr>
        <w:t>best</w:t>
      </w:r>
      <w:r>
        <w:rPr>
          <w:color w:val="231F20"/>
          <w:spacing w:val="-3"/>
        </w:rPr>
        <w:t> </w:t>
      </w:r>
      <w:r>
        <w:rPr>
          <w:color w:val="231F20"/>
        </w:rPr>
        <w:t>practices,</w:t>
      </w:r>
      <w:r>
        <w:rPr>
          <w:color w:val="231F20"/>
          <w:spacing w:val="-3"/>
        </w:rPr>
        <w:t> </w:t>
      </w:r>
      <w:r>
        <w:rPr>
          <w:color w:val="231F20"/>
        </w:rPr>
        <w:t>and</w:t>
      </w:r>
      <w:r>
        <w:rPr>
          <w:color w:val="231F20"/>
          <w:spacing w:val="-2"/>
        </w:rPr>
        <w:t> </w:t>
      </w:r>
      <w:r>
        <w:rPr>
          <w:color w:val="231F20"/>
        </w:rPr>
        <w:t>identifies</w:t>
      </w:r>
      <w:r>
        <w:rPr>
          <w:color w:val="231F20"/>
          <w:spacing w:val="-3"/>
        </w:rPr>
        <w:t> </w:t>
      </w:r>
      <w:r>
        <w:rPr>
          <w:color w:val="231F20"/>
        </w:rPr>
        <w:t>challenges</w:t>
      </w:r>
      <w:r>
        <w:rPr>
          <w:color w:val="231F20"/>
          <w:spacing w:val="-2"/>
        </w:rPr>
        <w:t> </w:t>
      </w:r>
      <w:r>
        <w:rPr>
          <w:color w:val="231F20"/>
        </w:rPr>
        <w:t>and</w:t>
      </w:r>
      <w:r>
        <w:rPr>
          <w:color w:val="231F20"/>
          <w:spacing w:val="-3"/>
        </w:rPr>
        <w:t> </w:t>
      </w:r>
      <w:r>
        <w:rPr>
          <w:color w:val="231F20"/>
        </w:rPr>
        <w:t>strategies</w:t>
      </w:r>
      <w:r>
        <w:rPr>
          <w:color w:val="231F20"/>
          <w:spacing w:val="-3"/>
        </w:rPr>
        <w:t> </w:t>
      </w:r>
      <w:r>
        <w:rPr>
          <w:color w:val="231F20"/>
        </w:rPr>
        <w:t>for</w:t>
      </w:r>
    </w:p>
    <w:p>
      <w:pPr>
        <w:pStyle w:val="BodyText"/>
        <w:spacing w:before="27"/>
        <w:ind w:left="160"/>
      </w:pPr>
      <w:r>
        <w:rPr>
          <w:color w:val="231F20"/>
        </w:rPr>
        <w:t>implementation.</w:t>
      </w:r>
    </w:p>
    <w:p>
      <w:pPr>
        <w:spacing w:after="0"/>
        <w:sectPr>
          <w:type w:val="continuous"/>
          <w:pgSz w:w="12240" w:h="15840"/>
          <w:pgMar w:header="0" w:footer="666" w:top="1500" w:bottom="0" w:left="560" w:right="0"/>
          <w:cols w:num="2" w:equalWidth="0">
            <w:col w:w="5236" w:space="524"/>
            <w:col w:w="5920"/>
          </w:cols>
        </w:sectPr>
      </w:pPr>
    </w:p>
    <w:p>
      <w:pPr>
        <w:pStyle w:val="BodyText"/>
        <w:rPr>
          <w:sz w:val="20"/>
        </w:rPr>
      </w:pPr>
      <w:r>
        <w:rPr/>
        <w:pict>
          <v:group style="position:absolute;margin-left:36pt;margin-top:0pt;width:576pt;height:244.7pt;mso-position-horizontal-relative:page;mso-position-vertical-relative:page;z-index:-18159616" id="docshapegroup22" coordorigin="720,0" coordsize="11520,4894">
            <v:rect style="position:absolute;left:2390;top:0;width:9850;height:394" id="docshape23" filled="true" fillcolor="#1d384a" stroked="false">
              <v:fill type="solid"/>
            </v:rect>
            <v:shape style="position:absolute;left:720;top:0;width:1671;height:4894" type="#_x0000_t202" id="docshape24" filled="true" fillcolor="#cf382d" stroked="false">
              <v:textbox inset="0,0,0,0">
                <w:txbxContent>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line="240" w:lineRule="auto" w:before="0"/>
                      <w:rPr>
                        <w:color w:val="000000"/>
                        <w:sz w:val="22"/>
                      </w:rPr>
                    </w:pPr>
                  </w:p>
                  <w:p>
                    <w:pPr>
                      <w:spacing w:before="157"/>
                      <w:ind w:left="170" w:right="0" w:firstLine="0"/>
                      <w:jc w:val="left"/>
                      <w:rPr>
                        <w:rFonts w:ascii="Arial"/>
                        <w:color w:val="000000"/>
                        <w:sz w:val="20"/>
                      </w:rPr>
                    </w:pPr>
                    <w:r>
                      <w:rPr>
                        <w:rFonts w:ascii="Arial"/>
                        <w:color w:val="FFFFFF"/>
                        <w:spacing w:val="17"/>
                        <w:sz w:val="20"/>
                      </w:rPr>
                      <w:t>FOREWORD</w:t>
                    </w:r>
                    <w:r>
                      <w:rPr>
                        <w:rFonts w:ascii="Arial"/>
                        <w:color w:val="FFFFFF"/>
                        <w:spacing w:val="-36"/>
                        <w:sz w:val="20"/>
                      </w:rPr>
                      <w:t> </w:t>
                    </w:r>
                  </w:p>
                </w:txbxContent>
              </v:textbox>
              <v:fill type="solid"/>
              <w10:wrap type="none"/>
            </v:shape>
            <w10:wrap type="none"/>
          </v:group>
        </w:pict>
      </w:r>
    </w:p>
    <w:p>
      <w:pPr>
        <w:pStyle w:val="BodyText"/>
        <w:rPr>
          <w:sz w:val="20"/>
        </w:rPr>
      </w:pPr>
    </w:p>
    <w:p>
      <w:pPr>
        <w:pStyle w:val="BodyText"/>
        <w:spacing w:before="1"/>
        <w:rPr>
          <w:sz w:val="24"/>
        </w:rPr>
      </w:pPr>
    </w:p>
    <w:p>
      <w:pPr>
        <w:pStyle w:val="BodyText"/>
        <w:ind w:left="160"/>
        <w:rPr>
          <w:sz w:val="20"/>
        </w:rPr>
      </w:pPr>
      <w:r>
        <w:rPr>
          <w:sz w:val="20"/>
        </w:rPr>
        <w:pict>
          <v:group style="width:540pt;height:116.95pt;mso-position-horizontal-relative:char;mso-position-vertical-relative:line" id="docshapegroup25" coordorigin="0,0" coordsize="10800,2339">
            <v:shape style="position:absolute;left:0;top:0;width:10800;height:2339" id="docshape26" coordorigin="0,0" coordsize="10800,2339" path="m10710,0l90,0,55,7,26,26,7,55,0,90,0,2248,7,2283,26,2312,55,2331,90,2338,10710,2338,10745,2331,10774,2312,10793,2283,10800,2248,10800,90,10793,55,10774,26,10745,7,10710,0xe" filled="true" fillcolor="#f7e0e0" stroked="false">
              <v:path arrowok="t"/>
              <v:fill type="solid"/>
            </v:shape>
            <v:shape style="position:absolute;left:0;top:0;width:10800;height:2339" type="#_x0000_t202" id="docshape27" filled="false" stroked="false">
              <v:textbox inset="0,0,0,0">
                <w:txbxContent>
                  <w:p>
                    <w:pPr>
                      <w:spacing w:line="259" w:lineRule="auto" w:before="136"/>
                      <w:ind w:left="180" w:right="276" w:firstLine="0"/>
                      <w:jc w:val="left"/>
                      <w:rPr>
                        <w:rFonts w:ascii="Arial" w:hAnsi="Arial"/>
                        <w:sz w:val="21"/>
                      </w:rPr>
                    </w:pPr>
                    <w:r>
                      <w:rPr>
                        <w:rFonts w:ascii="Arial" w:hAnsi="Arial"/>
                        <w:color w:val="010202"/>
                        <w:sz w:val="21"/>
                      </w:rPr>
                      <w:t>SAMHSA’s</w:t>
                    </w:r>
                    <w:r>
                      <w:rPr>
                        <w:rFonts w:ascii="Arial" w:hAnsi="Arial"/>
                        <w:color w:val="010202"/>
                        <w:spacing w:val="2"/>
                        <w:sz w:val="21"/>
                      </w:rPr>
                      <w:t> </w:t>
                    </w:r>
                    <w:r>
                      <w:rPr>
                        <w:rFonts w:ascii="Arial" w:hAnsi="Arial"/>
                        <w:color w:val="010202"/>
                        <w:sz w:val="21"/>
                      </w:rPr>
                      <w:t>Policy</w:t>
                    </w:r>
                    <w:r>
                      <w:rPr>
                        <w:rFonts w:ascii="Arial" w:hAnsi="Arial"/>
                        <w:color w:val="010202"/>
                        <w:spacing w:val="2"/>
                        <w:sz w:val="21"/>
                      </w:rPr>
                      <w:t> </w:t>
                    </w:r>
                    <w:r>
                      <w:rPr>
                        <w:rFonts w:ascii="Arial" w:hAnsi="Arial"/>
                        <w:color w:val="010202"/>
                        <w:sz w:val="21"/>
                      </w:rPr>
                      <w:t>Lab</w:t>
                    </w:r>
                    <w:r>
                      <w:rPr>
                        <w:rFonts w:ascii="Arial" w:hAnsi="Arial"/>
                        <w:color w:val="010202"/>
                        <w:spacing w:val="2"/>
                        <w:sz w:val="21"/>
                      </w:rPr>
                      <w:t> </w:t>
                    </w:r>
                    <w:r>
                      <w:rPr>
                        <w:rFonts w:ascii="Arial" w:hAnsi="Arial"/>
                        <w:color w:val="010202"/>
                        <w:sz w:val="21"/>
                      </w:rPr>
                      <w:t>developed</w:t>
                    </w:r>
                    <w:r>
                      <w:rPr>
                        <w:rFonts w:ascii="Arial" w:hAnsi="Arial"/>
                        <w:color w:val="010202"/>
                        <w:spacing w:val="2"/>
                        <w:sz w:val="21"/>
                      </w:rPr>
                      <w:t> </w:t>
                    </w:r>
                    <w:r>
                      <w:rPr>
                        <w:rFonts w:ascii="Arial" w:hAnsi="Arial"/>
                        <w:color w:val="010202"/>
                        <w:sz w:val="21"/>
                      </w:rPr>
                      <w:t>this</w:t>
                    </w:r>
                    <w:r>
                      <w:rPr>
                        <w:rFonts w:ascii="Arial" w:hAnsi="Arial"/>
                        <w:color w:val="010202"/>
                        <w:spacing w:val="3"/>
                        <w:sz w:val="21"/>
                      </w:rPr>
                      <w:t> </w:t>
                    </w:r>
                    <w:r>
                      <w:rPr>
                        <w:rFonts w:ascii="Arial" w:hAnsi="Arial"/>
                        <w:color w:val="010202"/>
                        <w:sz w:val="21"/>
                      </w:rPr>
                      <w:t>guide</w:t>
                    </w:r>
                    <w:r>
                      <w:rPr>
                        <w:rFonts w:ascii="Arial" w:hAnsi="Arial"/>
                        <w:color w:val="010202"/>
                        <w:spacing w:val="2"/>
                        <w:sz w:val="21"/>
                      </w:rPr>
                      <w:t> </w:t>
                    </w:r>
                    <w:r>
                      <w:rPr>
                        <w:rFonts w:ascii="Arial" w:hAnsi="Arial"/>
                        <w:color w:val="010202"/>
                        <w:sz w:val="21"/>
                      </w:rPr>
                      <w:t>between</w:t>
                    </w:r>
                    <w:r>
                      <w:rPr>
                        <w:rFonts w:ascii="Arial" w:hAnsi="Arial"/>
                        <w:color w:val="010202"/>
                        <w:spacing w:val="2"/>
                        <w:sz w:val="21"/>
                      </w:rPr>
                      <w:t> </w:t>
                    </w:r>
                    <w:r>
                      <w:rPr>
                        <w:rFonts w:ascii="Arial" w:hAnsi="Arial"/>
                        <w:color w:val="010202"/>
                        <w:sz w:val="21"/>
                      </w:rPr>
                      <w:t>2019</w:t>
                    </w:r>
                    <w:r>
                      <w:rPr>
                        <w:rFonts w:ascii="Arial" w:hAnsi="Arial"/>
                        <w:color w:val="010202"/>
                        <w:spacing w:val="2"/>
                        <w:sz w:val="21"/>
                      </w:rPr>
                      <w:t> </w:t>
                    </w:r>
                    <w:r>
                      <w:rPr>
                        <w:rFonts w:ascii="Arial" w:hAnsi="Arial"/>
                        <w:color w:val="010202"/>
                        <w:sz w:val="21"/>
                      </w:rPr>
                      <w:t>and</w:t>
                    </w:r>
                    <w:r>
                      <w:rPr>
                        <w:rFonts w:ascii="Arial" w:hAnsi="Arial"/>
                        <w:color w:val="010202"/>
                        <w:spacing w:val="2"/>
                        <w:sz w:val="21"/>
                      </w:rPr>
                      <w:t> </w:t>
                    </w:r>
                    <w:r>
                      <w:rPr>
                        <w:rFonts w:ascii="Arial" w:hAnsi="Arial"/>
                        <w:color w:val="010202"/>
                        <w:sz w:val="21"/>
                      </w:rPr>
                      <w:t>2020,</w:t>
                    </w:r>
                    <w:r>
                      <w:rPr>
                        <w:rFonts w:ascii="Arial" w:hAnsi="Arial"/>
                        <w:color w:val="010202"/>
                        <w:spacing w:val="3"/>
                        <w:sz w:val="21"/>
                      </w:rPr>
                      <w:t> </w:t>
                    </w:r>
                    <w:r>
                      <w:rPr>
                        <w:rFonts w:ascii="Arial" w:hAnsi="Arial"/>
                        <w:color w:val="010202"/>
                        <w:sz w:val="21"/>
                      </w:rPr>
                      <w:t>prior</w:t>
                    </w:r>
                    <w:r>
                      <w:rPr>
                        <w:rFonts w:ascii="Arial" w:hAnsi="Arial"/>
                        <w:color w:val="010202"/>
                        <w:spacing w:val="2"/>
                        <w:sz w:val="21"/>
                      </w:rPr>
                      <w:t> </w:t>
                    </w:r>
                    <w:r>
                      <w:rPr>
                        <w:rFonts w:ascii="Arial" w:hAnsi="Arial"/>
                        <w:color w:val="010202"/>
                        <w:sz w:val="21"/>
                      </w:rPr>
                      <w:t>to</w:t>
                    </w:r>
                    <w:r>
                      <w:rPr>
                        <w:rFonts w:ascii="Arial" w:hAnsi="Arial"/>
                        <w:color w:val="010202"/>
                        <w:spacing w:val="2"/>
                        <w:sz w:val="21"/>
                      </w:rPr>
                      <w:t> </w:t>
                    </w:r>
                    <w:r>
                      <w:rPr>
                        <w:rFonts w:ascii="Arial" w:hAnsi="Arial"/>
                        <w:color w:val="010202"/>
                        <w:sz w:val="21"/>
                      </w:rPr>
                      <w:t>and</w:t>
                    </w:r>
                    <w:r>
                      <w:rPr>
                        <w:rFonts w:ascii="Arial" w:hAnsi="Arial"/>
                        <w:color w:val="010202"/>
                        <w:spacing w:val="2"/>
                        <w:sz w:val="21"/>
                      </w:rPr>
                      <w:t> </w:t>
                    </w:r>
                    <w:r>
                      <w:rPr>
                        <w:rFonts w:ascii="Arial" w:hAnsi="Arial"/>
                        <w:color w:val="010202"/>
                        <w:sz w:val="21"/>
                      </w:rPr>
                      <w:t>during</w:t>
                    </w:r>
                    <w:r>
                      <w:rPr>
                        <w:rFonts w:ascii="Arial" w:hAnsi="Arial"/>
                        <w:color w:val="010202"/>
                        <w:spacing w:val="3"/>
                        <w:sz w:val="21"/>
                      </w:rPr>
                      <w:t> </w:t>
                    </w:r>
                    <w:r>
                      <w:rPr>
                        <w:rFonts w:ascii="Arial" w:hAnsi="Arial"/>
                        <w:color w:val="010202"/>
                        <w:sz w:val="21"/>
                      </w:rPr>
                      <w:t>the</w:t>
                    </w:r>
                    <w:r>
                      <w:rPr>
                        <w:rFonts w:ascii="Arial" w:hAnsi="Arial"/>
                        <w:color w:val="010202"/>
                        <w:spacing w:val="2"/>
                        <w:sz w:val="21"/>
                      </w:rPr>
                      <w:t> </w:t>
                    </w:r>
                    <w:r>
                      <w:rPr>
                        <w:rFonts w:ascii="Arial" w:hAnsi="Arial"/>
                        <w:color w:val="010202"/>
                        <w:sz w:val="21"/>
                      </w:rPr>
                      <w:t>COVID-19</w:t>
                    </w:r>
                    <w:r>
                      <w:rPr>
                        <w:rFonts w:ascii="Arial" w:hAnsi="Arial"/>
                        <w:color w:val="010202"/>
                        <w:spacing w:val="1"/>
                        <w:sz w:val="21"/>
                      </w:rPr>
                      <w:t> </w:t>
                    </w:r>
                    <w:r>
                      <w:rPr>
                        <w:rFonts w:ascii="Arial" w:hAnsi="Arial"/>
                        <w:color w:val="010202"/>
                        <w:sz w:val="21"/>
                      </w:rPr>
                      <w:t>pandemic.</w:t>
                    </w:r>
                    <w:r>
                      <w:rPr>
                        <w:rFonts w:ascii="Arial" w:hAnsi="Arial"/>
                        <w:color w:val="010202"/>
                        <w:spacing w:val="-2"/>
                        <w:sz w:val="21"/>
                      </w:rPr>
                      <w:t> </w:t>
                    </w:r>
                    <w:r>
                      <w:rPr>
                        <w:rFonts w:ascii="Arial" w:hAnsi="Arial"/>
                        <w:color w:val="010202"/>
                        <w:sz w:val="21"/>
                      </w:rPr>
                      <w:t>The</w:t>
                    </w:r>
                    <w:r>
                      <w:rPr>
                        <w:rFonts w:ascii="Arial" w:hAnsi="Arial"/>
                        <w:color w:val="010202"/>
                        <w:spacing w:val="3"/>
                        <w:sz w:val="21"/>
                      </w:rPr>
                      <w:t> </w:t>
                    </w:r>
                    <w:r>
                      <w:rPr>
                        <w:rFonts w:ascii="Arial" w:hAnsi="Arial"/>
                        <w:color w:val="010202"/>
                        <w:sz w:val="21"/>
                      </w:rPr>
                      <w:t>practices</w:t>
                    </w:r>
                    <w:r>
                      <w:rPr>
                        <w:rFonts w:ascii="Arial" w:hAnsi="Arial"/>
                        <w:color w:val="010202"/>
                        <w:spacing w:val="3"/>
                        <w:sz w:val="21"/>
                      </w:rPr>
                      <w:t> </w:t>
                    </w:r>
                    <w:r>
                      <w:rPr>
                        <w:rFonts w:ascii="Arial" w:hAnsi="Arial"/>
                        <w:color w:val="010202"/>
                        <w:sz w:val="21"/>
                      </w:rPr>
                      <w:t>and</w:t>
                    </w:r>
                    <w:r>
                      <w:rPr>
                        <w:rFonts w:ascii="Arial" w:hAnsi="Arial"/>
                        <w:color w:val="010202"/>
                        <w:spacing w:val="3"/>
                        <w:sz w:val="21"/>
                      </w:rPr>
                      <w:t> </w:t>
                    </w:r>
                    <w:r>
                      <w:rPr>
                        <w:rFonts w:ascii="Arial" w:hAnsi="Arial"/>
                        <w:color w:val="010202"/>
                        <w:sz w:val="21"/>
                      </w:rPr>
                      <w:t>programs</w:t>
                    </w:r>
                    <w:r>
                      <w:rPr>
                        <w:rFonts w:ascii="Arial" w:hAnsi="Arial"/>
                        <w:color w:val="010202"/>
                        <w:spacing w:val="2"/>
                        <w:sz w:val="21"/>
                      </w:rPr>
                      <w:t> </w:t>
                    </w:r>
                    <w:r>
                      <w:rPr>
                        <w:rFonts w:ascii="Arial" w:hAnsi="Arial"/>
                        <w:color w:val="010202"/>
                        <w:sz w:val="21"/>
                      </w:rPr>
                      <w:t>included</w:t>
                    </w:r>
                    <w:r>
                      <w:rPr>
                        <w:rFonts w:ascii="Arial" w:hAnsi="Arial"/>
                        <w:color w:val="010202"/>
                        <w:spacing w:val="3"/>
                        <w:sz w:val="21"/>
                      </w:rPr>
                      <w:t> </w:t>
                    </w:r>
                    <w:r>
                      <w:rPr>
                        <w:rFonts w:ascii="Arial" w:hAnsi="Arial"/>
                        <w:color w:val="010202"/>
                        <w:sz w:val="21"/>
                      </w:rPr>
                      <w:t>in</w:t>
                    </w:r>
                    <w:r>
                      <w:rPr>
                        <w:rFonts w:ascii="Arial" w:hAnsi="Arial"/>
                        <w:color w:val="010202"/>
                        <w:spacing w:val="3"/>
                        <w:sz w:val="21"/>
                      </w:rPr>
                      <w:t> </w:t>
                    </w:r>
                    <w:r>
                      <w:rPr>
                        <w:rFonts w:ascii="Arial" w:hAnsi="Arial"/>
                        <w:color w:val="010202"/>
                        <w:sz w:val="21"/>
                      </w:rPr>
                      <w:t>Chapter</w:t>
                    </w:r>
                    <w:r>
                      <w:rPr>
                        <w:rFonts w:ascii="Arial" w:hAnsi="Arial"/>
                        <w:color w:val="010202"/>
                        <w:spacing w:val="3"/>
                        <w:sz w:val="21"/>
                      </w:rPr>
                      <w:t> </w:t>
                    </w:r>
                    <w:r>
                      <w:rPr>
                        <w:rFonts w:ascii="Arial" w:hAnsi="Arial"/>
                        <w:color w:val="010202"/>
                        <w:sz w:val="21"/>
                      </w:rPr>
                      <w:t>2</w:t>
                    </w:r>
                    <w:r>
                      <w:rPr>
                        <w:rFonts w:ascii="Arial" w:hAnsi="Arial"/>
                        <w:color w:val="010202"/>
                        <w:spacing w:val="2"/>
                        <w:sz w:val="21"/>
                      </w:rPr>
                      <w:t> </w:t>
                    </w:r>
                    <w:r>
                      <w:rPr>
                        <w:rFonts w:ascii="Arial" w:hAnsi="Arial"/>
                        <w:color w:val="010202"/>
                        <w:sz w:val="21"/>
                      </w:rPr>
                      <w:t>were</w:t>
                    </w:r>
                    <w:r>
                      <w:rPr>
                        <w:rFonts w:ascii="Arial" w:hAnsi="Arial"/>
                        <w:color w:val="010202"/>
                        <w:spacing w:val="3"/>
                        <w:sz w:val="21"/>
                      </w:rPr>
                      <w:t> </w:t>
                    </w:r>
                    <w:r>
                      <w:rPr>
                        <w:rFonts w:ascii="Arial" w:hAnsi="Arial"/>
                        <w:color w:val="010202"/>
                        <w:sz w:val="21"/>
                      </w:rPr>
                      <w:t>studied</w:t>
                    </w:r>
                    <w:r>
                      <w:rPr>
                        <w:rFonts w:ascii="Arial" w:hAnsi="Arial"/>
                        <w:color w:val="010202"/>
                        <w:spacing w:val="3"/>
                        <w:sz w:val="21"/>
                      </w:rPr>
                      <w:t> </w:t>
                    </w:r>
                    <w:r>
                      <w:rPr>
                        <w:rFonts w:ascii="Arial" w:hAnsi="Arial"/>
                        <w:color w:val="010202"/>
                        <w:sz w:val="21"/>
                      </w:rPr>
                      <w:t>prior</w:t>
                    </w:r>
                    <w:r>
                      <w:rPr>
                        <w:rFonts w:ascii="Arial" w:hAnsi="Arial"/>
                        <w:color w:val="010202"/>
                        <w:spacing w:val="3"/>
                        <w:sz w:val="21"/>
                      </w:rPr>
                      <w:t> </w:t>
                    </w:r>
                    <w:r>
                      <w:rPr>
                        <w:rFonts w:ascii="Arial" w:hAnsi="Arial"/>
                        <w:color w:val="010202"/>
                        <w:sz w:val="21"/>
                      </w:rPr>
                      <w:t>to</w:t>
                    </w:r>
                    <w:r>
                      <w:rPr>
                        <w:rFonts w:ascii="Arial" w:hAnsi="Arial"/>
                        <w:color w:val="010202"/>
                        <w:spacing w:val="3"/>
                        <w:sz w:val="21"/>
                      </w:rPr>
                      <w:t> </w:t>
                    </w:r>
                    <w:r>
                      <w:rPr>
                        <w:rFonts w:ascii="Arial" w:hAnsi="Arial"/>
                        <w:color w:val="010202"/>
                        <w:sz w:val="21"/>
                      </w:rPr>
                      <w:t>the</w:t>
                    </w:r>
                    <w:r>
                      <w:rPr>
                        <w:rFonts w:ascii="Arial" w:hAnsi="Arial"/>
                        <w:color w:val="010202"/>
                        <w:spacing w:val="2"/>
                        <w:sz w:val="21"/>
                      </w:rPr>
                      <w:t> </w:t>
                    </w:r>
                    <w:r>
                      <w:rPr>
                        <w:rFonts w:ascii="Arial" w:hAnsi="Arial"/>
                        <w:color w:val="010202"/>
                        <w:sz w:val="21"/>
                      </w:rPr>
                      <w:t>onset</w:t>
                    </w:r>
                    <w:r>
                      <w:rPr>
                        <w:rFonts w:ascii="Arial" w:hAnsi="Arial"/>
                        <w:color w:val="010202"/>
                        <w:spacing w:val="3"/>
                        <w:sz w:val="21"/>
                      </w:rPr>
                      <w:t> </w:t>
                    </w:r>
                    <w:r>
                      <w:rPr>
                        <w:rFonts w:ascii="Arial" w:hAnsi="Arial"/>
                        <w:color w:val="010202"/>
                        <w:sz w:val="21"/>
                      </w:rPr>
                      <w:t>of</w:t>
                    </w:r>
                    <w:r>
                      <w:rPr>
                        <w:rFonts w:ascii="Arial" w:hAnsi="Arial"/>
                        <w:color w:val="010202"/>
                        <w:spacing w:val="3"/>
                        <w:sz w:val="21"/>
                      </w:rPr>
                      <w:t> </w:t>
                    </w:r>
                    <w:r>
                      <w:rPr>
                        <w:rFonts w:ascii="Arial" w:hAnsi="Arial"/>
                        <w:color w:val="010202"/>
                        <w:sz w:val="21"/>
                      </w:rPr>
                      <w:t>COVID-19</w:t>
                    </w:r>
                    <w:r>
                      <w:rPr>
                        <w:rFonts w:ascii="Arial" w:hAnsi="Arial"/>
                        <w:color w:val="010202"/>
                        <w:spacing w:val="3"/>
                        <w:sz w:val="21"/>
                      </w:rPr>
                      <w:t> </w:t>
                    </w:r>
                    <w:r>
                      <w:rPr>
                        <w:rFonts w:ascii="Arial" w:hAnsi="Arial"/>
                        <w:color w:val="010202"/>
                        <w:sz w:val="21"/>
                      </w:rPr>
                      <w:t>and</w:t>
                    </w:r>
                    <w:r>
                      <w:rPr>
                        <w:rFonts w:ascii="Arial" w:hAnsi="Arial"/>
                        <w:color w:val="010202"/>
                        <w:spacing w:val="1"/>
                        <w:sz w:val="21"/>
                      </w:rPr>
                      <w:t> </w:t>
                    </w:r>
                    <w:r>
                      <w:rPr>
                        <w:rFonts w:ascii="Arial" w:hAnsi="Arial"/>
                        <w:color w:val="010202"/>
                        <w:sz w:val="21"/>
                      </w:rPr>
                      <w:t>may</w:t>
                    </w:r>
                    <w:r>
                      <w:rPr>
                        <w:rFonts w:ascii="Arial" w:hAnsi="Arial"/>
                        <w:color w:val="010202"/>
                        <w:spacing w:val="4"/>
                        <w:sz w:val="21"/>
                      </w:rPr>
                      <w:t> </w:t>
                    </w:r>
                    <w:r>
                      <w:rPr>
                        <w:rFonts w:ascii="Arial" w:hAnsi="Arial"/>
                        <w:color w:val="010202"/>
                        <w:sz w:val="21"/>
                      </w:rPr>
                      <w:t>require</w:t>
                    </w:r>
                    <w:r>
                      <w:rPr>
                        <w:rFonts w:ascii="Arial" w:hAnsi="Arial"/>
                        <w:color w:val="010202"/>
                        <w:spacing w:val="4"/>
                        <w:sz w:val="21"/>
                      </w:rPr>
                      <w:t> </w:t>
                    </w:r>
                    <w:r>
                      <w:rPr>
                        <w:rFonts w:ascii="Arial" w:hAnsi="Arial"/>
                        <w:color w:val="010202"/>
                        <w:sz w:val="21"/>
                      </w:rPr>
                      <w:t>adaptation</w:t>
                    </w:r>
                    <w:r>
                      <w:rPr>
                        <w:rFonts w:ascii="Arial" w:hAnsi="Arial"/>
                        <w:color w:val="010202"/>
                        <w:spacing w:val="4"/>
                        <w:sz w:val="21"/>
                      </w:rPr>
                      <w:t> </w:t>
                    </w:r>
                    <w:r>
                      <w:rPr>
                        <w:rFonts w:ascii="Arial" w:hAnsi="Arial"/>
                        <w:color w:val="010202"/>
                        <w:sz w:val="21"/>
                      </w:rPr>
                      <w:t>to</w:t>
                    </w:r>
                    <w:r>
                      <w:rPr>
                        <w:rFonts w:ascii="Arial" w:hAnsi="Arial"/>
                        <w:color w:val="010202"/>
                        <w:spacing w:val="4"/>
                        <w:sz w:val="21"/>
                      </w:rPr>
                      <w:t> </w:t>
                    </w:r>
                    <w:r>
                      <w:rPr>
                        <w:rFonts w:ascii="Arial" w:hAnsi="Arial"/>
                        <w:color w:val="010202"/>
                        <w:sz w:val="21"/>
                      </w:rPr>
                      <w:t>accommodate</w:t>
                    </w:r>
                    <w:r>
                      <w:rPr>
                        <w:rFonts w:ascii="Arial" w:hAnsi="Arial"/>
                        <w:color w:val="010202"/>
                        <w:spacing w:val="4"/>
                        <w:sz w:val="21"/>
                      </w:rPr>
                      <w:t> </w:t>
                    </w:r>
                    <w:r>
                      <w:rPr>
                        <w:rFonts w:ascii="Arial" w:hAnsi="Arial"/>
                        <w:color w:val="010202"/>
                        <w:sz w:val="21"/>
                      </w:rPr>
                      <w:t>the</w:t>
                    </w:r>
                    <w:r>
                      <w:rPr>
                        <w:rFonts w:ascii="Arial" w:hAnsi="Arial"/>
                        <w:color w:val="010202"/>
                        <w:spacing w:val="4"/>
                        <w:sz w:val="21"/>
                      </w:rPr>
                      <w:t> </w:t>
                    </w:r>
                    <w:r>
                      <w:rPr>
                        <w:rFonts w:ascii="Arial" w:hAnsi="Arial"/>
                        <w:color w:val="010202"/>
                        <w:sz w:val="21"/>
                      </w:rPr>
                      <w:t>unique</w:t>
                    </w:r>
                    <w:r>
                      <w:rPr>
                        <w:rFonts w:ascii="Arial" w:hAnsi="Arial"/>
                        <w:color w:val="010202"/>
                        <w:spacing w:val="4"/>
                        <w:sz w:val="21"/>
                      </w:rPr>
                      <w:t> </w:t>
                    </w:r>
                    <w:r>
                      <w:rPr>
                        <w:rFonts w:ascii="Arial" w:hAnsi="Arial"/>
                        <w:color w:val="010202"/>
                        <w:sz w:val="21"/>
                      </w:rPr>
                      <w:t>challenges</w:t>
                    </w:r>
                    <w:r>
                      <w:rPr>
                        <w:rFonts w:ascii="Arial" w:hAnsi="Arial"/>
                        <w:color w:val="010202"/>
                        <w:spacing w:val="5"/>
                        <w:sz w:val="21"/>
                      </w:rPr>
                      <w:t> </w:t>
                    </w:r>
                    <w:r>
                      <w:rPr>
                        <w:rFonts w:ascii="Arial" w:hAnsi="Arial"/>
                        <w:color w:val="010202"/>
                        <w:sz w:val="21"/>
                      </w:rPr>
                      <w:t>of</w:t>
                    </w:r>
                    <w:r>
                      <w:rPr>
                        <w:rFonts w:ascii="Arial" w:hAnsi="Arial"/>
                        <w:color w:val="010202"/>
                        <w:spacing w:val="4"/>
                        <w:sz w:val="21"/>
                      </w:rPr>
                      <w:t> </w:t>
                    </w:r>
                    <w:r>
                      <w:rPr>
                        <w:rFonts w:ascii="Arial" w:hAnsi="Arial"/>
                        <w:color w:val="010202"/>
                        <w:sz w:val="21"/>
                      </w:rPr>
                      <w:t>delivering</w:t>
                    </w:r>
                    <w:r>
                      <w:rPr>
                        <w:rFonts w:ascii="Arial" w:hAnsi="Arial"/>
                        <w:color w:val="010202"/>
                        <w:spacing w:val="4"/>
                        <w:sz w:val="21"/>
                      </w:rPr>
                      <w:t> </w:t>
                    </w:r>
                    <w:r>
                      <w:rPr>
                        <w:rFonts w:ascii="Arial" w:hAnsi="Arial"/>
                        <w:color w:val="010202"/>
                        <w:sz w:val="21"/>
                      </w:rPr>
                      <w:t>health</w:t>
                    </w:r>
                    <w:r>
                      <w:rPr>
                        <w:rFonts w:ascii="Arial" w:hAnsi="Arial"/>
                        <w:color w:val="010202"/>
                        <w:spacing w:val="4"/>
                        <w:sz w:val="21"/>
                      </w:rPr>
                      <w:t> </w:t>
                    </w:r>
                    <w:r>
                      <w:rPr>
                        <w:rFonts w:ascii="Arial" w:hAnsi="Arial"/>
                        <w:color w:val="010202"/>
                        <w:sz w:val="21"/>
                      </w:rPr>
                      <w:t>care</w:t>
                    </w:r>
                    <w:r>
                      <w:rPr>
                        <w:rFonts w:ascii="Arial" w:hAnsi="Arial"/>
                        <w:color w:val="010202"/>
                        <w:spacing w:val="4"/>
                        <w:sz w:val="21"/>
                      </w:rPr>
                      <w:t> </w:t>
                    </w:r>
                    <w:r>
                      <w:rPr>
                        <w:rFonts w:ascii="Arial" w:hAnsi="Arial"/>
                        <w:color w:val="010202"/>
                        <w:sz w:val="21"/>
                      </w:rPr>
                      <w:t>during</w:t>
                    </w:r>
                    <w:r>
                      <w:rPr>
                        <w:rFonts w:ascii="Arial" w:hAnsi="Arial"/>
                        <w:color w:val="010202"/>
                        <w:spacing w:val="4"/>
                        <w:sz w:val="21"/>
                      </w:rPr>
                      <w:t> </w:t>
                    </w:r>
                    <w:r>
                      <w:rPr>
                        <w:rFonts w:ascii="Arial" w:hAnsi="Arial"/>
                        <w:color w:val="010202"/>
                        <w:sz w:val="21"/>
                      </w:rPr>
                      <w:t>the</w:t>
                    </w:r>
                    <w:r>
                      <w:rPr>
                        <w:rFonts w:ascii="Arial" w:hAnsi="Arial"/>
                        <w:color w:val="010202"/>
                        <w:spacing w:val="4"/>
                        <w:sz w:val="21"/>
                      </w:rPr>
                      <w:t> </w:t>
                    </w:r>
                    <w:r>
                      <w:rPr>
                        <w:rFonts w:ascii="Arial" w:hAnsi="Arial"/>
                        <w:color w:val="010202"/>
                        <w:sz w:val="21"/>
                      </w:rPr>
                      <w:t>pandemic.</w:t>
                    </w:r>
                    <w:r>
                      <w:rPr>
                        <w:rFonts w:ascii="Arial" w:hAnsi="Arial"/>
                        <w:color w:val="010202"/>
                        <w:spacing w:val="1"/>
                        <w:sz w:val="21"/>
                      </w:rPr>
                      <w:t> </w:t>
                    </w:r>
                    <w:r>
                      <w:rPr>
                        <w:rFonts w:ascii="Arial" w:hAnsi="Arial"/>
                        <w:color w:val="010202"/>
                        <w:sz w:val="21"/>
                      </w:rPr>
                      <w:t>Implementation</w:t>
                    </w:r>
                    <w:r>
                      <w:rPr>
                        <w:rFonts w:ascii="Arial" w:hAnsi="Arial"/>
                        <w:color w:val="010202"/>
                        <w:spacing w:val="4"/>
                        <w:sz w:val="21"/>
                      </w:rPr>
                      <w:t> </w:t>
                    </w:r>
                    <w:r>
                      <w:rPr>
                        <w:rFonts w:ascii="Arial" w:hAnsi="Arial"/>
                        <w:color w:val="010202"/>
                        <w:sz w:val="21"/>
                      </w:rPr>
                      <w:t>strategies,</w:t>
                    </w:r>
                    <w:r>
                      <w:rPr>
                        <w:rFonts w:ascii="Arial" w:hAnsi="Arial"/>
                        <w:color w:val="010202"/>
                        <w:spacing w:val="4"/>
                        <w:sz w:val="21"/>
                      </w:rPr>
                      <w:t> </w:t>
                    </w:r>
                    <w:r>
                      <w:rPr>
                        <w:rFonts w:ascii="Arial" w:hAnsi="Arial"/>
                        <w:color w:val="010202"/>
                        <w:sz w:val="21"/>
                      </w:rPr>
                      <w:t>outlined</w:t>
                    </w:r>
                    <w:r>
                      <w:rPr>
                        <w:rFonts w:ascii="Arial" w:hAnsi="Arial"/>
                        <w:color w:val="010202"/>
                        <w:spacing w:val="4"/>
                        <w:sz w:val="21"/>
                      </w:rPr>
                      <w:t> </w:t>
                    </w:r>
                    <w:r>
                      <w:rPr>
                        <w:rFonts w:ascii="Arial" w:hAnsi="Arial"/>
                        <w:color w:val="010202"/>
                        <w:sz w:val="21"/>
                      </w:rPr>
                      <w:t>in</w:t>
                    </w:r>
                    <w:r>
                      <w:rPr>
                        <w:rFonts w:ascii="Arial" w:hAnsi="Arial"/>
                        <w:color w:val="010202"/>
                        <w:spacing w:val="4"/>
                        <w:sz w:val="21"/>
                      </w:rPr>
                      <w:t> </w:t>
                    </w:r>
                    <w:r>
                      <w:rPr>
                        <w:rFonts w:ascii="Arial" w:hAnsi="Arial"/>
                        <w:color w:val="010202"/>
                        <w:sz w:val="21"/>
                      </w:rPr>
                      <w:t>Chapter</w:t>
                    </w:r>
                    <w:r>
                      <w:rPr>
                        <w:rFonts w:ascii="Arial" w:hAnsi="Arial"/>
                        <w:color w:val="010202"/>
                        <w:spacing w:val="4"/>
                        <w:sz w:val="21"/>
                      </w:rPr>
                      <w:t> </w:t>
                    </w:r>
                    <w:r>
                      <w:rPr>
                        <w:rFonts w:ascii="Arial" w:hAnsi="Arial"/>
                        <w:color w:val="010202"/>
                        <w:sz w:val="21"/>
                      </w:rPr>
                      <w:t>3,</w:t>
                    </w:r>
                    <w:r>
                      <w:rPr>
                        <w:rFonts w:ascii="Arial" w:hAnsi="Arial"/>
                        <w:color w:val="010202"/>
                        <w:spacing w:val="5"/>
                        <w:sz w:val="21"/>
                      </w:rPr>
                      <w:t> </w:t>
                    </w:r>
                    <w:r>
                      <w:rPr>
                        <w:rFonts w:ascii="Arial" w:hAnsi="Arial"/>
                        <w:color w:val="010202"/>
                        <w:sz w:val="21"/>
                      </w:rPr>
                      <w:t>may</w:t>
                    </w:r>
                    <w:r>
                      <w:rPr>
                        <w:rFonts w:ascii="Arial" w:hAnsi="Arial"/>
                        <w:color w:val="010202"/>
                        <w:spacing w:val="4"/>
                        <w:sz w:val="21"/>
                      </w:rPr>
                      <w:t> </w:t>
                    </w:r>
                    <w:r>
                      <w:rPr>
                        <w:rFonts w:ascii="Arial" w:hAnsi="Arial"/>
                        <w:color w:val="010202"/>
                        <w:sz w:val="21"/>
                      </w:rPr>
                      <w:t>also</w:t>
                    </w:r>
                    <w:r>
                      <w:rPr>
                        <w:rFonts w:ascii="Arial" w:hAnsi="Arial"/>
                        <w:color w:val="010202"/>
                        <w:spacing w:val="4"/>
                        <w:sz w:val="21"/>
                      </w:rPr>
                      <w:t> </w:t>
                    </w:r>
                    <w:r>
                      <w:rPr>
                        <w:rFonts w:ascii="Arial" w:hAnsi="Arial"/>
                        <w:color w:val="010202"/>
                        <w:sz w:val="21"/>
                      </w:rPr>
                      <w:t>need</w:t>
                    </w:r>
                    <w:r>
                      <w:rPr>
                        <w:rFonts w:ascii="Arial" w:hAnsi="Arial"/>
                        <w:color w:val="010202"/>
                        <w:spacing w:val="4"/>
                        <w:sz w:val="21"/>
                      </w:rPr>
                      <w:t> </w:t>
                    </w:r>
                    <w:r>
                      <w:rPr>
                        <w:rFonts w:ascii="Arial" w:hAnsi="Arial"/>
                        <w:color w:val="010202"/>
                        <w:sz w:val="21"/>
                      </w:rPr>
                      <w:t>to</w:t>
                    </w:r>
                    <w:r>
                      <w:rPr>
                        <w:rFonts w:ascii="Arial" w:hAnsi="Arial"/>
                        <w:color w:val="010202"/>
                        <w:spacing w:val="4"/>
                        <w:sz w:val="21"/>
                      </w:rPr>
                      <w:t> </w:t>
                    </w:r>
                    <w:r>
                      <w:rPr>
                        <w:rFonts w:ascii="Arial" w:hAnsi="Arial"/>
                        <w:color w:val="010202"/>
                        <w:sz w:val="21"/>
                      </w:rPr>
                      <w:t>account</w:t>
                    </w:r>
                    <w:r>
                      <w:rPr>
                        <w:rFonts w:ascii="Arial" w:hAnsi="Arial"/>
                        <w:color w:val="010202"/>
                        <w:spacing w:val="4"/>
                        <w:sz w:val="21"/>
                      </w:rPr>
                      <w:t> </w:t>
                    </w:r>
                    <w:r>
                      <w:rPr>
                        <w:rFonts w:ascii="Arial" w:hAnsi="Arial"/>
                        <w:color w:val="010202"/>
                        <w:sz w:val="21"/>
                      </w:rPr>
                      <w:t>for</w:t>
                    </w:r>
                    <w:r>
                      <w:rPr>
                        <w:rFonts w:ascii="Arial" w:hAnsi="Arial"/>
                        <w:color w:val="010202"/>
                        <w:spacing w:val="5"/>
                        <w:sz w:val="21"/>
                      </w:rPr>
                      <w:t> </w:t>
                    </w:r>
                    <w:r>
                      <w:rPr>
                        <w:rFonts w:ascii="Arial" w:hAnsi="Arial"/>
                        <w:color w:val="010202"/>
                        <w:sz w:val="21"/>
                      </w:rPr>
                      <w:t>COVID-19</w:t>
                    </w:r>
                    <w:r>
                      <w:rPr>
                        <w:rFonts w:ascii="Arial" w:hAnsi="Arial"/>
                        <w:color w:val="010202"/>
                        <w:spacing w:val="4"/>
                        <w:sz w:val="21"/>
                      </w:rPr>
                      <w:t> </w:t>
                    </w:r>
                    <w:r>
                      <w:rPr>
                        <w:rFonts w:ascii="Arial" w:hAnsi="Arial"/>
                        <w:color w:val="010202"/>
                        <w:sz w:val="21"/>
                      </w:rPr>
                      <w:t>conditions</w:t>
                    </w:r>
                    <w:r>
                      <w:rPr>
                        <w:rFonts w:ascii="Arial" w:hAnsi="Arial"/>
                        <w:color w:val="010202"/>
                        <w:spacing w:val="4"/>
                        <w:sz w:val="21"/>
                      </w:rPr>
                      <w:t> </w:t>
                    </w:r>
                    <w:r>
                      <w:rPr>
                        <w:rFonts w:ascii="Arial" w:hAnsi="Arial"/>
                        <w:color w:val="010202"/>
                        <w:sz w:val="21"/>
                      </w:rPr>
                      <w:t>in</w:t>
                    </w:r>
                    <w:r>
                      <w:rPr>
                        <w:rFonts w:ascii="Arial" w:hAnsi="Arial"/>
                        <w:color w:val="010202"/>
                        <w:spacing w:val="4"/>
                        <w:sz w:val="21"/>
                      </w:rPr>
                      <w:t> </w:t>
                    </w:r>
                    <w:r>
                      <w:rPr>
                        <w:rFonts w:ascii="Arial" w:hAnsi="Arial"/>
                        <w:color w:val="010202"/>
                        <w:sz w:val="21"/>
                      </w:rPr>
                      <w:t>each</w:t>
                    </w:r>
                    <w:r>
                      <w:rPr>
                        <w:rFonts w:ascii="Arial" w:hAnsi="Arial"/>
                        <w:color w:val="010202"/>
                        <w:spacing w:val="1"/>
                        <w:sz w:val="21"/>
                      </w:rPr>
                      <w:t> </w:t>
                    </w:r>
                    <w:r>
                      <w:rPr>
                        <w:rFonts w:ascii="Arial" w:hAnsi="Arial"/>
                        <w:color w:val="010202"/>
                        <w:sz w:val="21"/>
                      </w:rPr>
                      <w:t>community,</w:t>
                    </w:r>
                    <w:r>
                      <w:rPr>
                        <w:rFonts w:ascii="Arial" w:hAnsi="Arial"/>
                        <w:color w:val="010202"/>
                        <w:spacing w:val="1"/>
                        <w:sz w:val="21"/>
                      </w:rPr>
                      <w:t> </w:t>
                    </w:r>
                    <w:r>
                      <w:rPr>
                        <w:rFonts w:ascii="Arial" w:hAnsi="Arial"/>
                        <w:color w:val="010202"/>
                        <w:sz w:val="21"/>
                      </w:rPr>
                      <w:t>county,</w:t>
                    </w:r>
                    <w:r>
                      <w:rPr>
                        <w:rFonts w:ascii="Arial" w:hAnsi="Arial"/>
                        <w:color w:val="010202"/>
                        <w:spacing w:val="1"/>
                        <w:sz w:val="21"/>
                      </w:rPr>
                      <w:t> </w:t>
                    </w:r>
                    <w:r>
                      <w:rPr>
                        <w:rFonts w:ascii="Arial" w:hAnsi="Arial"/>
                        <w:color w:val="010202"/>
                        <w:sz w:val="21"/>
                      </w:rPr>
                      <w:t>and</w:t>
                    </w:r>
                    <w:r>
                      <w:rPr>
                        <w:rFonts w:ascii="Arial" w:hAnsi="Arial"/>
                        <w:color w:val="010202"/>
                        <w:spacing w:val="1"/>
                        <w:sz w:val="21"/>
                      </w:rPr>
                      <w:t> </w:t>
                    </w:r>
                    <w:r>
                      <w:rPr>
                        <w:rFonts w:ascii="Arial" w:hAnsi="Arial"/>
                        <w:color w:val="010202"/>
                        <w:sz w:val="21"/>
                      </w:rPr>
                      <w:t>state.</w:t>
                    </w:r>
                    <w:r>
                      <w:rPr>
                        <w:rFonts w:ascii="Arial" w:hAnsi="Arial"/>
                        <w:color w:val="010202"/>
                        <w:spacing w:val="1"/>
                        <w:sz w:val="21"/>
                      </w:rPr>
                      <w:t> </w:t>
                    </w:r>
                    <w:r>
                      <w:rPr>
                        <w:rFonts w:ascii="Arial" w:hAnsi="Arial"/>
                        <w:color w:val="010202"/>
                        <w:sz w:val="21"/>
                      </w:rPr>
                      <w:t>Finally,</w:t>
                    </w:r>
                    <w:r>
                      <w:rPr>
                        <w:rFonts w:ascii="Arial" w:hAnsi="Arial"/>
                        <w:color w:val="010202"/>
                        <w:spacing w:val="2"/>
                        <w:sz w:val="21"/>
                      </w:rPr>
                      <w:t> </w:t>
                    </w:r>
                    <w:r>
                      <w:rPr>
                        <w:rFonts w:ascii="Arial" w:hAnsi="Arial"/>
                        <w:color w:val="010202"/>
                        <w:sz w:val="21"/>
                      </w:rPr>
                      <w:t>the</w:t>
                    </w:r>
                    <w:r>
                      <w:rPr>
                        <w:rFonts w:ascii="Arial" w:hAnsi="Arial"/>
                        <w:color w:val="010202"/>
                        <w:spacing w:val="1"/>
                        <w:sz w:val="21"/>
                      </w:rPr>
                      <w:t> </w:t>
                    </w:r>
                    <w:r>
                      <w:rPr>
                        <w:rFonts w:ascii="Arial" w:hAnsi="Arial"/>
                        <w:color w:val="010202"/>
                        <w:sz w:val="21"/>
                      </w:rPr>
                      <w:t>practices</w:t>
                    </w:r>
                    <w:r>
                      <w:rPr>
                        <w:rFonts w:ascii="Arial" w:hAnsi="Arial"/>
                        <w:color w:val="010202"/>
                        <w:spacing w:val="1"/>
                        <w:sz w:val="21"/>
                      </w:rPr>
                      <w:t> </w:t>
                    </w:r>
                    <w:r>
                      <w:rPr>
                        <w:rFonts w:ascii="Arial" w:hAnsi="Arial"/>
                        <w:color w:val="010202"/>
                        <w:sz w:val="21"/>
                      </w:rPr>
                      <w:t>and</w:t>
                    </w:r>
                    <w:r>
                      <w:rPr>
                        <w:rFonts w:ascii="Arial" w:hAnsi="Arial"/>
                        <w:color w:val="010202"/>
                        <w:spacing w:val="1"/>
                        <w:sz w:val="21"/>
                      </w:rPr>
                      <w:t> </w:t>
                    </w:r>
                    <w:r>
                      <w:rPr>
                        <w:rFonts w:ascii="Arial" w:hAnsi="Arial"/>
                        <w:color w:val="010202"/>
                        <w:sz w:val="21"/>
                      </w:rPr>
                      <w:t>programs</w:t>
                    </w:r>
                    <w:r>
                      <w:rPr>
                        <w:rFonts w:ascii="Arial" w:hAnsi="Arial"/>
                        <w:color w:val="010202"/>
                        <w:spacing w:val="1"/>
                        <w:sz w:val="21"/>
                      </w:rPr>
                      <w:t> </w:t>
                    </w:r>
                    <w:r>
                      <w:rPr>
                        <w:rFonts w:ascii="Arial" w:hAnsi="Arial"/>
                        <w:color w:val="010202"/>
                        <w:sz w:val="21"/>
                      </w:rPr>
                      <w:t>highlighted</w:t>
                    </w:r>
                    <w:r>
                      <w:rPr>
                        <w:rFonts w:ascii="Arial" w:hAnsi="Arial"/>
                        <w:color w:val="010202"/>
                        <w:spacing w:val="2"/>
                        <w:sz w:val="21"/>
                      </w:rPr>
                      <w:t> </w:t>
                    </w:r>
                    <w:r>
                      <w:rPr>
                        <w:rFonts w:ascii="Arial" w:hAnsi="Arial"/>
                        <w:color w:val="010202"/>
                        <w:sz w:val="21"/>
                      </w:rPr>
                      <w:t>in</w:t>
                    </w:r>
                    <w:r>
                      <w:rPr>
                        <w:rFonts w:ascii="Arial" w:hAnsi="Arial"/>
                        <w:color w:val="010202"/>
                        <w:spacing w:val="1"/>
                        <w:sz w:val="21"/>
                      </w:rPr>
                      <w:t> </w:t>
                    </w:r>
                    <w:r>
                      <w:rPr>
                        <w:rFonts w:ascii="Arial" w:hAnsi="Arial"/>
                        <w:color w:val="010202"/>
                        <w:sz w:val="21"/>
                      </w:rPr>
                      <w:t>Chapter</w:t>
                    </w:r>
                    <w:r>
                      <w:rPr>
                        <w:rFonts w:ascii="Arial" w:hAnsi="Arial"/>
                        <w:color w:val="010202"/>
                        <w:spacing w:val="1"/>
                        <w:sz w:val="21"/>
                      </w:rPr>
                      <w:t> </w:t>
                    </w:r>
                    <w:r>
                      <w:rPr>
                        <w:rFonts w:ascii="Arial" w:hAnsi="Arial"/>
                        <w:color w:val="010202"/>
                        <w:sz w:val="21"/>
                      </w:rPr>
                      <w:t>4</w:t>
                    </w:r>
                    <w:r>
                      <w:rPr>
                        <w:rFonts w:ascii="Arial" w:hAnsi="Arial"/>
                        <w:color w:val="010202"/>
                        <w:spacing w:val="1"/>
                        <w:sz w:val="21"/>
                      </w:rPr>
                      <w:t> </w:t>
                    </w:r>
                    <w:r>
                      <w:rPr>
                        <w:rFonts w:ascii="Arial" w:hAnsi="Arial"/>
                        <w:color w:val="010202"/>
                        <w:sz w:val="21"/>
                      </w:rPr>
                      <w:t>are</w:t>
                    </w:r>
                    <w:r>
                      <w:rPr>
                        <w:rFonts w:ascii="Arial" w:hAnsi="Arial"/>
                        <w:color w:val="010202"/>
                        <w:spacing w:val="1"/>
                        <w:sz w:val="21"/>
                      </w:rPr>
                      <w:t> </w:t>
                    </w:r>
                    <w:r>
                      <w:rPr>
                        <w:rFonts w:ascii="Arial" w:hAnsi="Arial"/>
                        <w:color w:val="010202"/>
                        <w:sz w:val="21"/>
                      </w:rPr>
                      <w:t>examples</w:t>
                    </w:r>
                    <w:r>
                      <w:rPr>
                        <w:rFonts w:ascii="Arial" w:hAnsi="Arial"/>
                        <w:color w:val="010202"/>
                        <w:spacing w:val="2"/>
                        <w:sz w:val="21"/>
                      </w:rPr>
                      <w:t> </w:t>
                    </w:r>
                    <w:r>
                      <w:rPr>
                        <w:rFonts w:ascii="Arial" w:hAnsi="Arial"/>
                        <w:color w:val="010202"/>
                        <w:sz w:val="21"/>
                      </w:rPr>
                      <w:t>of</w:t>
                    </w:r>
                    <w:r>
                      <w:rPr>
                        <w:rFonts w:ascii="Arial" w:hAnsi="Arial"/>
                        <w:color w:val="010202"/>
                        <w:spacing w:val="1"/>
                        <w:sz w:val="21"/>
                      </w:rPr>
                      <w:t> </w:t>
                    </w:r>
                    <w:r>
                      <w:rPr>
                        <w:rFonts w:ascii="Arial" w:hAnsi="Arial"/>
                        <w:color w:val="010202"/>
                        <w:sz w:val="21"/>
                      </w:rPr>
                      <w:t>implementation</w:t>
                    </w:r>
                    <w:r>
                      <w:rPr>
                        <w:rFonts w:ascii="Arial" w:hAnsi="Arial"/>
                        <w:color w:val="010202"/>
                        <w:spacing w:val="2"/>
                        <w:sz w:val="21"/>
                      </w:rPr>
                      <w:t> </w:t>
                    </w:r>
                    <w:r>
                      <w:rPr>
                        <w:rFonts w:ascii="Arial" w:hAnsi="Arial"/>
                        <w:color w:val="010202"/>
                        <w:sz w:val="21"/>
                      </w:rPr>
                      <w:t>prior</w:t>
                    </w:r>
                    <w:r>
                      <w:rPr>
                        <w:rFonts w:ascii="Arial" w:hAnsi="Arial"/>
                        <w:color w:val="010202"/>
                        <w:spacing w:val="3"/>
                        <w:sz w:val="21"/>
                      </w:rPr>
                      <w:t> </w:t>
                    </w:r>
                    <w:r>
                      <w:rPr>
                        <w:rFonts w:ascii="Arial" w:hAnsi="Arial"/>
                        <w:color w:val="010202"/>
                        <w:sz w:val="21"/>
                      </w:rPr>
                      <w:t>to</w:t>
                    </w:r>
                    <w:r>
                      <w:rPr>
                        <w:rFonts w:ascii="Arial" w:hAnsi="Arial"/>
                        <w:color w:val="010202"/>
                        <w:spacing w:val="3"/>
                        <w:sz w:val="21"/>
                      </w:rPr>
                      <w:t> </w:t>
                    </w:r>
                    <w:r>
                      <w:rPr>
                        <w:rFonts w:ascii="Arial" w:hAnsi="Arial"/>
                        <w:color w:val="010202"/>
                        <w:sz w:val="21"/>
                      </w:rPr>
                      <w:t>and</w:t>
                    </w:r>
                    <w:r>
                      <w:rPr>
                        <w:rFonts w:ascii="Arial" w:hAnsi="Arial"/>
                        <w:color w:val="010202"/>
                        <w:spacing w:val="3"/>
                        <w:sz w:val="21"/>
                      </w:rPr>
                      <w:t> </w:t>
                    </w:r>
                    <w:r>
                      <w:rPr>
                        <w:rFonts w:ascii="Arial" w:hAnsi="Arial"/>
                        <w:color w:val="010202"/>
                        <w:sz w:val="21"/>
                      </w:rPr>
                      <w:t>at</w:t>
                    </w:r>
                    <w:r>
                      <w:rPr>
                        <w:rFonts w:ascii="Arial" w:hAnsi="Arial"/>
                        <w:color w:val="010202"/>
                        <w:spacing w:val="3"/>
                        <w:sz w:val="21"/>
                      </w:rPr>
                      <w:t> </w:t>
                    </w:r>
                    <w:r>
                      <w:rPr>
                        <w:rFonts w:ascii="Arial" w:hAnsi="Arial"/>
                        <w:color w:val="010202"/>
                        <w:sz w:val="21"/>
                      </w:rPr>
                      <w:t>early</w:t>
                    </w:r>
                    <w:r>
                      <w:rPr>
                        <w:rFonts w:ascii="Arial" w:hAnsi="Arial"/>
                        <w:color w:val="010202"/>
                        <w:spacing w:val="2"/>
                        <w:sz w:val="21"/>
                      </w:rPr>
                      <w:t> </w:t>
                    </w:r>
                    <w:r>
                      <w:rPr>
                        <w:rFonts w:ascii="Arial" w:hAnsi="Arial"/>
                        <w:color w:val="010202"/>
                        <w:sz w:val="21"/>
                      </w:rPr>
                      <w:t>phases</w:t>
                    </w:r>
                    <w:r>
                      <w:rPr>
                        <w:rFonts w:ascii="Arial" w:hAnsi="Arial"/>
                        <w:color w:val="010202"/>
                        <w:spacing w:val="3"/>
                        <w:sz w:val="21"/>
                      </w:rPr>
                      <w:t> </w:t>
                    </w:r>
                    <w:r>
                      <w:rPr>
                        <w:rFonts w:ascii="Arial" w:hAnsi="Arial"/>
                        <w:color w:val="010202"/>
                        <w:sz w:val="21"/>
                      </w:rPr>
                      <w:t>of</w:t>
                    </w:r>
                    <w:r>
                      <w:rPr>
                        <w:rFonts w:ascii="Arial" w:hAnsi="Arial"/>
                        <w:color w:val="010202"/>
                        <w:spacing w:val="3"/>
                        <w:sz w:val="21"/>
                      </w:rPr>
                      <w:t> </w:t>
                    </w:r>
                    <w:r>
                      <w:rPr>
                        <w:rFonts w:ascii="Arial" w:hAnsi="Arial"/>
                        <w:color w:val="010202"/>
                        <w:sz w:val="21"/>
                      </w:rPr>
                      <w:t>the</w:t>
                    </w:r>
                    <w:r>
                      <w:rPr>
                        <w:rFonts w:ascii="Arial" w:hAnsi="Arial"/>
                        <w:color w:val="010202"/>
                        <w:spacing w:val="3"/>
                        <w:sz w:val="21"/>
                      </w:rPr>
                      <w:t> </w:t>
                    </w:r>
                    <w:r>
                      <w:rPr>
                        <w:rFonts w:ascii="Arial" w:hAnsi="Arial"/>
                        <w:color w:val="010202"/>
                        <w:sz w:val="21"/>
                      </w:rPr>
                      <w:t>pandemic.</w:t>
                    </w:r>
                    <w:r>
                      <w:rPr>
                        <w:rFonts w:ascii="Arial" w:hAnsi="Arial"/>
                        <w:color w:val="010202"/>
                        <w:spacing w:val="3"/>
                        <w:sz w:val="21"/>
                      </w:rPr>
                      <w:t> </w:t>
                    </w:r>
                    <w:r>
                      <w:rPr>
                        <w:rFonts w:ascii="Arial" w:hAnsi="Arial"/>
                        <w:color w:val="010202"/>
                        <w:sz w:val="21"/>
                      </w:rPr>
                      <w:t>It</w:t>
                    </w:r>
                    <w:r>
                      <w:rPr>
                        <w:rFonts w:ascii="Arial" w:hAnsi="Arial"/>
                        <w:color w:val="010202"/>
                        <w:spacing w:val="3"/>
                        <w:sz w:val="21"/>
                      </w:rPr>
                      <w:t> </w:t>
                    </w:r>
                    <w:r>
                      <w:rPr>
                        <w:rFonts w:ascii="Arial" w:hAnsi="Arial"/>
                        <w:color w:val="010202"/>
                        <w:sz w:val="21"/>
                      </w:rPr>
                      <w:t>is</w:t>
                    </w:r>
                    <w:r>
                      <w:rPr>
                        <w:rFonts w:ascii="Arial" w:hAnsi="Arial"/>
                        <w:color w:val="010202"/>
                        <w:spacing w:val="2"/>
                        <w:sz w:val="21"/>
                      </w:rPr>
                      <w:t> </w:t>
                    </w:r>
                    <w:r>
                      <w:rPr>
                        <w:rFonts w:ascii="Arial" w:hAnsi="Arial"/>
                        <w:color w:val="010202"/>
                        <w:sz w:val="21"/>
                      </w:rPr>
                      <w:t>possible</w:t>
                    </w:r>
                    <w:r>
                      <w:rPr>
                        <w:rFonts w:ascii="Arial" w:hAnsi="Arial"/>
                        <w:color w:val="010202"/>
                        <w:spacing w:val="3"/>
                        <w:sz w:val="21"/>
                      </w:rPr>
                      <w:t> </w:t>
                    </w:r>
                    <w:r>
                      <w:rPr>
                        <w:rFonts w:ascii="Arial" w:hAnsi="Arial"/>
                        <w:color w:val="010202"/>
                        <w:sz w:val="21"/>
                      </w:rPr>
                      <w:t>these</w:t>
                    </w:r>
                    <w:r>
                      <w:rPr>
                        <w:rFonts w:ascii="Arial" w:hAnsi="Arial"/>
                        <w:color w:val="010202"/>
                        <w:spacing w:val="3"/>
                        <w:sz w:val="21"/>
                      </w:rPr>
                      <w:t> </w:t>
                    </w:r>
                    <w:r>
                      <w:rPr>
                        <w:rFonts w:ascii="Arial" w:hAnsi="Arial"/>
                        <w:color w:val="010202"/>
                        <w:sz w:val="21"/>
                      </w:rPr>
                      <w:t>organizations</w:t>
                    </w:r>
                    <w:r>
                      <w:rPr>
                        <w:rFonts w:ascii="Arial" w:hAnsi="Arial"/>
                        <w:color w:val="010202"/>
                        <w:spacing w:val="3"/>
                        <w:sz w:val="21"/>
                      </w:rPr>
                      <w:t> </w:t>
                    </w:r>
                    <w:r>
                      <w:rPr>
                        <w:rFonts w:ascii="Arial" w:hAnsi="Arial"/>
                        <w:color w:val="010202"/>
                        <w:sz w:val="21"/>
                      </w:rPr>
                      <w:t>and</w:t>
                    </w:r>
                    <w:r>
                      <w:rPr>
                        <w:rFonts w:ascii="Arial" w:hAnsi="Arial"/>
                        <w:color w:val="010202"/>
                        <w:spacing w:val="3"/>
                        <w:sz w:val="21"/>
                      </w:rPr>
                      <w:t> </w:t>
                    </w:r>
                    <w:r>
                      <w:rPr>
                        <w:rFonts w:ascii="Arial" w:hAnsi="Arial"/>
                        <w:color w:val="010202"/>
                        <w:sz w:val="21"/>
                      </w:rPr>
                      <w:t>programs</w:t>
                    </w:r>
                    <w:r>
                      <w:rPr>
                        <w:rFonts w:ascii="Arial" w:hAnsi="Arial"/>
                        <w:color w:val="010202"/>
                        <w:spacing w:val="1"/>
                        <w:sz w:val="21"/>
                      </w:rPr>
                      <w:t> </w:t>
                    </w:r>
                    <w:r>
                      <w:rPr>
                        <w:rFonts w:ascii="Arial" w:hAnsi="Arial"/>
                        <w:color w:val="010202"/>
                        <w:sz w:val="21"/>
                      </w:rPr>
                      <w:t>have</w:t>
                    </w:r>
                    <w:r>
                      <w:rPr>
                        <w:rFonts w:ascii="Arial" w:hAnsi="Arial"/>
                        <w:color w:val="010202"/>
                        <w:spacing w:val="3"/>
                        <w:sz w:val="21"/>
                      </w:rPr>
                      <w:t> </w:t>
                    </w:r>
                    <w:r>
                      <w:rPr>
                        <w:rFonts w:ascii="Arial" w:hAnsi="Arial"/>
                        <w:color w:val="010202"/>
                        <w:sz w:val="21"/>
                      </w:rPr>
                      <w:t>modified</w:t>
                    </w:r>
                    <w:r>
                      <w:rPr>
                        <w:rFonts w:ascii="Arial" w:hAnsi="Arial"/>
                        <w:color w:val="010202"/>
                        <w:spacing w:val="4"/>
                        <w:sz w:val="21"/>
                      </w:rPr>
                      <w:t> </w:t>
                    </w:r>
                    <w:r>
                      <w:rPr>
                        <w:rFonts w:ascii="Arial" w:hAnsi="Arial"/>
                        <w:color w:val="010202"/>
                        <w:sz w:val="21"/>
                      </w:rPr>
                      <w:t>their</w:t>
                    </w:r>
                    <w:r>
                      <w:rPr>
                        <w:rFonts w:ascii="Arial" w:hAnsi="Arial"/>
                        <w:color w:val="010202"/>
                        <w:spacing w:val="3"/>
                        <w:sz w:val="21"/>
                      </w:rPr>
                      <w:t> </w:t>
                    </w:r>
                    <w:r>
                      <w:rPr>
                        <w:rFonts w:ascii="Arial" w:hAnsi="Arial"/>
                        <w:color w:val="010202"/>
                        <w:sz w:val="21"/>
                      </w:rPr>
                      <w:t>service</w:t>
                    </w:r>
                    <w:r>
                      <w:rPr>
                        <w:rFonts w:ascii="Arial" w:hAnsi="Arial"/>
                        <w:color w:val="010202"/>
                        <w:spacing w:val="4"/>
                        <w:sz w:val="21"/>
                      </w:rPr>
                      <w:t> </w:t>
                    </w:r>
                    <w:r>
                      <w:rPr>
                        <w:rFonts w:ascii="Arial" w:hAnsi="Arial"/>
                        <w:color w:val="010202"/>
                        <w:sz w:val="21"/>
                      </w:rPr>
                      <w:t>delivery</w:t>
                    </w:r>
                    <w:r>
                      <w:rPr>
                        <w:rFonts w:ascii="Arial" w:hAnsi="Arial"/>
                        <w:color w:val="010202"/>
                        <w:spacing w:val="4"/>
                        <w:sz w:val="21"/>
                      </w:rPr>
                      <w:t> </w:t>
                    </w:r>
                    <w:r>
                      <w:rPr>
                        <w:rFonts w:ascii="Arial" w:hAnsi="Arial"/>
                        <w:color w:val="010202"/>
                        <w:sz w:val="21"/>
                      </w:rPr>
                      <w:t>to</w:t>
                    </w:r>
                    <w:r>
                      <w:rPr>
                        <w:rFonts w:ascii="Arial" w:hAnsi="Arial"/>
                        <w:color w:val="010202"/>
                        <w:spacing w:val="3"/>
                        <w:sz w:val="21"/>
                      </w:rPr>
                      <w:t> </w:t>
                    </w:r>
                    <w:r>
                      <w:rPr>
                        <w:rFonts w:ascii="Arial" w:hAnsi="Arial"/>
                        <w:color w:val="010202"/>
                        <w:sz w:val="21"/>
                      </w:rPr>
                      <w:t>include</w:t>
                    </w:r>
                    <w:r>
                      <w:rPr>
                        <w:rFonts w:ascii="Arial" w:hAnsi="Arial"/>
                        <w:color w:val="010202"/>
                        <w:spacing w:val="4"/>
                        <w:sz w:val="21"/>
                      </w:rPr>
                      <w:t> </w:t>
                    </w:r>
                    <w:r>
                      <w:rPr>
                        <w:rFonts w:ascii="Arial" w:hAnsi="Arial"/>
                        <w:color w:val="010202"/>
                        <w:sz w:val="21"/>
                      </w:rPr>
                      <w:t>telehealth</w:t>
                    </w:r>
                    <w:r>
                      <w:rPr>
                        <w:rFonts w:ascii="Arial" w:hAnsi="Arial"/>
                        <w:color w:val="010202"/>
                        <w:spacing w:val="3"/>
                        <w:sz w:val="21"/>
                      </w:rPr>
                      <w:t> </w:t>
                    </w:r>
                    <w:r>
                      <w:rPr>
                        <w:rFonts w:ascii="Arial" w:hAnsi="Arial"/>
                        <w:color w:val="010202"/>
                        <w:sz w:val="21"/>
                      </w:rPr>
                      <w:t>and</w:t>
                    </w:r>
                    <w:r>
                      <w:rPr>
                        <w:rFonts w:ascii="Arial" w:hAnsi="Arial"/>
                        <w:color w:val="010202"/>
                        <w:spacing w:val="4"/>
                        <w:sz w:val="21"/>
                      </w:rPr>
                      <w:t> </w:t>
                    </w:r>
                    <w:r>
                      <w:rPr>
                        <w:rFonts w:ascii="Arial" w:hAnsi="Arial"/>
                        <w:color w:val="010202"/>
                        <w:sz w:val="21"/>
                      </w:rPr>
                      <w:t>other</w:t>
                    </w:r>
                    <w:r>
                      <w:rPr>
                        <w:rFonts w:ascii="Arial" w:hAnsi="Arial"/>
                        <w:color w:val="010202"/>
                        <w:spacing w:val="4"/>
                        <w:sz w:val="21"/>
                      </w:rPr>
                      <w:t> </w:t>
                    </w:r>
                    <w:r>
                      <w:rPr>
                        <w:rFonts w:ascii="Arial" w:hAnsi="Arial"/>
                        <w:color w:val="010202"/>
                        <w:sz w:val="21"/>
                      </w:rPr>
                      <w:t>ways</w:t>
                    </w:r>
                    <w:r>
                      <w:rPr>
                        <w:rFonts w:ascii="Arial" w:hAnsi="Arial"/>
                        <w:color w:val="010202"/>
                        <w:spacing w:val="3"/>
                        <w:sz w:val="21"/>
                      </w:rPr>
                      <w:t> </w:t>
                    </w:r>
                    <w:r>
                      <w:rPr>
                        <w:rFonts w:ascii="Arial" w:hAnsi="Arial"/>
                        <w:color w:val="010202"/>
                        <w:sz w:val="21"/>
                      </w:rPr>
                      <w:t>of</w:t>
                    </w:r>
                    <w:r>
                      <w:rPr>
                        <w:rFonts w:ascii="Arial" w:hAnsi="Arial"/>
                        <w:color w:val="010202"/>
                        <w:spacing w:val="4"/>
                        <w:sz w:val="21"/>
                      </w:rPr>
                      <w:t> </w:t>
                    </w:r>
                    <w:r>
                      <w:rPr>
                        <w:rFonts w:ascii="Arial" w:hAnsi="Arial"/>
                        <w:color w:val="010202"/>
                        <w:sz w:val="21"/>
                      </w:rPr>
                      <w:t>providing</w:t>
                    </w:r>
                    <w:r>
                      <w:rPr>
                        <w:rFonts w:ascii="Arial" w:hAnsi="Arial"/>
                        <w:color w:val="010202"/>
                        <w:spacing w:val="3"/>
                        <w:sz w:val="21"/>
                      </w:rPr>
                      <w:t> </w:t>
                    </w:r>
                    <w:r>
                      <w:rPr>
                        <w:rFonts w:ascii="Arial" w:hAnsi="Arial"/>
                        <w:color w:val="010202"/>
                        <w:sz w:val="21"/>
                      </w:rPr>
                      <w:t>services</w:t>
                    </w:r>
                    <w:r>
                      <w:rPr>
                        <w:rFonts w:ascii="Arial" w:hAnsi="Arial"/>
                        <w:color w:val="010202"/>
                        <w:spacing w:val="4"/>
                        <w:sz w:val="21"/>
                      </w:rPr>
                      <w:t> </w:t>
                    </w:r>
                    <w:r>
                      <w:rPr>
                        <w:rFonts w:ascii="Arial" w:hAnsi="Arial"/>
                        <w:color w:val="010202"/>
                        <w:sz w:val="21"/>
                      </w:rPr>
                      <w:t>due</w:t>
                    </w:r>
                    <w:r>
                      <w:rPr>
                        <w:rFonts w:ascii="Arial" w:hAnsi="Arial"/>
                        <w:color w:val="010202"/>
                        <w:spacing w:val="4"/>
                        <w:sz w:val="21"/>
                      </w:rPr>
                      <w:t> </w:t>
                    </w:r>
                    <w:r>
                      <w:rPr>
                        <w:rFonts w:ascii="Arial" w:hAnsi="Arial"/>
                        <w:color w:val="010202"/>
                        <w:sz w:val="21"/>
                      </w:rPr>
                      <w:t>to</w:t>
                    </w:r>
                    <w:r>
                      <w:rPr>
                        <w:rFonts w:ascii="Arial" w:hAnsi="Arial"/>
                        <w:color w:val="010202"/>
                        <w:spacing w:val="3"/>
                        <w:sz w:val="21"/>
                      </w:rPr>
                      <w:t> </w:t>
                    </w:r>
                    <w:r>
                      <w:rPr>
                        <w:rFonts w:ascii="Arial" w:hAnsi="Arial"/>
                        <w:color w:val="010202"/>
                        <w:sz w:val="21"/>
                      </w:rPr>
                      <w:t>the</w:t>
                    </w:r>
                    <w:r>
                      <w:rPr>
                        <w:rFonts w:ascii="Arial" w:hAnsi="Arial"/>
                        <w:color w:val="010202"/>
                        <w:spacing w:val="1"/>
                        <w:sz w:val="21"/>
                      </w:rPr>
                      <w:t> </w:t>
                    </w:r>
                    <w:r>
                      <w:rPr>
                        <w:rFonts w:ascii="Arial" w:hAnsi="Arial"/>
                        <w:color w:val="010202"/>
                        <w:sz w:val="21"/>
                      </w:rPr>
                      <w:t>COVID-19</w:t>
                    </w:r>
                    <w:r>
                      <w:rPr>
                        <w:rFonts w:ascii="Arial" w:hAnsi="Arial"/>
                        <w:color w:val="010202"/>
                        <w:spacing w:val="1"/>
                        <w:sz w:val="21"/>
                      </w:rPr>
                      <w:t> </w:t>
                    </w:r>
                    <w:r>
                      <w:rPr>
                        <w:rFonts w:ascii="Arial" w:hAnsi="Arial"/>
                        <w:color w:val="010202"/>
                        <w:sz w:val="21"/>
                      </w:rPr>
                      <w:t>public</w:t>
                    </w:r>
                    <w:r>
                      <w:rPr>
                        <w:rFonts w:ascii="Arial" w:hAnsi="Arial"/>
                        <w:color w:val="010202"/>
                        <w:spacing w:val="2"/>
                        <w:sz w:val="21"/>
                      </w:rPr>
                      <w:t> </w:t>
                    </w:r>
                    <w:r>
                      <w:rPr>
                        <w:rFonts w:ascii="Arial" w:hAnsi="Arial"/>
                        <w:color w:val="010202"/>
                        <w:sz w:val="21"/>
                      </w:rPr>
                      <w:t>health</w:t>
                    </w:r>
                    <w:r>
                      <w:rPr>
                        <w:rFonts w:ascii="Arial" w:hAnsi="Arial"/>
                        <w:color w:val="010202"/>
                        <w:spacing w:val="2"/>
                        <w:sz w:val="21"/>
                      </w:rPr>
                      <w:t> </w:t>
                    </w:r>
                    <w:r>
                      <w:rPr>
                        <w:rFonts w:ascii="Arial" w:hAnsi="Arial"/>
                        <w:color w:val="010202"/>
                        <w:sz w:val="21"/>
                      </w:rPr>
                      <w:t>emergency.</w:t>
                    </w:r>
                  </w:p>
                </w:txbxContent>
              </v:textbox>
              <w10:wrap type="none"/>
            </v:shape>
          </v:group>
        </w:pict>
      </w:r>
      <w:r>
        <w:rPr>
          <w:sz w:val="20"/>
        </w:rPr>
      </w:r>
    </w:p>
    <w:p>
      <w:pPr>
        <w:spacing w:after="0"/>
        <w:rPr>
          <w:sz w:val="20"/>
        </w:rPr>
        <w:sectPr>
          <w:type w:val="continuous"/>
          <w:pgSz w:w="12240" w:h="15840"/>
          <w:pgMar w:header="0" w:footer="666" w:top="1500" w:bottom="0" w:left="560" w:right="0"/>
        </w:sectPr>
      </w:pPr>
    </w:p>
    <w:p>
      <w:pPr>
        <w:pStyle w:val="BodyText"/>
        <w:rPr>
          <w:sz w:val="20"/>
        </w:rPr>
      </w:pPr>
    </w:p>
    <w:p>
      <w:pPr>
        <w:pStyle w:val="BodyText"/>
        <w:rPr>
          <w:sz w:val="20"/>
        </w:rPr>
      </w:pPr>
    </w:p>
    <w:p>
      <w:pPr>
        <w:pStyle w:val="BodyText"/>
        <w:rPr>
          <w:sz w:val="20"/>
        </w:rPr>
      </w:pPr>
    </w:p>
    <w:p>
      <w:pPr>
        <w:pStyle w:val="BodyText"/>
        <w:spacing w:before="5"/>
        <w:rPr>
          <w:sz w:val="21"/>
        </w:rPr>
      </w:pPr>
    </w:p>
    <w:p>
      <w:pPr>
        <w:spacing w:after="0"/>
        <w:rPr>
          <w:sz w:val="21"/>
        </w:rPr>
        <w:sectPr>
          <w:headerReference w:type="default" r:id="rId15"/>
          <w:footerReference w:type="default" r:id="rId16"/>
          <w:pgSz w:w="12240" w:h="15840"/>
          <w:pgMar w:header="0" w:footer="666" w:top="0" w:bottom="860" w:left="560" w:right="0"/>
        </w:sectPr>
      </w:pPr>
    </w:p>
    <w:p>
      <w:pPr>
        <w:pStyle w:val="BodyText"/>
        <w:spacing w:line="266" w:lineRule="auto" w:before="90"/>
        <w:ind w:left="159" w:right="33"/>
      </w:pPr>
      <w:r>
        <w:rPr/>
        <w:pict>
          <v:rect style="position:absolute;margin-left:0pt;margin-top:-.000038pt;width:612.000029pt;height:19.680001pt;mso-position-horizontal-relative:page;mso-position-vertical-relative:page;z-index:-18159104" id="docshape31" filled="true" fillcolor="#1d384a" stroked="false">
            <v:fill type="solid"/>
            <w10:wrap type="none"/>
          </v:rect>
        </w:pict>
      </w:r>
      <w:r>
        <w:rPr>
          <w:color w:val="231F20"/>
        </w:rPr>
        <w:t>Expert panels of federal, state, and non-governmental</w:t>
      </w:r>
      <w:r>
        <w:rPr>
          <w:color w:val="231F20"/>
          <w:spacing w:val="1"/>
        </w:rPr>
        <w:t> </w:t>
      </w:r>
      <w:r>
        <w:rPr>
          <w:color w:val="231F20"/>
        </w:rPr>
        <w:t>participants provided input for each guide in this series.</w:t>
      </w:r>
      <w:r>
        <w:rPr>
          <w:color w:val="231F20"/>
          <w:spacing w:val="1"/>
        </w:rPr>
        <w:t> </w:t>
      </w:r>
      <w:r>
        <w:rPr>
          <w:color w:val="231F20"/>
        </w:rPr>
        <w:t>The</w:t>
      </w:r>
      <w:r>
        <w:rPr>
          <w:color w:val="231F20"/>
          <w:spacing w:val="-6"/>
        </w:rPr>
        <w:t> </w:t>
      </w:r>
      <w:r>
        <w:rPr>
          <w:color w:val="231F20"/>
        </w:rPr>
        <w:t>panels</w:t>
      </w:r>
      <w:r>
        <w:rPr>
          <w:color w:val="231F20"/>
          <w:spacing w:val="-5"/>
        </w:rPr>
        <w:t> </w:t>
      </w:r>
      <w:r>
        <w:rPr>
          <w:color w:val="231F20"/>
        </w:rPr>
        <w:t>included</w:t>
      </w:r>
      <w:r>
        <w:rPr>
          <w:color w:val="231F20"/>
          <w:spacing w:val="-5"/>
        </w:rPr>
        <w:t> </w:t>
      </w:r>
      <w:r>
        <w:rPr>
          <w:color w:val="231F20"/>
        </w:rPr>
        <w:t>accomplished</w:t>
      </w:r>
      <w:r>
        <w:rPr>
          <w:color w:val="231F20"/>
          <w:spacing w:val="-5"/>
        </w:rPr>
        <w:t> </w:t>
      </w:r>
      <w:r>
        <w:rPr>
          <w:color w:val="231F20"/>
        </w:rPr>
        <w:t>scientists,</w:t>
      </w:r>
      <w:r>
        <w:rPr>
          <w:color w:val="231F20"/>
          <w:spacing w:val="-5"/>
        </w:rPr>
        <w:t> </w:t>
      </w:r>
      <w:r>
        <w:rPr>
          <w:color w:val="231F20"/>
        </w:rPr>
        <w:t>researchers,</w:t>
      </w:r>
      <w:r>
        <w:rPr>
          <w:color w:val="231F20"/>
          <w:spacing w:val="-52"/>
        </w:rPr>
        <w:t> </w:t>
      </w:r>
      <w:r>
        <w:rPr>
          <w:color w:val="231F20"/>
        </w:rPr>
        <w:t>service providers, community administrators, federal and</w:t>
      </w:r>
      <w:r>
        <w:rPr>
          <w:color w:val="231F20"/>
          <w:spacing w:val="-52"/>
        </w:rPr>
        <w:t> </w:t>
      </w:r>
      <w:r>
        <w:rPr>
          <w:color w:val="231F20"/>
        </w:rPr>
        <w:t>state</w:t>
      </w:r>
      <w:r>
        <w:rPr>
          <w:color w:val="231F20"/>
          <w:spacing w:val="-2"/>
        </w:rPr>
        <w:t> </w:t>
      </w:r>
      <w:r>
        <w:rPr>
          <w:color w:val="231F20"/>
        </w:rPr>
        <w:t>policy</w:t>
      </w:r>
      <w:r>
        <w:rPr>
          <w:color w:val="231F20"/>
          <w:spacing w:val="-1"/>
        </w:rPr>
        <w:t> </w:t>
      </w:r>
      <w:r>
        <w:rPr>
          <w:color w:val="231F20"/>
        </w:rPr>
        <w:t>makers, and</w:t>
      </w:r>
      <w:r>
        <w:rPr>
          <w:color w:val="231F20"/>
          <w:spacing w:val="-1"/>
        </w:rPr>
        <w:t> </w:t>
      </w:r>
      <w:r>
        <w:rPr>
          <w:color w:val="231F20"/>
        </w:rPr>
        <w:t>people with</w:t>
      </w:r>
      <w:r>
        <w:rPr>
          <w:color w:val="231F20"/>
          <w:spacing w:val="-2"/>
        </w:rPr>
        <w:t> </w:t>
      </w:r>
      <w:r>
        <w:rPr>
          <w:color w:val="231F20"/>
        </w:rPr>
        <w:t>lived</w:t>
      </w:r>
      <w:r>
        <w:rPr>
          <w:color w:val="231F20"/>
          <w:spacing w:val="-1"/>
        </w:rPr>
        <w:t> </w:t>
      </w:r>
      <w:r>
        <w:rPr>
          <w:color w:val="231F20"/>
        </w:rPr>
        <w:t>experience.</w:t>
      </w:r>
    </w:p>
    <w:p>
      <w:pPr>
        <w:pStyle w:val="BodyText"/>
        <w:spacing w:line="266" w:lineRule="auto"/>
        <w:ind w:left="159" w:right="63"/>
      </w:pPr>
      <w:r>
        <w:rPr>
          <w:color w:val="231F20"/>
        </w:rPr>
        <w:t>Members provided input based on their knowledge of</w:t>
      </w:r>
      <w:r>
        <w:rPr>
          <w:color w:val="231F20"/>
          <w:spacing w:val="1"/>
        </w:rPr>
        <w:t> </w:t>
      </w:r>
      <w:r>
        <w:rPr>
          <w:color w:val="231F20"/>
        </w:rPr>
        <w:t>healthcare systems, implementation strategies, evidence-</w:t>
      </w:r>
      <w:r>
        <w:rPr>
          <w:color w:val="231F20"/>
          <w:spacing w:val="-52"/>
        </w:rPr>
        <w:t> </w:t>
      </w:r>
      <w:r>
        <w:rPr>
          <w:color w:val="231F20"/>
        </w:rPr>
        <w:t>based practices, provision of services, and policies that</w:t>
      </w:r>
      <w:r>
        <w:rPr>
          <w:color w:val="231F20"/>
          <w:spacing w:val="1"/>
        </w:rPr>
        <w:t> </w:t>
      </w:r>
      <w:r>
        <w:rPr>
          <w:color w:val="231F20"/>
        </w:rPr>
        <w:t>foster change.</w:t>
      </w:r>
    </w:p>
    <w:p>
      <w:pPr>
        <w:pStyle w:val="BodyText"/>
        <w:spacing w:line="266" w:lineRule="auto" w:before="90"/>
        <w:ind w:left="159" w:right="762"/>
      </w:pPr>
      <w:r>
        <w:rPr/>
        <w:br w:type="column"/>
      </w:r>
      <w:r>
        <w:rPr>
          <w:color w:val="231F20"/>
        </w:rPr>
        <w:t>Research shows that implementing evidence-based</w:t>
      </w:r>
      <w:r>
        <w:rPr>
          <w:color w:val="231F20"/>
          <w:spacing w:val="1"/>
        </w:rPr>
        <w:t> </w:t>
      </w:r>
      <w:r>
        <w:rPr>
          <w:color w:val="231F20"/>
        </w:rPr>
        <w:t>practices requires a comprehensive, multi-pronged</w:t>
      </w:r>
      <w:r>
        <w:rPr>
          <w:color w:val="231F20"/>
          <w:spacing w:val="1"/>
        </w:rPr>
        <w:t> </w:t>
      </w:r>
      <w:r>
        <w:rPr>
          <w:color w:val="231F20"/>
          <w:spacing w:val="-1"/>
        </w:rPr>
        <w:t>approach. This guide </w:t>
      </w:r>
      <w:r>
        <w:rPr>
          <w:color w:val="231F20"/>
        </w:rPr>
        <w:t>is one piece of an overall approach</w:t>
      </w:r>
      <w:r>
        <w:rPr>
          <w:color w:val="231F20"/>
          <w:spacing w:val="-52"/>
        </w:rPr>
        <w:t> </w:t>
      </w:r>
      <w:r>
        <w:rPr>
          <w:color w:val="231F20"/>
          <w:spacing w:val="-1"/>
        </w:rPr>
        <w:t>to</w:t>
      </w:r>
      <w:r>
        <w:rPr>
          <w:color w:val="231F20"/>
          <w:spacing w:val="-12"/>
        </w:rPr>
        <w:t> </w:t>
      </w:r>
      <w:r>
        <w:rPr>
          <w:color w:val="231F20"/>
          <w:spacing w:val="-1"/>
        </w:rPr>
        <w:t>implement</w:t>
      </w:r>
      <w:r>
        <w:rPr>
          <w:color w:val="231F20"/>
          <w:spacing w:val="-11"/>
        </w:rPr>
        <w:t> </w:t>
      </w:r>
      <w:r>
        <w:rPr>
          <w:color w:val="231F20"/>
          <w:spacing w:val="-1"/>
        </w:rPr>
        <w:t>and</w:t>
      </w:r>
      <w:r>
        <w:rPr>
          <w:color w:val="231F20"/>
          <w:spacing w:val="-11"/>
        </w:rPr>
        <w:t> </w:t>
      </w:r>
      <w:r>
        <w:rPr>
          <w:color w:val="231F20"/>
          <w:spacing w:val="-1"/>
        </w:rPr>
        <w:t>sustain</w:t>
      </w:r>
      <w:r>
        <w:rPr>
          <w:color w:val="231F20"/>
          <w:spacing w:val="-13"/>
        </w:rPr>
        <w:t> </w:t>
      </w:r>
      <w:r>
        <w:rPr>
          <w:color w:val="231F20"/>
          <w:spacing w:val="-1"/>
        </w:rPr>
        <w:t>change.</w:t>
      </w:r>
      <w:r>
        <w:rPr>
          <w:color w:val="231F20"/>
          <w:spacing w:val="-11"/>
        </w:rPr>
        <w:t> </w:t>
      </w:r>
      <w:r>
        <w:rPr>
          <w:color w:val="231F20"/>
          <w:spacing w:val="-1"/>
        </w:rPr>
        <w:t>Readers</w:t>
      </w:r>
      <w:r>
        <w:rPr>
          <w:color w:val="231F20"/>
          <w:spacing w:val="-11"/>
        </w:rPr>
        <w:t> </w:t>
      </w:r>
      <w:r>
        <w:rPr>
          <w:color w:val="231F20"/>
        </w:rPr>
        <w:t>are</w:t>
      </w:r>
      <w:r>
        <w:rPr>
          <w:color w:val="231F20"/>
          <w:spacing w:val="-12"/>
        </w:rPr>
        <w:t> </w:t>
      </w:r>
      <w:r>
        <w:rPr>
          <w:color w:val="231F20"/>
        </w:rPr>
        <w:t>encouraged</w:t>
      </w:r>
      <w:r>
        <w:rPr>
          <w:color w:val="231F20"/>
          <w:spacing w:val="-52"/>
        </w:rPr>
        <w:t> </w:t>
      </w:r>
      <w:r>
        <w:rPr>
          <w:color w:val="231F20"/>
          <w:spacing w:val="-2"/>
        </w:rPr>
        <w:t>to visit the </w:t>
      </w:r>
      <w:hyperlink r:id="rId17">
        <w:r>
          <w:rPr>
            <w:color w:val="3953A4"/>
            <w:spacing w:val="-2"/>
            <w:u w:val="single" w:color="3953A4"/>
          </w:rPr>
          <w:t>SAMHSA website</w:t>
        </w:r>
        <w:r>
          <w:rPr>
            <w:color w:val="3953A4"/>
            <w:spacing w:val="-2"/>
          </w:rPr>
          <w:t> </w:t>
        </w:r>
      </w:hyperlink>
      <w:r>
        <w:rPr>
          <w:color w:val="231F20"/>
          <w:spacing w:val="-2"/>
        </w:rPr>
        <w:t>for additional tools </w:t>
      </w:r>
      <w:r>
        <w:rPr>
          <w:color w:val="231F20"/>
          <w:spacing w:val="-1"/>
        </w:rPr>
        <w:t>and</w:t>
      </w:r>
      <w:r>
        <w:rPr>
          <w:color w:val="231F20"/>
        </w:rPr>
        <w:t> technical</w:t>
      </w:r>
      <w:r>
        <w:rPr>
          <w:color w:val="231F20"/>
          <w:spacing w:val="-6"/>
        </w:rPr>
        <w:t> </w:t>
      </w:r>
      <w:r>
        <w:rPr>
          <w:color w:val="231F20"/>
        </w:rPr>
        <w:t>assistance</w:t>
      </w:r>
      <w:r>
        <w:rPr>
          <w:color w:val="231F20"/>
          <w:spacing w:val="-5"/>
        </w:rPr>
        <w:t> </w:t>
      </w:r>
      <w:r>
        <w:rPr>
          <w:color w:val="231F20"/>
        </w:rPr>
        <w:t>opportunities.</w:t>
      </w:r>
    </w:p>
    <w:p>
      <w:pPr>
        <w:spacing w:after="0" w:line="266" w:lineRule="auto"/>
        <w:sectPr>
          <w:type w:val="continuous"/>
          <w:pgSz w:w="12240" w:h="15840"/>
          <w:pgMar w:header="0" w:footer="666" w:top="1500" w:bottom="0" w:left="560" w:right="0"/>
          <w:cols w:num="2" w:equalWidth="0">
            <w:col w:w="5240" w:space="520"/>
            <w:col w:w="5920"/>
          </w:cols>
        </w:sectPr>
      </w:pPr>
    </w:p>
    <w:p>
      <w:pPr>
        <w:pStyle w:val="Heading2"/>
        <w:spacing w:before="85"/>
      </w:pPr>
      <w:bookmarkStart w:name="Content of the Guide" w:id="11"/>
      <w:bookmarkEnd w:id="11"/>
      <w:r>
        <w:rPr/>
      </w:r>
      <w:bookmarkStart w:name="A NOTE ON MEDICATIONS FOR OPIOID USE DIS" w:id="12"/>
      <w:bookmarkEnd w:id="12"/>
      <w:r>
        <w:rPr/>
      </w:r>
      <w:bookmarkStart w:name="FOCUS OF THE GUIDE" w:id="13"/>
      <w:bookmarkEnd w:id="13"/>
      <w:r>
        <w:rPr/>
      </w:r>
      <w:r>
        <w:rPr>
          <w:color w:val="1C384B"/>
        </w:rPr>
        <w:t>Content</w:t>
      </w:r>
      <w:r>
        <w:rPr>
          <w:color w:val="1C384B"/>
          <w:spacing w:val="-1"/>
        </w:rPr>
        <w:t> </w:t>
      </w:r>
      <w:r>
        <w:rPr>
          <w:color w:val="1C384B"/>
        </w:rPr>
        <w:t>of</w:t>
      </w:r>
      <w:r>
        <w:rPr>
          <w:color w:val="1C384B"/>
          <w:spacing w:val="20"/>
        </w:rPr>
        <w:t> </w:t>
      </w:r>
      <w:r>
        <w:rPr>
          <w:color w:val="1C384B"/>
        </w:rPr>
        <w:t>the</w:t>
      </w:r>
      <w:r>
        <w:rPr>
          <w:color w:val="1C384B"/>
          <w:spacing w:val="-1"/>
        </w:rPr>
        <w:t> </w:t>
      </w:r>
      <w:r>
        <w:rPr>
          <w:color w:val="1C384B"/>
        </w:rPr>
        <w:t>Guide</w:t>
      </w:r>
    </w:p>
    <w:p>
      <w:pPr>
        <w:pStyle w:val="BodyText"/>
        <w:spacing w:before="86"/>
        <w:ind w:left="160"/>
      </w:pPr>
      <w:r>
        <w:rPr>
          <w:color w:val="231F20"/>
        </w:rPr>
        <w:t>This</w:t>
      </w:r>
      <w:r>
        <w:rPr>
          <w:color w:val="231F20"/>
          <w:spacing w:val="-6"/>
        </w:rPr>
        <w:t> </w:t>
      </w:r>
      <w:r>
        <w:rPr>
          <w:color w:val="231F20"/>
        </w:rPr>
        <w:t>guide</w:t>
      </w:r>
      <w:r>
        <w:rPr>
          <w:color w:val="231F20"/>
          <w:spacing w:val="-6"/>
        </w:rPr>
        <w:t> </w:t>
      </w:r>
      <w:r>
        <w:rPr>
          <w:color w:val="231F20"/>
        </w:rPr>
        <w:t>contains</w:t>
      </w:r>
      <w:r>
        <w:rPr>
          <w:color w:val="231F20"/>
          <w:spacing w:val="-6"/>
        </w:rPr>
        <w:t> </w:t>
      </w:r>
      <w:r>
        <w:rPr>
          <w:color w:val="231F20"/>
        </w:rPr>
        <w:t>a</w:t>
      </w:r>
      <w:r>
        <w:rPr>
          <w:color w:val="231F20"/>
          <w:spacing w:val="-6"/>
        </w:rPr>
        <w:t> </w:t>
      </w:r>
      <w:r>
        <w:rPr>
          <w:color w:val="231F20"/>
        </w:rPr>
        <w:t>foreword</w:t>
      </w:r>
      <w:r>
        <w:rPr>
          <w:color w:val="231F20"/>
          <w:spacing w:val="-6"/>
        </w:rPr>
        <w:t> </w:t>
      </w:r>
      <w:r>
        <w:rPr>
          <w:color w:val="231F20"/>
        </w:rPr>
        <w:t>and</w:t>
      </w:r>
      <w:r>
        <w:rPr>
          <w:color w:val="231F20"/>
          <w:spacing w:val="-6"/>
        </w:rPr>
        <w:t> </w:t>
      </w:r>
      <w:r>
        <w:rPr>
          <w:color w:val="231F20"/>
        </w:rPr>
        <w:t>five</w:t>
      </w:r>
      <w:r>
        <w:rPr>
          <w:color w:val="231F20"/>
          <w:spacing w:val="-6"/>
        </w:rPr>
        <w:t> </w:t>
      </w:r>
      <w:r>
        <w:rPr>
          <w:color w:val="231F20"/>
        </w:rPr>
        <w:t>chapters.</w:t>
      </w:r>
      <w:r>
        <w:rPr>
          <w:color w:val="231F20"/>
          <w:spacing w:val="-10"/>
        </w:rPr>
        <w:t> </w:t>
      </w:r>
      <w:r>
        <w:rPr>
          <w:color w:val="231F20"/>
        </w:rPr>
        <w:t>The</w:t>
      </w:r>
      <w:r>
        <w:rPr>
          <w:color w:val="231F20"/>
          <w:spacing w:val="-6"/>
        </w:rPr>
        <w:t> </w:t>
      </w:r>
      <w:r>
        <w:rPr>
          <w:color w:val="231F20"/>
        </w:rPr>
        <w:t>chapters</w:t>
      </w:r>
      <w:r>
        <w:rPr>
          <w:color w:val="231F20"/>
          <w:spacing w:val="-6"/>
        </w:rPr>
        <w:t> </w:t>
      </w:r>
      <w:r>
        <w:rPr>
          <w:color w:val="231F20"/>
        </w:rPr>
        <w:t>stand</w:t>
      </w:r>
      <w:r>
        <w:rPr>
          <w:color w:val="231F20"/>
          <w:spacing w:val="-6"/>
        </w:rPr>
        <w:t> </w:t>
      </w:r>
      <w:r>
        <w:rPr>
          <w:color w:val="231F20"/>
        </w:rPr>
        <w:t>alone</w:t>
      </w:r>
      <w:r>
        <w:rPr>
          <w:color w:val="231F20"/>
          <w:spacing w:val="-6"/>
        </w:rPr>
        <w:t> </w:t>
      </w:r>
      <w:r>
        <w:rPr>
          <w:color w:val="231F20"/>
        </w:rPr>
        <w:t>and</w:t>
      </w:r>
    </w:p>
    <w:p>
      <w:pPr>
        <w:pStyle w:val="BodyText"/>
        <w:spacing w:line="266" w:lineRule="auto" w:before="27"/>
        <w:ind w:left="160" w:right="273"/>
      </w:pPr>
      <w:r>
        <w:rPr>
          <w:color w:val="231F20"/>
        </w:rPr>
        <w:t>can</w:t>
      </w:r>
      <w:r>
        <w:rPr>
          <w:color w:val="231F20"/>
          <w:spacing w:val="-6"/>
        </w:rPr>
        <w:t> </w:t>
      </w:r>
      <w:r>
        <w:rPr>
          <w:color w:val="231F20"/>
        </w:rPr>
        <w:t>be</w:t>
      </w:r>
      <w:r>
        <w:rPr>
          <w:color w:val="231F20"/>
          <w:spacing w:val="-5"/>
        </w:rPr>
        <w:t> </w:t>
      </w:r>
      <w:r>
        <w:rPr>
          <w:color w:val="231F20"/>
        </w:rPr>
        <w:t>read</w:t>
      </w:r>
      <w:r>
        <w:rPr>
          <w:color w:val="231F20"/>
          <w:spacing w:val="-5"/>
        </w:rPr>
        <w:t> </w:t>
      </w:r>
      <w:r>
        <w:rPr>
          <w:color w:val="231F20"/>
        </w:rPr>
        <w:t>in</w:t>
      </w:r>
      <w:r>
        <w:rPr>
          <w:color w:val="231F20"/>
          <w:spacing w:val="-5"/>
        </w:rPr>
        <w:t> </w:t>
      </w:r>
      <w:r>
        <w:rPr>
          <w:color w:val="231F20"/>
        </w:rPr>
        <w:t>any</w:t>
      </w:r>
      <w:r>
        <w:rPr>
          <w:color w:val="231F20"/>
          <w:spacing w:val="-5"/>
        </w:rPr>
        <w:t> </w:t>
      </w:r>
      <w:r>
        <w:rPr>
          <w:color w:val="231F20"/>
        </w:rPr>
        <w:t>order.</w:t>
      </w:r>
      <w:r>
        <w:rPr>
          <w:color w:val="231F20"/>
          <w:spacing w:val="-5"/>
        </w:rPr>
        <w:t> </w:t>
      </w:r>
      <w:r>
        <w:rPr>
          <w:color w:val="231F20"/>
        </w:rPr>
        <w:t>Each</w:t>
      </w:r>
      <w:r>
        <w:rPr>
          <w:color w:val="231F20"/>
          <w:spacing w:val="-6"/>
        </w:rPr>
        <w:t> </w:t>
      </w:r>
      <w:r>
        <w:rPr>
          <w:color w:val="231F20"/>
        </w:rPr>
        <w:t>chapter</w:t>
      </w:r>
      <w:r>
        <w:rPr>
          <w:color w:val="231F20"/>
          <w:spacing w:val="-5"/>
        </w:rPr>
        <w:t> </w:t>
      </w:r>
      <w:r>
        <w:rPr>
          <w:color w:val="231F20"/>
        </w:rPr>
        <w:t>is</w:t>
      </w:r>
      <w:r>
        <w:rPr>
          <w:color w:val="231F20"/>
          <w:spacing w:val="-5"/>
        </w:rPr>
        <w:t> </w:t>
      </w:r>
      <w:r>
        <w:rPr>
          <w:color w:val="231F20"/>
        </w:rPr>
        <w:t>designed</w:t>
      </w:r>
      <w:r>
        <w:rPr>
          <w:color w:val="231F20"/>
          <w:spacing w:val="-5"/>
        </w:rPr>
        <w:t> </w:t>
      </w:r>
      <w:r>
        <w:rPr>
          <w:color w:val="231F20"/>
        </w:rPr>
        <w:t>to</w:t>
      </w:r>
      <w:r>
        <w:rPr>
          <w:color w:val="231F20"/>
          <w:spacing w:val="-5"/>
        </w:rPr>
        <w:t> </w:t>
      </w:r>
      <w:r>
        <w:rPr>
          <w:color w:val="231F20"/>
        </w:rPr>
        <w:t>be</w:t>
      </w:r>
      <w:r>
        <w:rPr>
          <w:color w:val="231F20"/>
          <w:spacing w:val="-6"/>
        </w:rPr>
        <w:t> </w:t>
      </w:r>
      <w:r>
        <w:rPr>
          <w:color w:val="231F20"/>
        </w:rPr>
        <w:t>brief</w:t>
      </w:r>
      <w:r>
        <w:rPr>
          <w:color w:val="231F20"/>
          <w:spacing w:val="-5"/>
        </w:rPr>
        <w:t> </w:t>
      </w:r>
      <w:r>
        <w:rPr>
          <w:color w:val="231F20"/>
        </w:rPr>
        <w:t>and</w:t>
      </w:r>
      <w:r>
        <w:rPr>
          <w:color w:val="231F20"/>
          <w:spacing w:val="-5"/>
        </w:rPr>
        <w:t> </w:t>
      </w:r>
      <w:r>
        <w:rPr>
          <w:color w:val="231F20"/>
        </w:rPr>
        <w:t>accessible</w:t>
      </w:r>
      <w:r>
        <w:rPr>
          <w:color w:val="231F20"/>
          <w:spacing w:val="-52"/>
        </w:rPr>
        <w:t> </w:t>
      </w:r>
      <w:r>
        <w:rPr>
          <w:color w:val="231F20"/>
        </w:rPr>
        <w:t>to</w:t>
      </w:r>
      <w:r>
        <w:rPr>
          <w:color w:val="231F20"/>
          <w:spacing w:val="-6"/>
        </w:rPr>
        <w:t> </w:t>
      </w:r>
      <w:r>
        <w:rPr>
          <w:color w:val="231F20"/>
        </w:rPr>
        <w:t>healthcare</w:t>
      </w:r>
      <w:r>
        <w:rPr>
          <w:color w:val="231F20"/>
          <w:spacing w:val="-6"/>
        </w:rPr>
        <w:t> </w:t>
      </w:r>
      <w:r>
        <w:rPr>
          <w:color w:val="231F20"/>
        </w:rPr>
        <w:t>practitioners,</w:t>
      </w:r>
      <w:r>
        <w:rPr>
          <w:color w:val="231F20"/>
          <w:spacing w:val="-6"/>
        </w:rPr>
        <w:t> </w:t>
      </w:r>
      <w:r>
        <w:rPr>
          <w:color w:val="231F20"/>
        </w:rPr>
        <w:t>healthcare</w:t>
      </w:r>
      <w:r>
        <w:rPr>
          <w:color w:val="231F20"/>
          <w:spacing w:val="-6"/>
        </w:rPr>
        <w:t> </w:t>
      </w:r>
      <w:r>
        <w:rPr>
          <w:color w:val="231F20"/>
        </w:rPr>
        <w:t>system</w:t>
      </w:r>
      <w:r>
        <w:rPr>
          <w:color w:val="231F20"/>
          <w:spacing w:val="-6"/>
        </w:rPr>
        <w:t> </w:t>
      </w:r>
      <w:r>
        <w:rPr>
          <w:color w:val="231F20"/>
        </w:rPr>
        <w:t>administrators,</w:t>
      </w:r>
      <w:r>
        <w:rPr>
          <w:color w:val="231F20"/>
          <w:spacing w:val="-6"/>
        </w:rPr>
        <w:t> </w:t>
      </w:r>
      <w:r>
        <w:rPr>
          <w:color w:val="231F20"/>
        </w:rPr>
        <w:t>community</w:t>
      </w:r>
    </w:p>
    <w:p>
      <w:pPr>
        <w:pStyle w:val="BodyText"/>
        <w:spacing w:line="266" w:lineRule="auto"/>
        <w:ind w:left="160"/>
      </w:pPr>
      <w:r>
        <w:rPr>
          <w:color w:val="231F20"/>
        </w:rPr>
        <w:t>members,</w:t>
      </w:r>
      <w:r>
        <w:rPr>
          <w:color w:val="231F20"/>
          <w:spacing w:val="-5"/>
        </w:rPr>
        <w:t> </w:t>
      </w:r>
      <w:r>
        <w:rPr>
          <w:color w:val="231F20"/>
        </w:rPr>
        <w:t>policy</w:t>
      </w:r>
      <w:r>
        <w:rPr>
          <w:color w:val="231F20"/>
          <w:spacing w:val="-5"/>
        </w:rPr>
        <w:t> </w:t>
      </w:r>
      <w:r>
        <w:rPr>
          <w:color w:val="231F20"/>
        </w:rPr>
        <w:t>makers,</w:t>
      </w:r>
      <w:r>
        <w:rPr>
          <w:color w:val="231F20"/>
          <w:spacing w:val="-5"/>
        </w:rPr>
        <w:t> </w:t>
      </w:r>
      <w:r>
        <w:rPr>
          <w:color w:val="231F20"/>
        </w:rPr>
        <w:t>and</w:t>
      </w:r>
      <w:r>
        <w:rPr>
          <w:color w:val="231F20"/>
          <w:spacing w:val="-5"/>
        </w:rPr>
        <w:t> </w:t>
      </w:r>
      <w:r>
        <w:rPr>
          <w:color w:val="231F20"/>
        </w:rPr>
        <w:t>others</w:t>
      </w:r>
      <w:r>
        <w:rPr>
          <w:color w:val="231F20"/>
          <w:spacing w:val="-5"/>
        </w:rPr>
        <w:t> </w:t>
      </w:r>
      <w:r>
        <w:rPr>
          <w:color w:val="231F20"/>
        </w:rPr>
        <w:t>working</w:t>
      </w:r>
      <w:r>
        <w:rPr>
          <w:color w:val="231F20"/>
          <w:spacing w:val="-4"/>
        </w:rPr>
        <w:t> </w:t>
      </w:r>
      <w:r>
        <w:rPr>
          <w:color w:val="231F20"/>
        </w:rPr>
        <w:t>to</w:t>
      </w:r>
      <w:r>
        <w:rPr>
          <w:color w:val="231F20"/>
          <w:spacing w:val="-5"/>
        </w:rPr>
        <w:t> </w:t>
      </w:r>
      <w:r>
        <w:rPr>
          <w:color w:val="231F20"/>
        </w:rPr>
        <w:t>meet</w:t>
      </w:r>
      <w:r>
        <w:rPr>
          <w:color w:val="231F20"/>
          <w:spacing w:val="-5"/>
        </w:rPr>
        <w:t> </w:t>
      </w:r>
      <w:r>
        <w:rPr>
          <w:color w:val="231F20"/>
        </w:rPr>
        <w:t>the</w:t>
      </w:r>
      <w:r>
        <w:rPr>
          <w:color w:val="231F20"/>
          <w:spacing w:val="-5"/>
        </w:rPr>
        <w:t> </w:t>
      </w:r>
      <w:r>
        <w:rPr>
          <w:color w:val="231F20"/>
        </w:rPr>
        <w:t>needs</w:t>
      </w:r>
      <w:r>
        <w:rPr>
          <w:color w:val="231F20"/>
          <w:spacing w:val="-5"/>
        </w:rPr>
        <w:t> </w:t>
      </w:r>
      <w:r>
        <w:rPr>
          <w:color w:val="231F20"/>
        </w:rPr>
        <w:t>of</w:t>
      </w:r>
      <w:r>
        <w:rPr>
          <w:color w:val="231F20"/>
          <w:spacing w:val="-4"/>
        </w:rPr>
        <w:t> </w:t>
      </w:r>
      <w:r>
        <w:rPr>
          <w:color w:val="231F20"/>
        </w:rPr>
        <w:t>people</w:t>
      </w:r>
      <w:r>
        <w:rPr>
          <w:color w:val="231F20"/>
          <w:spacing w:val="-5"/>
        </w:rPr>
        <w:t> </w:t>
      </w:r>
      <w:r>
        <w:rPr>
          <w:color w:val="231F20"/>
        </w:rPr>
        <w:t>at</w:t>
      </w:r>
      <w:r>
        <w:rPr>
          <w:color w:val="231F20"/>
          <w:spacing w:val="-5"/>
        </w:rPr>
        <w:t> </w:t>
      </w:r>
      <w:r>
        <w:rPr>
          <w:color w:val="231F20"/>
        </w:rPr>
        <w:t>risk</w:t>
      </w:r>
      <w:r>
        <w:rPr>
          <w:color w:val="231F20"/>
          <w:spacing w:val="-52"/>
        </w:rPr>
        <w:t> </w:t>
      </w:r>
      <w:r>
        <w:rPr>
          <w:color w:val="231F20"/>
        </w:rPr>
        <w:t>for</w:t>
      </w:r>
      <w:r>
        <w:rPr>
          <w:color w:val="231F20"/>
          <w:spacing w:val="-5"/>
        </w:rPr>
        <w:t> </w:t>
      </w:r>
      <w:r>
        <w:rPr>
          <w:color w:val="231F20"/>
        </w:rPr>
        <w:t>developing,</w:t>
      </w:r>
      <w:r>
        <w:rPr>
          <w:color w:val="231F20"/>
          <w:spacing w:val="-5"/>
        </w:rPr>
        <w:t> </w:t>
      </w:r>
      <w:r>
        <w:rPr>
          <w:color w:val="231F20"/>
        </w:rPr>
        <w:t>experiencing,</w:t>
      </w:r>
      <w:r>
        <w:rPr>
          <w:color w:val="231F20"/>
          <w:spacing w:val="-5"/>
        </w:rPr>
        <w:t> </w:t>
      </w:r>
      <w:r>
        <w:rPr>
          <w:color w:val="231F20"/>
        </w:rPr>
        <w:t>or</w:t>
      </w:r>
      <w:r>
        <w:rPr>
          <w:color w:val="231F20"/>
          <w:spacing w:val="-5"/>
        </w:rPr>
        <w:t> </w:t>
      </w:r>
      <w:r>
        <w:rPr>
          <w:color w:val="231F20"/>
        </w:rPr>
        <w:t>recovering</w:t>
      </w:r>
      <w:r>
        <w:rPr>
          <w:color w:val="231F20"/>
          <w:spacing w:val="-5"/>
        </w:rPr>
        <w:t> </w:t>
      </w:r>
      <w:r>
        <w:rPr>
          <w:color w:val="231F20"/>
        </w:rPr>
        <w:t>from</w:t>
      </w:r>
      <w:r>
        <w:rPr>
          <w:color w:val="231F20"/>
          <w:spacing w:val="-4"/>
        </w:rPr>
        <w:t> </w:t>
      </w:r>
      <w:r>
        <w:rPr>
          <w:color w:val="231F20"/>
        </w:rPr>
        <w:t>mental</w:t>
      </w:r>
      <w:r>
        <w:rPr>
          <w:color w:val="231F20"/>
          <w:spacing w:val="-5"/>
        </w:rPr>
        <w:t> </w:t>
      </w:r>
      <w:r>
        <w:rPr>
          <w:color w:val="231F20"/>
        </w:rPr>
        <w:t>illness</w:t>
      </w:r>
      <w:r>
        <w:rPr>
          <w:color w:val="231F20"/>
          <w:spacing w:val="-5"/>
        </w:rPr>
        <w:t> </w:t>
      </w:r>
      <w:r>
        <w:rPr>
          <w:color w:val="231F20"/>
        </w:rPr>
        <w:t>and/or</w:t>
      </w:r>
      <w:r>
        <w:rPr>
          <w:color w:val="231F20"/>
          <w:spacing w:val="-5"/>
        </w:rPr>
        <w:t> </w:t>
      </w:r>
      <w:r>
        <w:rPr>
          <w:color w:val="231F20"/>
        </w:rPr>
        <w:t>SUD.</w:t>
      </w:r>
    </w:p>
    <w:p>
      <w:pPr>
        <w:pStyle w:val="BodyText"/>
        <w:spacing w:line="266" w:lineRule="auto" w:before="177"/>
        <w:ind w:left="160" w:right="177"/>
      </w:pPr>
      <w:r>
        <w:rPr>
          <w:color w:val="231F20"/>
        </w:rPr>
        <w:t>The goal of this guide is to review the literature on preventing and treating</w:t>
      </w:r>
      <w:r>
        <w:rPr>
          <w:color w:val="231F20"/>
          <w:spacing w:val="1"/>
        </w:rPr>
        <w:t> </w:t>
      </w:r>
      <w:r>
        <w:rPr>
          <w:color w:val="231F20"/>
        </w:rPr>
        <w:t>HIV for people with mental illness and/or SUD, distill the research into</w:t>
      </w:r>
      <w:r>
        <w:rPr>
          <w:color w:val="231F20"/>
          <w:spacing w:val="1"/>
        </w:rPr>
        <w:t> </w:t>
      </w:r>
      <w:r>
        <w:rPr>
          <w:color w:val="231F20"/>
        </w:rPr>
        <w:t>recommendations for practice, and provide examples of how practitioners use</w:t>
      </w:r>
      <w:r>
        <w:rPr>
          <w:color w:val="231F20"/>
          <w:spacing w:val="-52"/>
        </w:rPr>
        <w:t> </w:t>
      </w:r>
      <w:r>
        <w:rPr>
          <w:color w:val="231F20"/>
        </w:rPr>
        <w:t>these practices in their programs.</w:t>
      </w:r>
    </w:p>
    <w:p>
      <w:pPr>
        <w:pStyle w:val="BodyText"/>
        <w:spacing w:before="9"/>
        <w:rPr>
          <w:sz w:val="13"/>
        </w:rPr>
      </w:pPr>
      <w:r>
        <w:rPr/>
        <w:pict>
          <v:group style="position:absolute;margin-left:36pt;margin-top:9.127779pt;width:350.65pt;height:1pt;mso-position-horizontal-relative:page;mso-position-vertical-relative:paragraph;z-index:-15723008;mso-wrap-distance-left:0;mso-wrap-distance-right:0" id="docshapegroup34" coordorigin="720,183" coordsize="7013,20">
            <v:line style="position:absolute" from="720,193" to="1440,193" stroked="true" strokeweight="1pt" strokecolor="#231f20">
              <v:stroke dashstyle="solid"/>
            </v:line>
            <v:line style="position:absolute" from="1440,193" to="7733,193" stroked="true" strokeweight="1pt" strokecolor="#231f20">
              <v:stroke dashstyle="solid"/>
            </v:line>
            <w10:wrap type="topAndBottom"/>
          </v:group>
        </w:pict>
      </w:r>
    </w:p>
    <w:p>
      <w:pPr>
        <w:tabs>
          <w:tab w:pos="959" w:val="left" w:leader="none"/>
        </w:tabs>
        <w:spacing w:before="15"/>
        <w:ind w:left="240" w:right="0" w:firstLine="0"/>
        <w:jc w:val="left"/>
        <w:rPr>
          <w:rFonts w:ascii="Arial"/>
          <w:b/>
          <w:sz w:val="26"/>
        </w:rPr>
      </w:pPr>
      <w:hyperlink w:history="true" w:anchor="_bookmark0">
        <w:r>
          <w:rPr>
            <w:rFonts w:ascii="Arial"/>
            <w:b/>
            <w:color w:val="CE372E"/>
            <w:sz w:val="26"/>
          </w:rPr>
          <w:t>FW</w:t>
          <w:tab/>
        </w:r>
        <w:r>
          <w:rPr>
            <w:rFonts w:ascii="Arial"/>
            <w:b/>
            <w:color w:val="CE372D"/>
            <w:spacing w:val="-6"/>
            <w:sz w:val="26"/>
          </w:rPr>
          <w:t>Evidence-Based</w:t>
        </w:r>
        <w:r>
          <w:rPr>
            <w:rFonts w:ascii="Arial"/>
            <w:b/>
            <w:color w:val="CE372D"/>
            <w:spacing w:val="-12"/>
            <w:sz w:val="26"/>
          </w:rPr>
          <w:t> </w:t>
        </w:r>
        <w:r>
          <w:rPr>
            <w:rFonts w:ascii="Arial"/>
            <w:b/>
            <w:color w:val="CE372D"/>
            <w:spacing w:val="-5"/>
            <w:sz w:val="26"/>
          </w:rPr>
          <w:t>Resource</w:t>
        </w:r>
        <w:r>
          <w:rPr>
            <w:rFonts w:ascii="Arial"/>
            <w:b/>
            <w:color w:val="CE372D"/>
            <w:spacing w:val="-12"/>
            <w:sz w:val="26"/>
          </w:rPr>
          <w:t> </w:t>
        </w:r>
        <w:r>
          <w:rPr>
            <w:rFonts w:ascii="Arial"/>
            <w:b/>
            <w:color w:val="CE372D"/>
            <w:spacing w:val="-5"/>
            <w:sz w:val="26"/>
          </w:rPr>
          <w:t>Guide</w:t>
        </w:r>
        <w:r>
          <w:rPr>
            <w:rFonts w:ascii="Arial"/>
            <w:b/>
            <w:color w:val="CE372D"/>
            <w:spacing w:val="-11"/>
            <w:sz w:val="26"/>
          </w:rPr>
          <w:t> </w:t>
        </w:r>
        <w:r>
          <w:rPr>
            <w:rFonts w:ascii="Arial"/>
            <w:b/>
            <w:color w:val="CE372D"/>
            <w:spacing w:val="-5"/>
            <w:sz w:val="26"/>
          </w:rPr>
          <w:t>Series</w:t>
        </w:r>
        <w:r>
          <w:rPr>
            <w:rFonts w:ascii="Arial"/>
            <w:b/>
            <w:color w:val="CE372D"/>
            <w:spacing w:val="-12"/>
            <w:sz w:val="26"/>
          </w:rPr>
          <w:t> </w:t>
        </w:r>
        <w:r>
          <w:rPr>
            <w:rFonts w:ascii="Arial"/>
            <w:b/>
            <w:color w:val="CE372D"/>
            <w:spacing w:val="-5"/>
            <w:sz w:val="26"/>
          </w:rPr>
          <w:t>Overview</w:t>
        </w:r>
      </w:hyperlink>
    </w:p>
    <w:p>
      <w:pPr>
        <w:pStyle w:val="BodyText"/>
        <w:spacing w:before="69"/>
        <w:ind w:left="960"/>
        <w:rPr>
          <w:rFonts w:ascii="Arial"/>
        </w:rPr>
      </w:pPr>
      <w:r>
        <w:rPr>
          <w:rFonts w:ascii="Arial"/>
          <w:color w:val="231F20"/>
        </w:rPr>
        <w:t>Introduction to the series.</w:t>
      </w:r>
    </w:p>
    <w:p>
      <w:pPr>
        <w:pStyle w:val="BodyText"/>
        <w:spacing w:before="5"/>
        <w:rPr>
          <w:rFonts w:ascii="Arial"/>
          <w:sz w:val="3"/>
        </w:rPr>
      </w:pPr>
      <w:r>
        <w:rPr/>
        <w:pict>
          <v:group style="position:absolute;margin-left:36pt;margin-top:3.215444pt;width:350.65pt;height:1pt;mso-position-horizontal-relative:page;mso-position-vertical-relative:paragraph;z-index:-15722496;mso-wrap-distance-left:0;mso-wrap-distance-right:0" id="docshapegroup35" coordorigin="720,64" coordsize="7013,20">
            <v:line style="position:absolute" from="720,74" to="1440,74" stroked="true" strokeweight="1pt" strokecolor="#231f20">
              <v:stroke dashstyle="solid"/>
            </v:line>
            <v:line style="position:absolute" from="1440,74" to="7733,74" stroked="true" strokeweight="1pt" strokecolor="#231f20">
              <v:stroke dashstyle="solid"/>
            </v:line>
            <w10:wrap type="topAndBottom"/>
          </v:group>
        </w:pict>
      </w:r>
    </w:p>
    <w:p>
      <w:pPr>
        <w:pStyle w:val="ListParagraph"/>
        <w:numPr>
          <w:ilvl w:val="0"/>
          <w:numId w:val="2"/>
        </w:numPr>
        <w:tabs>
          <w:tab w:pos="959" w:val="left" w:leader="none"/>
          <w:tab w:pos="960" w:val="left" w:leader="none"/>
        </w:tabs>
        <w:spacing w:line="240" w:lineRule="auto" w:before="15" w:after="0"/>
        <w:ind w:left="959" w:right="0" w:hanging="720"/>
        <w:jc w:val="left"/>
        <w:rPr>
          <w:rFonts w:ascii="Arial"/>
          <w:b/>
          <w:sz w:val="26"/>
        </w:rPr>
      </w:pPr>
      <w:hyperlink w:history="true" w:anchor="_bookmark1">
        <w:r>
          <w:rPr>
            <w:rFonts w:ascii="Arial"/>
            <w:b/>
            <w:color w:val="CE372E"/>
            <w:sz w:val="26"/>
          </w:rPr>
          <w:t>Issue</w:t>
        </w:r>
        <w:r>
          <w:rPr>
            <w:rFonts w:ascii="Arial"/>
            <w:b/>
            <w:color w:val="CE372E"/>
            <w:spacing w:val="-3"/>
            <w:sz w:val="26"/>
          </w:rPr>
          <w:t> </w:t>
        </w:r>
        <w:r>
          <w:rPr>
            <w:rFonts w:ascii="Arial"/>
            <w:b/>
            <w:color w:val="CE372E"/>
            <w:sz w:val="26"/>
          </w:rPr>
          <w:t>Brief</w:t>
        </w:r>
      </w:hyperlink>
    </w:p>
    <w:p>
      <w:pPr>
        <w:pStyle w:val="BodyText"/>
        <w:spacing w:line="228" w:lineRule="auto" w:before="79"/>
        <w:ind w:left="960" w:right="273"/>
        <w:rPr>
          <w:rFonts w:ascii="Arial"/>
        </w:rPr>
      </w:pPr>
      <w:r>
        <w:rPr>
          <w:rFonts w:ascii="Arial"/>
          <w:color w:val="231F20"/>
          <w:spacing w:val="-2"/>
        </w:rPr>
        <w:t>Overview</w:t>
      </w:r>
      <w:r>
        <w:rPr>
          <w:rFonts w:ascii="Arial"/>
          <w:color w:val="231F20"/>
          <w:spacing w:val="-13"/>
        </w:rPr>
        <w:t> </w:t>
      </w:r>
      <w:r>
        <w:rPr>
          <w:rFonts w:ascii="Arial"/>
          <w:color w:val="231F20"/>
          <w:spacing w:val="-2"/>
        </w:rPr>
        <w:t>of</w:t>
      </w:r>
      <w:r>
        <w:rPr>
          <w:rFonts w:ascii="Arial"/>
          <w:color w:val="231F20"/>
          <w:spacing w:val="-12"/>
        </w:rPr>
        <w:t> </w:t>
      </w:r>
      <w:r>
        <w:rPr>
          <w:rFonts w:ascii="Arial"/>
          <w:color w:val="231F20"/>
          <w:spacing w:val="-2"/>
        </w:rPr>
        <w:t>current</w:t>
      </w:r>
      <w:r>
        <w:rPr>
          <w:rFonts w:ascii="Arial"/>
          <w:color w:val="231F20"/>
          <w:spacing w:val="-12"/>
        </w:rPr>
        <w:t> </w:t>
      </w:r>
      <w:r>
        <w:rPr>
          <w:rFonts w:ascii="Arial"/>
          <w:color w:val="231F20"/>
          <w:spacing w:val="-2"/>
        </w:rPr>
        <w:t>approaches</w:t>
      </w:r>
      <w:r>
        <w:rPr>
          <w:rFonts w:ascii="Arial"/>
          <w:color w:val="231F20"/>
          <w:spacing w:val="-12"/>
        </w:rPr>
        <w:t> </w:t>
      </w:r>
      <w:r>
        <w:rPr>
          <w:rFonts w:ascii="Arial"/>
          <w:color w:val="231F20"/>
          <w:spacing w:val="-1"/>
        </w:rPr>
        <w:t>and</w:t>
      </w:r>
      <w:r>
        <w:rPr>
          <w:rFonts w:ascii="Arial"/>
          <w:color w:val="231F20"/>
          <w:spacing w:val="-12"/>
        </w:rPr>
        <w:t> </w:t>
      </w:r>
      <w:r>
        <w:rPr>
          <w:rFonts w:ascii="Arial"/>
          <w:color w:val="231F20"/>
          <w:spacing w:val="-1"/>
        </w:rPr>
        <w:t>challenges</w:t>
      </w:r>
      <w:r>
        <w:rPr>
          <w:rFonts w:ascii="Arial"/>
          <w:color w:val="231F20"/>
          <w:spacing w:val="-13"/>
        </w:rPr>
        <w:t> </w:t>
      </w:r>
      <w:r>
        <w:rPr>
          <w:rFonts w:ascii="Arial"/>
          <w:color w:val="231F20"/>
          <w:spacing w:val="-1"/>
        </w:rPr>
        <w:t>to</w:t>
      </w:r>
      <w:r>
        <w:rPr>
          <w:rFonts w:ascii="Arial"/>
          <w:color w:val="231F20"/>
          <w:spacing w:val="-12"/>
        </w:rPr>
        <w:t> </w:t>
      </w:r>
      <w:r>
        <w:rPr>
          <w:rFonts w:ascii="Arial"/>
          <w:color w:val="231F20"/>
          <w:spacing w:val="-1"/>
        </w:rPr>
        <w:t>preventing</w:t>
      </w:r>
      <w:r>
        <w:rPr>
          <w:rFonts w:ascii="Arial"/>
          <w:color w:val="231F20"/>
          <w:spacing w:val="-58"/>
        </w:rPr>
        <w:t> </w:t>
      </w:r>
      <w:r>
        <w:rPr>
          <w:rFonts w:ascii="Arial"/>
          <w:color w:val="231F20"/>
        </w:rPr>
        <w:t>and</w:t>
      </w:r>
      <w:r>
        <w:rPr>
          <w:rFonts w:ascii="Arial"/>
          <w:color w:val="231F20"/>
          <w:spacing w:val="-14"/>
        </w:rPr>
        <w:t> </w:t>
      </w:r>
      <w:r>
        <w:rPr>
          <w:rFonts w:ascii="Arial"/>
          <w:color w:val="231F20"/>
        </w:rPr>
        <w:t>treating</w:t>
      </w:r>
      <w:r>
        <w:rPr>
          <w:rFonts w:ascii="Arial"/>
          <w:color w:val="231F20"/>
          <w:spacing w:val="-14"/>
        </w:rPr>
        <w:t> </w:t>
      </w:r>
      <w:r>
        <w:rPr>
          <w:rFonts w:ascii="Arial"/>
          <w:color w:val="231F20"/>
        </w:rPr>
        <w:t>HIV</w:t>
      </w:r>
      <w:r>
        <w:rPr>
          <w:rFonts w:ascii="Arial"/>
          <w:color w:val="231F20"/>
          <w:spacing w:val="-14"/>
        </w:rPr>
        <w:t> </w:t>
      </w:r>
      <w:r>
        <w:rPr>
          <w:rFonts w:ascii="Arial"/>
          <w:color w:val="231F20"/>
        </w:rPr>
        <w:t>for</w:t>
      </w:r>
      <w:r>
        <w:rPr>
          <w:rFonts w:ascii="Arial"/>
          <w:color w:val="231F20"/>
          <w:spacing w:val="-13"/>
        </w:rPr>
        <w:t> </w:t>
      </w:r>
      <w:r>
        <w:rPr>
          <w:rFonts w:ascii="Arial"/>
          <w:color w:val="231F20"/>
        </w:rPr>
        <w:t>people</w:t>
      </w:r>
      <w:r>
        <w:rPr>
          <w:rFonts w:ascii="Arial"/>
          <w:color w:val="231F20"/>
          <w:spacing w:val="-14"/>
        </w:rPr>
        <w:t> </w:t>
      </w:r>
      <w:r>
        <w:rPr>
          <w:rFonts w:ascii="Arial"/>
          <w:color w:val="231F20"/>
        </w:rPr>
        <w:t>with</w:t>
      </w:r>
      <w:r>
        <w:rPr>
          <w:rFonts w:ascii="Arial"/>
          <w:color w:val="231F20"/>
          <w:spacing w:val="-14"/>
        </w:rPr>
        <w:t> </w:t>
      </w:r>
      <w:r>
        <w:rPr>
          <w:rFonts w:ascii="Arial"/>
          <w:color w:val="231F20"/>
        </w:rPr>
        <w:t>mental</w:t>
      </w:r>
      <w:r>
        <w:rPr>
          <w:rFonts w:ascii="Arial"/>
          <w:color w:val="231F20"/>
          <w:spacing w:val="-14"/>
        </w:rPr>
        <w:t> </w:t>
      </w:r>
      <w:r>
        <w:rPr>
          <w:rFonts w:ascii="Arial"/>
          <w:color w:val="231F20"/>
        </w:rPr>
        <w:t>illness</w:t>
      </w:r>
      <w:r>
        <w:rPr>
          <w:rFonts w:ascii="Arial"/>
          <w:color w:val="231F20"/>
          <w:spacing w:val="-13"/>
        </w:rPr>
        <w:t> </w:t>
      </w:r>
      <w:r>
        <w:rPr>
          <w:rFonts w:ascii="Arial"/>
          <w:color w:val="231F20"/>
        </w:rPr>
        <w:t>and/or</w:t>
      </w:r>
      <w:r>
        <w:rPr>
          <w:rFonts w:ascii="Arial"/>
          <w:color w:val="231F20"/>
          <w:spacing w:val="-14"/>
        </w:rPr>
        <w:t> </w:t>
      </w:r>
      <w:r>
        <w:rPr>
          <w:rFonts w:ascii="Arial"/>
          <w:color w:val="231F20"/>
        </w:rPr>
        <w:t>SUD.</w:t>
      </w:r>
    </w:p>
    <w:p>
      <w:pPr>
        <w:pStyle w:val="BodyText"/>
        <w:spacing w:before="4"/>
        <w:rPr>
          <w:rFonts w:ascii="Arial"/>
          <w:sz w:val="5"/>
        </w:rPr>
      </w:pPr>
      <w:r>
        <w:rPr/>
        <w:pict>
          <v:group style="position:absolute;margin-left:36pt;margin-top:4.278311pt;width:350.65pt;height:1pt;mso-position-horizontal-relative:page;mso-position-vertical-relative:paragraph;z-index:-15721984;mso-wrap-distance-left:0;mso-wrap-distance-right:0" id="docshapegroup36" coordorigin="720,86" coordsize="7013,20">
            <v:line style="position:absolute" from="720,96" to="1440,96" stroked="true" strokeweight="1pt" strokecolor="#231f20">
              <v:stroke dashstyle="solid"/>
            </v:line>
            <v:line style="position:absolute" from="1440,96" to="7733,96" stroked="true" strokeweight="1pt" strokecolor="#231f20">
              <v:stroke dashstyle="solid"/>
            </v:line>
            <w10:wrap type="topAndBottom"/>
          </v:group>
        </w:pict>
      </w:r>
    </w:p>
    <w:p>
      <w:pPr>
        <w:pStyle w:val="ListParagraph"/>
        <w:numPr>
          <w:ilvl w:val="0"/>
          <w:numId w:val="2"/>
        </w:numPr>
        <w:tabs>
          <w:tab w:pos="959" w:val="left" w:leader="none"/>
          <w:tab w:pos="960" w:val="left" w:leader="none"/>
        </w:tabs>
        <w:spacing w:line="240" w:lineRule="auto" w:before="15" w:after="0"/>
        <w:ind w:left="959" w:right="0" w:hanging="720"/>
        <w:jc w:val="left"/>
        <w:rPr>
          <w:rFonts w:ascii="Arial"/>
          <w:b/>
          <w:sz w:val="26"/>
        </w:rPr>
      </w:pPr>
      <w:hyperlink w:history="true" w:anchor="_bookmark2">
        <w:r>
          <w:rPr>
            <w:rFonts w:ascii="Arial"/>
            <w:b/>
            <w:color w:val="CE372E"/>
            <w:sz w:val="26"/>
          </w:rPr>
          <w:t>What</w:t>
        </w:r>
        <w:r>
          <w:rPr>
            <w:rFonts w:ascii="Arial"/>
            <w:b/>
            <w:color w:val="CE372E"/>
            <w:spacing w:val="-8"/>
            <w:sz w:val="26"/>
          </w:rPr>
          <w:t> </w:t>
        </w:r>
        <w:r>
          <w:rPr>
            <w:rFonts w:ascii="Arial"/>
            <w:b/>
            <w:color w:val="CE372E"/>
            <w:sz w:val="26"/>
          </w:rPr>
          <w:t>Research</w:t>
        </w:r>
        <w:r>
          <w:rPr>
            <w:rFonts w:ascii="Arial"/>
            <w:b/>
            <w:color w:val="CE372E"/>
            <w:spacing w:val="-9"/>
            <w:sz w:val="26"/>
          </w:rPr>
          <w:t> </w:t>
        </w:r>
        <w:r>
          <w:rPr>
            <w:rFonts w:ascii="Arial"/>
            <w:b/>
            <w:color w:val="CE372E"/>
            <w:sz w:val="26"/>
          </w:rPr>
          <w:t>Tells</w:t>
        </w:r>
        <w:r>
          <w:rPr>
            <w:rFonts w:ascii="Arial"/>
            <w:b/>
            <w:color w:val="CE372E"/>
            <w:spacing w:val="-8"/>
            <w:sz w:val="26"/>
          </w:rPr>
          <w:t> </w:t>
        </w:r>
        <w:r>
          <w:rPr>
            <w:rFonts w:ascii="Arial"/>
            <w:b/>
            <w:color w:val="CE372E"/>
            <w:sz w:val="26"/>
          </w:rPr>
          <w:t>Us</w:t>
        </w:r>
      </w:hyperlink>
    </w:p>
    <w:p>
      <w:pPr>
        <w:pStyle w:val="BodyText"/>
        <w:spacing w:line="228" w:lineRule="auto" w:before="79"/>
        <w:ind w:left="960" w:right="177"/>
        <w:rPr>
          <w:rFonts w:ascii="Arial"/>
        </w:rPr>
      </w:pPr>
      <w:r>
        <w:rPr>
          <w:rFonts w:ascii="Arial"/>
          <w:color w:val="231F20"/>
          <w:spacing w:val="-4"/>
        </w:rPr>
        <w:t>Current</w:t>
      </w:r>
      <w:r>
        <w:rPr>
          <w:rFonts w:ascii="Arial"/>
          <w:color w:val="231F20"/>
          <w:spacing w:val="-12"/>
        </w:rPr>
        <w:t> </w:t>
      </w:r>
      <w:r>
        <w:rPr>
          <w:rFonts w:ascii="Arial"/>
          <w:color w:val="231F20"/>
          <w:spacing w:val="-4"/>
        </w:rPr>
        <w:t>evidence</w:t>
      </w:r>
      <w:r>
        <w:rPr>
          <w:rFonts w:ascii="Arial"/>
          <w:color w:val="231F20"/>
          <w:spacing w:val="-11"/>
        </w:rPr>
        <w:t> </w:t>
      </w:r>
      <w:r>
        <w:rPr>
          <w:rFonts w:ascii="Arial"/>
          <w:color w:val="231F20"/>
          <w:spacing w:val="-4"/>
        </w:rPr>
        <w:t>on</w:t>
      </w:r>
      <w:r>
        <w:rPr>
          <w:rFonts w:ascii="Arial"/>
          <w:color w:val="231F20"/>
          <w:spacing w:val="-11"/>
        </w:rPr>
        <w:t> </w:t>
      </w:r>
      <w:r>
        <w:rPr>
          <w:rFonts w:ascii="Arial"/>
          <w:color w:val="231F20"/>
          <w:spacing w:val="-4"/>
        </w:rPr>
        <w:t>effectiveness</w:t>
      </w:r>
      <w:r>
        <w:rPr>
          <w:rFonts w:ascii="Arial"/>
          <w:color w:val="231F20"/>
          <w:spacing w:val="-11"/>
        </w:rPr>
        <w:t> </w:t>
      </w:r>
      <w:r>
        <w:rPr>
          <w:rFonts w:ascii="Arial"/>
          <w:color w:val="231F20"/>
          <w:spacing w:val="-4"/>
        </w:rPr>
        <w:t>of</w:t>
      </w:r>
      <w:r>
        <w:rPr>
          <w:rFonts w:ascii="Arial"/>
          <w:color w:val="231F20"/>
          <w:spacing w:val="-12"/>
        </w:rPr>
        <w:t> </w:t>
      </w:r>
      <w:r>
        <w:rPr>
          <w:rFonts w:ascii="Arial"/>
          <w:color w:val="231F20"/>
          <w:spacing w:val="-4"/>
        </w:rPr>
        <w:t>programs</w:t>
      </w:r>
      <w:r>
        <w:rPr>
          <w:rFonts w:ascii="Arial"/>
          <w:color w:val="231F20"/>
          <w:spacing w:val="-11"/>
        </w:rPr>
        <w:t> </w:t>
      </w:r>
      <w:r>
        <w:rPr>
          <w:rFonts w:ascii="Arial"/>
          <w:color w:val="231F20"/>
          <w:spacing w:val="-4"/>
        </w:rPr>
        <w:t>and</w:t>
      </w:r>
      <w:r>
        <w:rPr>
          <w:rFonts w:ascii="Arial"/>
          <w:color w:val="231F20"/>
          <w:spacing w:val="-11"/>
        </w:rPr>
        <w:t> </w:t>
      </w:r>
      <w:r>
        <w:rPr>
          <w:rFonts w:ascii="Arial"/>
          <w:color w:val="231F20"/>
          <w:spacing w:val="-4"/>
        </w:rPr>
        <w:t>strategies</w:t>
      </w:r>
      <w:r>
        <w:rPr>
          <w:rFonts w:ascii="Arial"/>
          <w:color w:val="231F20"/>
          <w:spacing w:val="-11"/>
        </w:rPr>
        <w:t> </w:t>
      </w:r>
      <w:r>
        <w:rPr>
          <w:rFonts w:ascii="Arial"/>
          <w:color w:val="231F20"/>
          <w:spacing w:val="-4"/>
        </w:rPr>
        <w:t>to</w:t>
      </w:r>
      <w:r>
        <w:rPr>
          <w:rFonts w:ascii="Arial"/>
          <w:color w:val="231F20"/>
          <w:spacing w:val="-58"/>
        </w:rPr>
        <w:t> </w:t>
      </w:r>
      <w:r>
        <w:rPr>
          <w:rFonts w:ascii="Arial"/>
          <w:color w:val="231F20"/>
          <w:spacing w:val="-4"/>
        </w:rPr>
        <w:t>prevent</w:t>
      </w:r>
      <w:r>
        <w:rPr>
          <w:rFonts w:ascii="Arial"/>
          <w:color w:val="231F20"/>
          <w:spacing w:val="-12"/>
        </w:rPr>
        <w:t> </w:t>
      </w:r>
      <w:r>
        <w:rPr>
          <w:rFonts w:ascii="Arial"/>
          <w:color w:val="231F20"/>
          <w:spacing w:val="-4"/>
        </w:rPr>
        <w:t>HIV</w:t>
      </w:r>
      <w:r>
        <w:rPr>
          <w:rFonts w:ascii="Arial"/>
          <w:color w:val="231F20"/>
          <w:spacing w:val="-11"/>
        </w:rPr>
        <w:t> </w:t>
      </w:r>
      <w:r>
        <w:rPr>
          <w:rFonts w:ascii="Arial"/>
          <w:color w:val="231F20"/>
          <w:spacing w:val="-4"/>
        </w:rPr>
        <w:t>among</w:t>
      </w:r>
      <w:r>
        <w:rPr>
          <w:rFonts w:ascii="Arial"/>
          <w:color w:val="231F20"/>
          <w:spacing w:val="-11"/>
        </w:rPr>
        <w:t> </w:t>
      </w:r>
      <w:r>
        <w:rPr>
          <w:rFonts w:ascii="Arial"/>
          <w:color w:val="231F20"/>
          <w:spacing w:val="-4"/>
        </w:rPr>
        <w:t>people</w:t>
      </w:r>
      <w:r>
        <w:rPr>
          <w:rFonts w:ascii="Arial"/>
          <w:color w:val="231F20"/>
          <w:spacing w:val="-11"/>
        </w:rPr>
        <w:t> </w:t>
      </w:r>
      <w:r>
        <w:rPr>
          <w:rFonts w:ascii="Arial"/>
          <w:color w:val="231F20"/>
          <w:spacing w:val="-4"/>
        </w:rPr>
        <w:t>with</w:t>
      </w:r>
      <w:r>
        <w:rPr>
          <w:rFonts w:ascii="Arial"/>
          <w:color w:val="231F20"/>
          <w:spacing w:val="-11"/>
        </w:rPr>
        <w:t> </w:t>
      </w:r>
      <w:r>
        <w:rPr>
          <w:rFonts w:ascii="Arial"/>
          <w:color w:val="231F20"/>
          <w:spacing w:val="-4"/>
        </w:rPr>
        <w:t>co-occurring</w:t>
      </w:r>
      <w:r>
        <w:rPr>
          <w:rFonts w:ascii="Arial"/>
          <w:color w:val="231F20"/>
          <w:spacing w:val="-11"/>
        </w:rPr>
        <w:t> </w:t>
      </w:r>
      <w:r>
        <w:rPr>
          <w:rFonts w:ascii="Arial"/>
          <w:color w:val="231F20"/>
          <w:spacing w:val="-4"/>
        </w:rPr>
        <w:t>mental</w:t>
      </w:r>
      <w:r>
        <w:rPr>
          <w:rFonts w:ascii="Arial"/>
          <w:color w:val="231F20"/>
          <w:spacing w:val="-11"/>
        </w:rPr>
        <w:t> </w:t>
      </w:r>
      <w:r>
        <w:rPr>
          <w:rFonts w:ascii="Arial"/>
          <w:color w:val="231F20"/>
          <w:spacing w:val="-4"/>
        </w:rPr>
        <w:t>illness</w:t>
      </w:r>
      <w:r>
        <w:rPr>
          <w:rFonts w:ascii="Arial"/>
          <w:color w:val="231F20"/>
          <w:spacing w:val="-11"/>
        </w:rPr>
        <w:t> </w:t>
      </w:r>
      <w:r>
        <w:rPr>
          <w:rFonts w:ascii="Arial"/>
          <w:color w:val="231F20"/>
          <w:spacing w:val="-3"/>
        </w:rPr>
        <w:t>and/</w:t>
      </w:r>
      <w:r>
        <w:rPr>
          <w:rFonts w:ascii="Arial"/>
          <w:color w:val="231F20"/>
          <w:spacing w:val="-58"/>
        </w:rPr>
        <w:t> </w:t>
      </w:r>
      <w:r>
        <w:rPr>
          <w:rFonts w:ascii="Arial"/>
          <w:color w:val="231F20"/>
          <w:spacing w:val="-4"/>
        </w:rPr>
        <w:t>or SUD and link them to </w:t>
      </w:r>
      <w:r>
        <w:rPr>
          <w:rFonts w:ascii="Arial"/>
          <w:color w:val="231F20"/>
          <w:spacing w:val="-3"/>
        </w:rPr>
        <w:t>HIV care: Practices to increase uptake</w:t>
      </w:r>
      <w:r>
        <w:rPr>
          <w:rFonts w:ascii="Arial"/>
          <w:color w:val="231F20"/>
          <w:spacing w:val="-59"/>
        </w:rPr>
        <w:t> </w:t>
      </w:r>
      <w:r>
        <w:rPr>
          <w:rFonts w:ascii="Arial"/>
          <w:color w:val="231F20"/>
          <w:spacing w:val="-4"/>
        </w:rPr>
        <w:t>of</w:t>
      </w:r>
      <w:r>
        <w:rPr>
          <w:rFonts w:ascii="Arial"/>
          <w:color w:val="231F20"/>
          <w:spacing w:val="-12"/>
        </w:rPr>
        <w:t> </w:t>
      </w:r>
      <w:r>
        <w:rPr>
          <w:rFonts w:ascii="Arial"/>
          <w:color w:val="231F20"/>
          <w:spacing w:val="-4"/>
        </w:rPr>
        <w:t>and</w:t>
      </w:r>
      <w:r>
        <w:rPr>
          <w:rFonts w:ascii="Arial"/>
          <w:color w:val="231F20"/>
          <w:spacing w:val="-11"/>
        </w:rPr>
        <w:t> </w:t>
      </w:r>
      <w:r>
        <w:rPr>
          <w:rFonts w:ascii="Arial"/>
          <w:color w:val="231F20"/>
          <w:spacing w:val="-4"/>
        </w:rPr>
        <w:t>improve</w:t>
      </w:r>
      <w:r>
        <w:rPr>
          <w:rFonts w:ascii="Arial"/>
          <w:color w:val="231F20"/>
          <w:spacing w:val="-11"/>
        </w:rPr>
        <w:t> </w:t>
      </w:r>
      <w:r>
        <w:rPr>
          <w:rFonts w:ascii="Arial"/>
          <w:color w:val="231F20"/>
          <w:spacing w:val="-4"/>
        </w:rPr>
        <w:t>adherence</w:t>
      </w:r>
      <w:r>
        <w:rPr>
          <w:rFonts w:ascii="Arial"/>
          <w:color w:val="231F20"/>
          <w:spacing w:val="-11"/>
        </w:rPr>
        <w:t> </w:t>
      </w:r>
      <w:r>
        <w:rPr>
          <w:rFonts w:ascii="Arial"/>
          <w:color w:val="231F20"/>
          <w:spacing w:val="-4"/>
        </w:rPr>
        <w:t>to</w:t>
      </w:r>
      <w:r>
        <w:rPr>
          <w:rFonts w:ascii="Arial"/>
          <w:color w:val="231F20"/>
          <w:spacing w:val="-11"/>
        </w:rPr>
        <w:t> </w:t>
      </w:r>
      <w:r>
        <w:rPr>
          <w:rFonts w:ascii="Arial"/>
          <w:color w:val="231F20"/>
          <w:spacing w:val="-4"/>
        </w:rPr>
        <w:t>Pre-Exposure</w:t>
      </w:r>
      <w:r>
        <w:rPr>
          <w:rFonts w:ascii="Arial"/>
          <w:color w:val="231F20"/>
          <w:spacing w:val="-11"/>
        </w:rPr>
        <w:t> </w:t>
      </w:r>
      <w:r>
        <w:rPr>
          <w:rFonts w:ascii="Arial"/>
          <w:color w:val="231F20"/>
          <w:spacing w:val="-4"/>
        </w:rPr>
        <w:t>Prophylaxis</w:t>
      </w:r>
      <w:r>
        <w:rPr>
          <w:rFonts w:ascii="Arial"/>
          <w:color w:val="231F20"/>
          <w:spacing w:val="-11"/>
        </w:rPr>
        <w:t> </w:t>
      </w:r>
      <w:r>
        <w:rPr>
          <w:rFonts w:ascii="Arial"/>
          <w:color w:val="231F20"/>
          <w:spacing w:val="-4"/>
        </w:rPr>
        <w:t>(PrEP),</w:t>
      </w:r>
    </w:p>
    <w:p>
      <w:pPr>
        <w:pStyle w:val="BodyText"/>
        <w:spacing w:line="228" w:lineRule="auto"/>
        <w:ind w:left="960" w:right="103"/>
        <w:rPr>
          <w:rFonts w:ascii="Arial"/>
        </w:rPr>
      </w:pPr>
      <w:r>
        <w:rPr>
          <w:rFonts w:ascii="Arial"/>
          <w:color w:val="231F20"/>
          <w:spacing w:val="-5"/>
        </w:rPr>
        <w:t>Syringe Services Programs, Contingency </w:t>
      </w:r>
      <w:r>
        <w:rPr>
          <w:rFonts w:ascii="Arial"/>
          <w:color w:val="231F20"/>
          <w:spacing w:val="-4"/>
        </w:rPr>
        <w:t>Management, Cognitive</w:t>
      </w:r>
      <w:r>
        <w:rPr>
          <w:rFonts w:ascii="Arial"/>
          <w:color w:val="231F20"/>
          <w:spacing w:val="-59"/>
        </w:rPr>
        <w:t> </w:t>
      </w:r>
      <w:r>
        <w:rPr>
          <w:rFonts w:ascii="Arial"/>
          <w:color w:val="231F20"/>
          <w:spacing w:val="-5"/>
        </w:rPr>
        <w:t>Behavioral</w:t>
      </w:r>
      <w:r>
        <w:rPr>
          <w:rFonts w:ascii="Arial"/>
          <w:color w:val="231F20"/>
          <w:spacing w:val="-13"/>
        </w:rPr>
        <w:t> </w:t>
      </w:r>
      <w:r>
        <w:rPr>
          <w:rFonts w:ascii="Arial"/>
          <w:color w:val="231F20"/>
          <w:spacing w:val="-5"/>
        </w:rPr>
        <w:t>Therapy,</w:t>
      </w:r>
      <w:r>
        <w:rPr>
          <w:rFonts w:ascii="Arial"/>
          <w:color w:val="231F20"/>
          <w:spacing w:val="-9"/>
        </w:rPr>
        <w:t> </w:t>
      </w:r>
      <w:r>
        <w:rPr>
          <w:rFonts w:ascii="Arial"/>
          <w:color w:val="231F20"/>
          <w:spacing w:val="-5"/>
        </w:rPr>
        <w:t>and</w:t>
      </w:r>
      <w:r>
        <w:rPr>
          <w:rFonts w:ascii="Arial"/>
          <w:color w:val="231F20"/>
          <w:spacing w:val="-9"/>
        </w:rPr>
        <w:t> </w:t>
      </w:r>
      <w:r>
        <w:rPr>
          <w:rFonts w:ascii="Arial"/>
          <w:color w:val="231F20"/>
          <w:spacing w:val="-5"/>
        </w:rPr>
        <w:t>Patient</w:t>
      </w:r>
      <w:r>
        <w:rPr>
          <w:rFonts w:ascii="Arial"/>
          <w:color w:val="231F20"/>
          <w:spacing w:val="-9"/>
        </w:rPr>
        <w:t> </w:t>
      </w:r>
      <w:r>
        <w:rPr>
          <w:rFonts w:ascii="Arial"/>
          <w:color w:val="231F20"/>
          <w:spacing w:val="-5"/>
        </w:rPr>
        <w:t>Navigation.</w:t>
      </w:r>
    </w:p>
    <w:p>
      <w:pPr>
        <w:pStyle w:val="BodyText"/>
        <w:spacing w:before="4"/>
        <w:rPr>
          <w:rFonts w:ascii="Arial"/>
          <w:sz w:val="4"/>
        </w:rPr>
      </w:pPr>
      <w:r>
        <w:rPr/>
        <w:pict>
          <v:group style="position:absolute;margin-left:36pt;margin-top:3.732393pt;width:350.65pt;height:1pt;mso-position-horizontal-relative:page;mso-position-vertical-relative:paragraph;z-index:-15721472;mso-wrap-distance-left:0;mso-wrap-distance-right:0" id="docshapegroup37" coordorigin="720,75" coordsize="7013,20">
            <v:line style="position:absolute" from="720,85" to="1440,85" stroked="true" strokeweight="1pt" strokecolor="#231f20">
              <v:stroke dashstyle="solid"/>
            </v:line>
            <v:line style="position:absolute" from="1440,85" to="7733,85" stroked="true" strokeweight="1pt" strokecolor="#231f20">
              <v:stroke dashstyle="solid"/>
            </v:line>
            <w10:wrap type="topAndBottom"/>
          </v:group>
        </w:pict>
      </w:r>
    </w:p>
    <w:p>
      <w:pPr>
        <w:pStyle w:val="ListParagraph"/>
        <w:numPr>
          <w:ilvl w:val="0"/>
          <w:numId w:val="2"/>
        </w:numPr>
        <w:tabs>
          <w:tab w:pos="959" w:val="left" w:leader="none"/>
          <w:tab w:pos="960" w:val="left" w:leader="none"/>
        </w:tabs>
        <w:spacing w:line="192" w:lineRule="auto" w:before="64" w:after="0"/>
        <w:ind w:left="959" w:right="1107" w:hanging="720"/>
        <w:jc w:val="left"/>
        <w:rPr>
          <w:rFonts w:ascii="Arial"/>
          <w:b/>
          <w:sz w:val="26"/>
        </w:rPr>
      </w:pPr>
      <w:hyperlink w:history="true" w:anchor="_bookmark3">
        <w:r>
          <w:rPr>
            <w:rFonts w:ascii="Arial"/>
            <w:b/>
            <w:color w:val="CE372E"/>
            <w:sz w:val="26"/>
          </w:rPr>
          <w:t>Guidance for Selecting and Implementing</w:t>
        </w:r>
        <w:r>
          <w:rPr>
            <w:rFonts w:ascii="Arial"/>
            <w:b/>
            <w:color w:val="CE372E"/>
            <w:spacing w:val="-70"/>
            <w:sz w:val="26"/>
          </w:rPr>
          <w:t> </w:t>
        </w:r>
        <w:r>
          <w:rPr>
            <w:rFonts w:ascii="Arial"/>
            <w:b/>
            <w:color w:val="CE372E"/>
            <w:sz w:val="26"/>
          </w:rPr>
          <w:t>Evidence-based Practices</w:t>
        </w:r>
      </w:hyperlink>
    </w:p>
    <w:p>
      <w:pPr>
        <w:pStyle w:val="BodyText"/>
        <w:spacing w:line="228" w:lineRule="auto" w:before="91"/>
        <w:ind w:left="960" w:right="103"/>
        <w:rPr>
          <w:rFonts w:ascii="Arial"/>
        </w:rPr>
      </w:pPr>
      <w:r>
        <w:rPr>
          <w:rFonts w:ascii="Arial"/>
          <w:color w:val="231F20"/>
          <w:spacing w:val="-6"/>
        </w:rPr>
        <w:t>Practical</w:t>
      </w:r>
      <w:r>
        <w:rPr>
          <w:rFonts w:ascii="Arial"/>
          <w:color w:val="231F20"/>
          <w:spacing w:val="-11"/>
        </w:rPr>
        <w:t> </w:t>
      </w:r>
      <w:r>
        <w:rPr>
          <w:rFonts w:ascii="Arial"/>
          <w:color w:val="231F20"/>
          <w:spacing w:val="-6"/>
        </w:rPr>
        <w:t>information</w:t>
      </w:r>
      <w:r>
        <w:rPr>
          <w:rFonts w:ascii="Arial"/>
          <w:color w:val="231F20"/>
          <w:spacing w:val="-11"/>
        </w:rPr>
        <w:t> </w:t>
      </w:r>
      <w:r>
        <w:rPr>
          <w:rFonts w:ascii="Arial"/>
          <w:color w:val="231F20"/>
          <w:spacing w:val="-5"/>
        </w:rPr>
        <w:t>to</w:t>
      </w:r>
      <w:r>
        <w:rPr>
          <w:rFonts w:ascii="Arial"/>
          <w:color w:val="231F20"/>
          <w:spacing w:val="-11"/>
        </w:rPr>
        <w:t> </w:t>
      </w:r>
      <w:r>
        <w:rPr>
          <w:rFonts w:ascii="Arial"/>
          <w:color w:val="231F20"/>
          <w:spacing w:val="-5"/>
        </w:rPr>
        <w:t>consider</w:t>
      </w:r>
      <w:r>
        <w:rPr>
          <w:rFonts w:ascii="Arial"/>
          <w:color w:val="231F20"/>
          <w:spacing w:val="-10"/>
        </w:rPr>
        <w:t> </w:t>
      </w:r>
      <w:r>
        <w:rPr>
          <w:rFonts w:ascii="Arial"/>
          <w:color w:val="231F20"/>
          <w:spacing w:val="-5"/>
        </w:rPr>
        <w:t>when</w:t>
      </w:r>
      <w:r>
        <w:rPr>
          <w:rFonts w:ascii="Arial"/>
          <w:color w:val="231F20"/>
          <w:spacing w:val="-12"/>
        </w:rPr>
        <w:t> </w:t>
      </w:r>
      <w:r>
        <w:rPr>
          <w:rFonts w:ascii="Arial"/>
          <w:color w:val="231F20"/>
          <w:spacing w:val="-5"/>
        </w:rPr>
        <w:t>selecting</w:t>
      </w:r>
      <w:r>
        <w:rPr>
          <w:rFonts w:ascii="Arial"/>
          <w:color w:val="231F20"/>
          <w:spacing w:val="-10"/>
        </w:rPr>
        <w:t> </w:t>
      </w:r>
      <w:r>
        <w:rPr>
          <w:rFonts w:ascii="Arial"/>
          <w:color w:val="231F20"/>
          <w:spacing w:val="-5"/>
        </w:rPr>
        <w:t>and</w:t>
      </w:r>
      <w:r>
        <w:rPr>
          <w:rFonts w:ascii="Arial"/>
          <w:color w:val="231F20"/>
          <w:spacing w:val="-12"/>
        </w:rPr>
        <w:t> </w:t>
      </w:r>
      <w:r>
        <w:rPr>
          <w:rFonts w:ascii="Arial"/>
          <w:color w:val="231F20"/>
          <w:spacing w:val="-5"/>
        </w:rPr>
        <w:t>implementing</w:t>
      </w:r>
      <w:r>
        <w:rPr>
          <w:rFonts w:ascii="Arial"/>
          <w:color w:val="231F20"/>
          <w:spacing w:val="-58"/>
        </w:rPr>
        <w:t> </w:t>
      </w:r>
      <w:r>
        <w:rPr>
          <w:rFonts w:ascii="Arial"/>
          <w:color w:val="231F20"/>
          <w:spacing w:val="-6"/>
        </w:rPr>
        <w:t>programs </w:t>
      </w:r>
      <w:r>
        <w:rPr>
          <w:rFonts w:ascii="Arial"/>
          <w:color w:val="231F20"/>
          <w:spacing w:val="-5"/>
        </w:rPr>
        <w:t>and practices to improve health outcomes for people</w:t>
      </w:r>
      <w:r>
        <w:rPr>
          <w:rFonts w:ascii="Arial"/>
          <w:color w:val="231F20"/>
          <w:spacing w:val="-4"/>
        </w:rPr>
        <w:t> </w:t>
      </w:r>
      <w:r>
        <w:rPr>
          <w:rFonts w:ascii="Arial"/>
          <w:color w:val="231F20"/>
          <w:spacing w:val="-5"/>
        </w:rPr>
        <w:t>with</w:t>
      </w:r>
      <w:r>
        <w:rPr>
          <w:rFonts w:ascii="Arial"/>
          <w:color w:val="231F20"/>
          <w:spacing w:val="-12"/>
        </w:rPr>
        <w:t> </w:t>
      </w:r>
      <w:r>
        <w:rPr>
          <w:rFonts w:ascii="Arial"/>
          <w:color w:val="231F20"/>
          <w:spacing w:val="-5"/>
        </w:rPr>
        <w:t>mental</w:t>
      </w:r>
      <w:r>
        <w:rPr>
          <w:rFonts w:ascii="Arial"/>
          <w:color w:val="231F20"/>
          <w:spacing w:val="-11"/>
        </w:rPr>
        <w:t> </w:t>
      </w:r>
      <w:r>
        <w:rPr>
          <w:rFonts w:ascii="Arial"/>
          <w:color w:val="231F20"/>
          <w:spacing w:val="-5"/>
        </w:rPr>
        <w:t>illness</w:t>
      </w:r>
      <w:r>
        <w:rPr>
          <w:rFonts w:ascii="Arial"/>
          <w:color w:val="231F20"/>
          <w:spacing w:val="-12"/>
        </w:rPr>
        <w:t> </w:t>
      </w:r>
      <w:r>
        <w:rPr>
          <w:rFonts w:ascii="Arial"/>
          <w:color w:val="231F20"/>
          <w:spacing w:val="-5"/>
        </w:rPr>
        <w:t>and/or</w:t>
      </w:r>
      <w:r>
        <w:rPr>
          <w:rFonts w:ascii="Arial"/>
          <w:color w:val="231F20"/>
          <w:spacing w:val="-12"/>
        </w:rPr>
        <w:t> </w:t>
      </w:r>
      <w:r>
        <w:rPr>
          <w:rFonts w:ascii="Arial"/>
          <w:color w:val="231F20"/>
          <w:spacing w:val="-5"/>
        </w:rPr>
        <w:t>SUD</w:t>
      </w:r>
      <w:r>
        <w:rPr>
          <w:rFonts w:ascii="Arial"/>
          <w:color w:val="231F20"/>
          <w:spacing w:val="-11"/>
        </w:rPr>
        <w:t> </w:t>
      </w:r>
      <w:r>
        <w:rPr>
          <w:rFonts w:ascii="Arial"/>
          <w:color w:val="231F20"/>
          <w:spacing w:val="-5"/>
        </w:rPr>
        <w:t>with</w:t>
      </w:r>
      <w:r>
        <w:rPr>
          <w:rFonts w:ascii="Arial"/>
          <w:color w:val="231F20"/>
          <w:spacing w:val="-12"/>
        </w:rPr>
        <w:t> </w:t>
      </w:r>
      <w:r>
        <w:rPr>
          <w:rFonts w:ascii="Arial"/>
          <w:color w:val="231F20"/>
          <w:spacing w:val="-5"/>
        </w:rPr>
        <w:t>or</w:t>
      </w:r>
      <w:r>
        <w:rPr>
          <w:rFonts w:ascii="Arial"/>
          <w:color w:val="231F20"/>
          <w:spacing w:val="-12"/>
        </w:rPr>
        <w:t> </w:t>
      </w:r>
      <w:r>
        <w:rPr>
          <w:rFonts w:ascii="Arial"/>
          <w:color w:val="231F20"/>
          <w:spacing w:val="-5"/>
        </w:rPr>
        <w:t>at</w:t>
      </w:r>
      <w:r>
        <w:rPr>
          <w:rFonts w:ascii="Arial"/>
          <w:color w:val="231F20"/>
          <w:spacing w:val="-12"/>
        </w:rPr>
        <w:t> </w:t>
      </w:r>
      <w:r>
        <w:rPr>
          <w:rFonts w:ascii="Arial"/>
          <w:color w:val="231F20"/>
          <w:spacing w:val="-5"/>
        </w:rPr>
        <w:t>risk</w:t>
      </w:r>
      <w:r>
        <w:rPr>
          <w:rFonts w:ascii="Arial"/>
          <w:color w:val="231F20"/>
          <w:spacing w:val="-11"/>
        </w:rPr>
        <w:t> </w:t>
      </w:r>
      <w:r>
        <w:rPr>
          <w:rFonts w:ascii="Arial"/>
          <w:color w:val="231F20"/>
          <w:spacing w:val="-5"/>
        </w:rPr>
        <w:t>for</w:t>
      </w:r>
      <w:r>
        <w:rPr>
          <w:rFonts w:ascii="Arial"/>
          <w:color w:val="231F20"/>
          <w:spacing w:val="-11"/>
        </w:rPr>
        <w:t> </w:t>
      </w:r>
      <w:r>
        <w:rPr>
          <w:rFonts w:ascii="Arial"/>
          <w:color w:val="231F20"/>
          <w:spacing w:val="-5"/>
        </w:rPr>
        <w:t>HIV.</w:t>
      </w:r>
    </w:p>
    <w:p>
      <w:pPr>
        <w:pStyle w:val="BodyText"/>
        <w:spacing w:before="1"/>
        <w:rPr>
          <w:rFonts w:ascii="Arial"/>
          <w:sz w:val="6"/>
        </w:rPr>
      </w:pPr>
      <w:r>
        <w:rPr/>
        <w:pict>
          <v:group style="position:absolute;margin-left:36pt;margin-top:4.722593pt;width:350.65pt;height:1pt;mso-position-horizontal-relative:page;mso-position-vertical-relative:paragraph;z-index:-15720960;mso-wrap-distance-left:0;mso-wrap-distance-right:0" id="docshapegroup38" coordorigin="720,94" coordsize="7013,20">
            <v:line style="position:absolute" from="720,104" to="1440,104" stroked="true" strokeweight="1pt" strokecolor="#231f20">
              <v:stroke dashstyle="solid"/>
            </v:line>
            <v:line style="position:absolute" from="1440,104" to="7733,104" stroked="true" strokeweight="1pt" strokecolor="#231f20">
              <v:stroke dashstyle="solid"/>
            </v:line>
            <w10:wrap type="topAndBottom"/>
          </v:group>
        </w:pict>
      </w:r>
    </w:p>
    <w:p>
      <w:pPr>
        <w:pStyle w:val="ListParagraph"/>
        <w:numPr>
          <w:ilvl w:val="0"/>
          <w:numId w:val="2"/>
        </w:numPr>
        <w:tabs>
          <w:tab w:pos="960" w:val="left" w:leader="none"/>
        </w:tabs>
        <w:spacing w:line="240" w:lineRule="auto" w:before="15" w:after="0"/>
        <w:ind w:left="959" w:right="0" w:hanging="720"/>
        <w:jc w:val="both"/>
        <w:rPr>
          <w:rFonts w:ascii="Arial"/>
          <w:b/>
          <w:sz w:val="26"/>
        </w:rPr>
      </w:pPr>
      <w:hyperlink w:history="true" w:anchor="_bookmark4">
        <w:r>
          <w:rPr>
            <w:rFonts w:ascii="Arial"/>
            <w:b/>
            <w:color w:val="CE372E"/>
            <w:sz w:val="26"/>
          </w:rPr>
          <w:t>Examples</w:t>
        </w:r>
        <w:r>
          <w:rPr>
            <w:rFonts w:ascii="Arial"/>
            <w:b/>
            <w:color w:val="CE372E"/>
            <w:spacing w:val="-1"/>
            <w:sz w:val="26"/>
          </w:rPr>
          <w:t> </w:t>
        </w:r>
        <w:r>
          <w:rPr>
            <w:rFonts w:ascii="Arial"/>
            <w:b/>
            <w:color w:val="CE372E"/>
            <w:sz w:val="26"/>
          </w:rPr>
          <w:t>of Effective Programs</w:t>
        </w:r>
        <w:r>
          <w:rPr>
            <w:rFonts w:ascii="Arial"/>
            <w:b/>
            <w:color w:val="CE372E"/>
            <w:spacing w:val="-1"/>
            <w:sz w:val="26"/>
          </w:rPr>
          <w:t> </w:t>
        </w:r>
        <w:r>
          <w:rPr>
            <w:rFonts w:ascii="Arial"/>
            <w:b/>
            <w:color w:val="CE372E"/>
            <w:sz w:val="26"/>
          </w:rPr>
          <w:t>and</w:t>
        </w:r>
        <w:r>
          <w:rPr>
            <w:rFonts w:ascii="Arial"/>
            <w:b/>
            <w:color w:val="CE372E"/>
            <w:spacing w:val="-1"/>
            <w:sz w:val="26"/>
          </w:rPr>
          <w:t> </w:t>
        </w:r>
        <w:r>
          <w:rPr>
            <w:rFonts w:ascii="Arial"/>
            <w:b/>
            <w:color w:val="CE372E"/>
            <w:sz w:val="26"/>
          </w:rPr>
          <w:t>Strategies</w:t>
        </w:r>
      </w:hyperlink>
    </w:p>
    <w:p>
      <w:pPr>
        <w:pStyle w:val="BodyText"/>
        <w:spacing w:line="228" w:lineRule="auto" w:before="79"/>
        <w:ind w:left="960" w:right="138"/>
        <w:jc w:val="both"/>
        <w:rPr>
          <w:rFonts w:ascii="Arial"/>
        </w:rPr>
      </w:pPr>
      <w:r>
        <w:rPr>
          <w:rFonts w:ascii="Arial"/>
          <w:color w:val="231F20"/>
        </w:rPr>
        <w:t>Descriptions of programs and practices to prevent HIV and link</w:t>
      </w:r>
      <w:r>
        <w:rPr>
          <w:rFonts w:ascii="Arial"/>
          <w:color w:val="231F20"/>
          <w:spacing w:val="-60"/>
        </w:rPr>
        <w:t> </w:t>
      </w:r>
      <w:r>
        <w:rPr>
          <w:rFonts w:ascii="Arial"/>
          <w:color w:val="231F20"/>
        </w:rPr>
        <w:t>people with HIV and co-occurring mental illness and/or SUD to</w:t>
      </w:r>
      <w:r>
        <w:rPr>
          <w:rFonts w:ascii="Arial"/>
          <w:color w:val="231F20"/>
          <w:spacing w:val="-59"/>
        </w:rPr>
        <w:t> </w:t>
      </w:r>
      <w:r>
        <w:rPr>
          <w:rFonts w:ascii="Arial"/>
          <w:color w:val="231F20"/>
        </w:rPr>
        <w:t>HIV</w:t>
      </w:r>
      <w:r>
        <w:rPr>
          <w:rFonts w:ascii="Arial"/>
          <w:color w:val="231F20"/>
          <w:spacing w:val="-2"/>
        </w:rPr>
        <w:t> </w:t>
      </w:r>
      <w:r>
        <w:rPr>
          <w:rFonts w:ascii="Arial"/>
          <w:color w:val="231F20"/>
        </w:rPr>
        <w:t>care.</w:t>
      </w:r>
    </w:p>
    <w:p>
      <w:pPr>
        <w:pStyle w:val="BodyText"/>
        <w:rPr>
          <w:rFonts w:ascii="Arial"/>
          <w:sz w:val="4"/>
        </w:rPr>
      </w:pPr>
    </w:p>
    <w:p>
      <w:pPr>
        <w:pStyle w:val="BodyText"/>
        <w:spacing w:line="20" w:lineRule="exact"/>
        <w:ind w:left="150" w:right="-29"/>
        <w:rPr>
          <w:rFonts w:ascii="Arial"/>
          <w:sz w:val="2"/>
        </w:rPr>
      </w:pPr>
      <w:r>
        <w:rPr>
          <w:rFonts w:ascii="Arial"/>
          <w:sz w:val="2"/>
        </w:rPr>
        <w:pict>
          <v:group style="width:350.65pt;height:1pt;mso-position-horizontal-relative:char;mso-position-vertical-relative:line" id="docshapegroup39" coordorigin="0,0" coordsize="7013,20">
            <v:line style="position:absolute" from="0,10" to="720,10" stroked="true" strokeweight="1pt" strokecolor="#231f20">
              <v:stroke dashstyle="solid"/>
            </v:line>
            <v:line style="position:absolute" from="720,10" to="7013,10" stroked="true" strokeweight="1pt" strokecolor="#231f20">
              <v:stroke dashstyle="solid"/>
            </v:line>
          </v:group>
        </w:pict>
      </w:r>
      <w:r>
        <w:rPr>
          <w:rFonts w:ascii="Arial"/>
          <w:sz w:val="2"/>
        </w:rPr>
      </w:r>
    </w:p>
    <w:p>
      <w:pPr>
        <w:pStyle w:val="ListParagraph"/>
        <w:numPr>
          <w:ilvl w:val="0"/>
          <w:numId w:val="2"/>
        </w:numPr>
        <w:tabs>
          <w:tab w:pos="960" w:val="left" w:leader="none"/>
        </w:tabs>
        <w:spacing w:line="240" w:lineRule="auto" w:before="16" w:after="0"/>
        <w:ind w:left="959" w:right="0" w:hanging="720"/>
        <w:jc w:val="both"/>
        <w:rPr>
          <w:rFonts w:ascii="Arial"/>
          <w:b/>
          <w:sz w:val="26"/>
        </w:rPr>
      </w:pPr>
      <w:hyperlink w:history="true" w:anchor="_bookmark5">
        <w:r>
          <w:rPr>
            <w:rFonts w:ascii="Arial"/>
            <w:b/>
            <w:color w:val="CE372E"/>
            <w:spacing w:val="-5"/>
            <w:sz w:val="26"/>
          </w:rPr>
          <w:t>Resources</w:t>
        </w:r>
        <w:r>
          <w:rPr>
            <w:rFonts w:ascii="Arial"/>
            <w:b/>
            <w:color w:val="CE372E"/>
            <w:spacing w:val="-14"/>
            <w:sz w:val="26"/>
          </w:rPr>
          <w:t> </w:t>
        </w:r>
        <w:r>
          <w:rPr>
            <w:rFonts w:ascii="Arial"/>
            <w:b/>
            <w:color w:val="CE372E"/>
            <w:spacing w:val="-5"/>
            <w:sz w:val="26"/>
          </w:rPr>
          <w:t>for</w:t>
        </w:r>
        <w:r>
          <w:rPr>
            <w:rFonts w:ascii="Arial"/>
            <w:b/>
            <w:color w:val="CE372E"/>
            <w:spacing w:val="-13"/>
            <w:sz w:val="26"/>
          </w:rPr>
          <w:t> </w:t>
        </w:r>
        <w:r>
          <w:rPr>
            <w:rFonts w:ascii="Arial"/>
            <w:b/>
            <w:color w:val="CE372E"/>
            <w:spacing w:val="-5"/>
            <w:sz w:val="26"/>
          </w:rPr>
          <w:t>Evaluation</w:t>
        </w:r>
        <w:r>
          <w:rPr>
            <w:rFonts w:ascii="Arial"/>
            <w:b/>
            <w:color w:val="CE372E"/>
            <w:spacing w:val="-13"/>
            <w:sz w:val="26"/>
          </w:rPr>
          <w:t> </w:t>
        </w:r>
        <w:r>
          <w:rPr>
            <w:rFonts w:ascii="Arial"/>
            <w:b/>
            <w:color w:val="CE372E"/>
            <w:spacing w:val="-5"/>
            <w:sz w:val="26"/>
          </w:rPr>
          <w:t>and</w:t>
        </w:r>
        <w:r>
          <w:rPr>
            <w:rFonts w:ascii="Arial"/>
            <w:b/>
            <w:color w:val="CE372E"/>
            <w:spacing w:val="-13"/>
            <w:sz w:val="26"/>
          </w:rPr>
          <w:t> </w:t>
        </w:r>
        <w:r>
          <w:rPr>
            <w:rFonts w:ascii="Arial"/>
            <w:b/>
            <w:color w:val="CE372E"/>
            <w:spacing w:val="-5"/>
            <w:sz w:val="26"/>
          </w:rPr>
          <w:t>Quality</w:t>
        </w:r>
        <w:r>
          <w:rPr>
            <w:rFonts w:ascii="Arial"/>
            <w:b/>
            <w:color w:val="CE372E"/>
            <w:spacing w:val="-13"/>
            <w:sz w:val="26"/>
          </w:rPr>
          <w:t> </w:t>
        </w:r>
        <w:r>
          <w:rPr>
            <w:rFonts w:ascii="Arial"/>
            <w:b/>
            <w:color w:val="CE372E"/>
            <w:spacing w:val="-5"/>
            <w:sz w:val="26"/>
          </w:rPr>
          <w:t>Improvement</w:t>
        </w:r>
      </w:hyperlink>
    </w:p>
    <w:p>
      <w:pPr>
        <w:pStyle w:val="BodyText"/>
        <w:spacing w:line="228" w:lineRule="auto" w:before="79"/>
        <w:ind w:left="960" w:right="656"/>
        <w:rPr>
          <w:rFonts w:ascii="Arial"/>
        </w:rPr>
      </w:pPr>
      <w:r>
        <w:rPr>
          <w:rFonts w:ascii="Arial"/>
          <w:color w:val="231F20"/>
        </w:rPr>
        <w:t>Guidance and resources for implementing best practices,</w:t>
      </w:r>
      <w:r>
        <w:rPr>
          <w:rFonts w:ascii="Arial"/>
          <w:color w:val="231F20"/>
          <w:spacing w:val="-60"/>
        </w:rPr>
        <w:t> </w:t>
      </w:r>
      <w:r>
        <w:rPr>
          <w:rFonts w:ascii="Arial"/>
          <w:color w:val="231F20"/>
        </w:rPr>
        <w:t>monitoring</w:t>
      </w:r>
      <w:r>
        <w:rPr>
          <w:rFonts w:ascii="Arial"/>
          <w:color w:val="231F20"/>
          <w:spacing w:val="-2"/>
        </w:rPr>
        <w:t> </w:t>
      </w:r>
      <w:r>
        <w:rPr>
          <w:rFonts w:ascii="Arial"/>
          <w:color w:val="231F20"/>
        </w:rPr>
        <w:t>outcomes,</w:t>
      </w:r>
      <w:r>
        <w:rPr>
          <w:rFonts w:ascii="Arial"/>
          <w:color w:val="231F20"/>
          <w:spacing w:val="-3"/>
        </w:rPr>
        <w:t> </w:t>
      </w:r>
      <w:r>
        <w:rPr>
          <w:rFonts w:ascii="Arial"/>
          <w:color w:val="231F20"/>
        </w:rPr>
        <w:t>and</w:t>
      </w:r>
      <w:r>
        <w:rPr>
          <w:rFonts w:ascii="Arial"/>
          <w:color w:val="231F20"/>
          <w:spacing w:val="-2"/>
        </w:rPr>
        <w:t> </w:t>
      </w:r>
      <w:r>
        <w:rPr>
          <w:rFonts w:ascii="Arial"/>
          <w:color w:val="231F20"/>
        </w:rPr>
        <w:t>improving</w:t>
      </w:r>
      <w:r>
        <w:rPr>
          <w:rFonts w:ascii="Arial"/>
          <w:color w:val="231F20"/>
          <w:spacing w:val="-3"/>
        </w:rPr>
        <w:t> </w:t>
      </w:r>
      <w:r>
        <w:rPr>
          <w:rFonts w:ascii="Arial"/>
          <w:color w:val="231F20"/>
        </w:rPr>
        <w:t>quality.</w:t>
      </w:r>
    </w:p>
    <w:p>
      <w:pPr>
        <w:pStyle w:val="Heading4"/>
        <w:spacing w:before="127"/>
        <w:ind w:left="160"/>
      </w:pPr>
      <w:r>
        <w:rPr/>
        <w:br w:type="column"/>
      </w:r>
      <w:r>
        <w:rPr>
          <w:color w:val="CE384B"/>
        </w:rPr>
        <w:t>FOCUS</w:t>
      </w:r>
      <w:r>
        <w:rPr>
          <w:color w:val="CE384B"/>
          <w:spacing w:val="-2"/>
        </w:rPr>
        <w:t> </w:t>
      </w:r>
      <w:r>
        <w:rPr>
          <w:color w:val="CE384B"/>
        </w:rPr>
        <w:t>OF</w:t>
      </w:r>
      <w:r>
        <w:rPr>
          <w:color w:val="CE384B"/>
          <w:spacing w:val="-2"/>
        </w:rPr>
        <w:t> </w:t>
      </w:r>
      <w:r>
        <w:rPr>
          <w:color w:val="CE384B"/>
        </w:rPr>
        <w:t>THE</w:t>
      </w:r>
      <w:r>
        <w:rPr>
          <w:color w:val="CE384B"/>
          <w:spacing w:val="-1"/>
        </w:rPr>
        <w:t> </w:t>
      </w:r>
      <w:r>
        <w:rPr>
          <w:color w:val="CE384B"/>
        </w:rPr>
        <w:t>GUIDE</w:t>
      </w:r>
    </w:p>
    <w:p>
      <w:pPr>
        <w:spacing w:line="259" w:lineRule="auto" w:before="109"/>
        <w:ind w:left="160" w:right="553" w:firstLine="0"/>
        <w:jc w:val="left"/>
        <w:rPr>
          <w:rFonts w:ascii="Arial"/>
          <w:sz w:val="21"/>
        </w:rPr>
      </w:pPr>
      <w:r>
        <w:rPr>
          <w:rFonts w:ascii="Arial"/>
          <w:color w:val="010202"/>
          <w:sz w:val="21"/>
        </w:rPr>
        <w:t>People with mental illness and/or</w:t>
      </w:r>
      <w:r>
        <w:rPr>
          <w:rFonts w:ascii="Arial"/>
          <w:color w:val="010202"/>
          <w:spacing w:val="1"/>
          <w:sz w:val="21"/>
        </w:rPr>
        <w:t> </w:t>
      </w:r>
      <w:r>
        <w:rPr>
          <w:rFonts w:ascii="Arial"/>
          <w:color w:val="010202"/>
          <w:sz w:val="21"/>
        </w:rPr>
        <w:t>SUD</w:t>
      </w:r>
      <w:r>
        <w:rPr>
          <w:rFonts w:ascii="Arial"/>
          <w:color w:val="010202"/>
          <w:spacing w:val="-7"/>
          <w:sz w:val="21"/>
        </w:rPr>
        <w:t> </w:t>
      </w:r>
      <w:r>
        <w:rPr>
          <w:rFonts w:ascii="Arial"/>
          <w:color w:val="010202"/>
          <w:sz w:val="21"/>
        </w:rPr>
        <w:t>are</w:t>
      </w:r>
      <w:r>
        <w:rPr>
          <w:rFonts w:ascii="Arial"/>
          <w:color w:val="010202"/>
          <w:spacing w:val="-8"/>
          <w:sz w:val="21"/>
        </w:rPr>
        <w:t> </w:t>
      </w:r>
      <w:r>
        <w:rPr>
          <w:rFonts w:ascii="Arial"/>
          <w:color w:val="010202"/>
          <w:sz w:val="21"/>
        </w:rPr>
        <w:t>disproportionally</w:t>
      </w:r>
      <w:r>
        <w:rPr>
          <w:rFonts w:ascii="Arial"/>
          <w:color w:val="010202"/>
          <w:spacing w:val="-8"/>
          <w:sz w:val="21"/>
        </w:rPr>
        <w:t> </w:t>
      </w:r>
      <w:r>
        <w:rPr>
          <w:rFonts w:ascii="Arial"/>
          <w:color w:val="010202"/>
          <w:sz w:val="21"/>
        </w:rPr>
        <w:t>affected</w:t>
      </w:r>
      <w:r>
        <w:rPr>
          <w:rFonts w:ascii="Arial"/>
          <w:color w:val="010202"/>
          <w:spacing w:val="-55"/>
          <w:sz w:val="21"/>
        </w:rPr>
        <w:t> </w:t>
      </w:r>
      <w:r>
        <w:rPr>
          <w:rFonts w:ascii="Arial"/>
          <w:color w:val="010202"/>
          <w:sz w:val="21"/>
        </w:rPr>
        <w:t>by</w:t>
      </w:r>
      <w:r>
        <w:rPr>
          <w:rFonts w:ascii="Arial"/>
          <w:color w:val="010202"/>
          <w:spacing w:val="-4"/>
          <w:sz w:val="21"/>
        </w:rPr>
        <w:t> </w:t>
      </w:r>
      <w:r>
        <w:rPr>
          <w:rFonts w:ascii="Arial"/>
          <w:color w:val="010202"/>
          <w:sz w:val="21"/>
        </w:rPr>
        <w:t>HIV.</w:t>
      </w:r>
      <w:r>
        <w:rPr>
          <w:rFonts w:ascii="Arial"/>
          <w:color w:val="010202"/>
          <w:spacing w:val="-6"/>
          <w:sz w:val="21"/>
        </w:rPr>
        <w:t> </w:t>
      </w:r>
      <w:r>
        <w:rPr>
          <w:rFonts w:ascii="Arial"/>
          <w:color w:val="010202"/>
          <w:sz w:val="21"/>
        </w:rPr>
        <w:t>They</w:t>
      </w:r>
      <w:r>
        <w:rPr>
          <w:rFonts w:ascii="Arial"/>
          <w:color w:val="010202"/>
          <w:spacing w:val="-3"/>
          <w:sz w:val="21"/>
        </w:rPr>
        <w:t> </w:t>
      </w:r>
      <w:r>
        <w:rPr>
          <w:rFonts w:ascii="Arial"/>
          <w:color w:val="010202"/>
          <w:sz w:val="21"/>
        </w:rPr>
        <w:t>may</w:t>
      </w:r>
      <w:r>
        <w:rPr>
          <w:rFonts w:ascii="Arial"/>
          <w:color w:val="010202"/>
          <w:spacing w:val="-3"/>
          <w:sz w:val="21"/>
        </w:rPr>
        <w:t> </w:t>
      </w:r>
      <w:r>
        <w:rPr>
          <w:rFonts w:ascii="Arial"/>
          <w:color w:val="010202"/>
          <w:sz w:val="21"/>
        </w:rPr>
        <w:t>participate</w:t>
      </w:r>
    </w:p>
    <w:p>
      <w:pPr>
        <w:spacing w:line="259" w:lineRule="auto" w:before="0"/>
        <w:ind w:left="160" w:right="918" w:firstLine="0"/>
        <w:jc w:val="left"/>
        <w:rPr>
          <w:rFonts w:ascii="Arial"/>
          <w:sz w:val="21"/>
        </w:rPr>
      </w:pPr>
      <w:r>
        <w:rPr>
          <w:rFonts w:ascii="Arial"/>
          <w:color w:val="010202"/>
          <w:sz w:val="21"/>
        </w:rPr>
        <w:t>in behaviors that increase risk</w:t>
      </w:r>
      <w:r>
        <w:rPr>
          <w:rFonts w:ascii="Arial"/>
          <w:color w:val="010202"/>
          <w:spacing w:val="1"/>
          <w:sz w:val="21"/>
        </w:rPr>
        <w:t> </w:t>
      </w:r>
      <w:r>
        <w:rPr>
          <w:rFonts w:ascii="Arial"/>
          <w:color w:val="010202"/>
          <w:sz w:val="21"/>
        </w:rPr>
        <w:t>for contracting and transmitting</w:t>
      </w:r>
      <w:r>
        <w:rPr>
          <w:rFonts w:ascii="Arial"/>
          <w:color w:val="010202"/>
          <w:spacing w:val="1"/>
          <w:sz w:val="21"/>
        </w:rPr>
        <w:t> </w:t>
      </w:r>
      <w:r>
        <w:rPr>
          <w:rFonts w:ascii="Arial"/>
          <w:color w:val="010202"/>
          <w:sz w:val="21"/>
        </w:rPr>
        <w:t>HIV, such as sharing injection</w:t>
      </w:r>
      <w:r>
        <w:rPr>
          <w:rFonts w:ascii="Arial"/>
          <w:color w:val="010202"/>
          <w:spacing w:val="1"/>
          <w:sz w:val="21"/>
        </w:rPr>
        <w:t> </w:t>
      </w:r>
      <w:r>
        <w:rPr>
          <w:rFonts w:ascii="Arial"/>
          <w:color w:val="010202"/>
          <w:sz w:val="21"/>
        </w:rPr>
        <w:t>drug equipment or engaging in</w:t>
      </w:r>
      <w:r>
        <w:rPr>
          <w:rFonts w:ascii="Arial"/>
          <w:color w:val="010202"/>
          <w:spacing w:val="1"/>
          <w:sz w:val="21"/>
        </w:rPr>
        <w:t> </w:t>
      </w:r>
      <w:r>
        <w:rPr>
          <w:rFonts w:ascii="Arial"/>
          <w:color w:val="010202"/>
          <w:sz w:val="21"/>
        </w:rPr>
        <w:t>sexual behaviors that increase</w:t>
      </w:r>
      <w:r>
        <w:rPr>
          <w:rFonts w:ascii="Arial"/>
          <w:color w:val="010202"/>
          <w:spacing w:val="1"/>
          <w:sz w:val="21"/>
        </w:rPr>
        <w:t> </w:t>
      </w:r>
      <w:r>
        <w:rPr>
          <w:rFonts w:ascii="Arial"/>
          <w:color w:val="010202"/>
          <w:sz w:val="21"/>
        </w:rPr>
        <w:t>HIV risk. This guide addresses</w:t>
      </w:r>
      <w:r>
        <w:rPr>
          <w:rFonts w:ascii="Arial"/>
          <w:color w:val="010202"/>
          <w:spacing w:val="1"/>
          <w:sz w:val="21"/>
        </w:rPr>
        <w:t> </w:t>
      </w:r>
      <w:r>
        <w:rPr>
          <w:rFonts w:ascii="Arial"/>
          <w:color w:val="010202"/>
          <w:sz w:val="21"/>
        </w:rPr>
        <w:t>the co-occurrence of HIV and</w:t>
      </w:r>
      <w:r>
        <w:rPr>
          <w:rFonts w:ascii="Arial"/>
          <w:color w:val="010202"/>
          <w:spacing w:val="1"/>
          <w:sz w:val="21"/>
        </w:rPr>
        <w:t> </w:t>
      </w:r>
      <w:r>
        <w:rPr>
          <w:rFonts w:ascii="Arial"/>
          <w:color w:val="010202"/>
          <w:sz w:val="21"/>
        </w:rPr>
        <w:t>mental illness and/or SUD. It</w:t>
      </w:r>
      <w:r>
        <w:rPr>
          <w:rFonts w:ascii="Arial"/>
          <w:color w:val="010202"/>
          <w:spacing w:val="1"/>
          <w:sz w:val="21"/>
        </w:rPr>
        <w:t> </w:t>
      </w:r>
      <w:r>
        <w:rPr>
          <w:rFonts w:ascii="Arial"/>
          <w:color w:val="010202"/>
          <w:sz w:val="21"/>
        </w:rPr>
        <w:t>reviews effective programs and</w:t>
      </w:r>
      <w:r>
        <w:rPr>
          <w:rFonts w:ascii="Arial"/>
          <w:color w:val="010202"/>
          <w:spacing w:val="1"/>
          <w:sz w:val="21"/>
        </w:rPr>
        <w:t> </w:t>
      </w:r>
      <w:r>
        <w:rPr>
          <w:rFonts w:ascii="Arial"/>
          <w:color w:val="010202"/>
          <w:sz w:val="21"/>
        </w:rPr>
        <w:t>practices</w:t>
      </w:r>
      <w:r>
        <w:rPr>
          <w:rFonts w:ascii="Arial"/>
          <w:color w:val="010202"/>
          <w:spacing w:val="-5"/>
          <w:sz w:val="21"/>
        </w:rPr>
        <w:t> </w:t>
      </w:r>
      <w:r>
        <w:rPr>
          <w:rFonts w:ascii="Arial"/>
          <w:color w:val="010202"/>
          <w:sz w:val="21"/>
        </w:rPr>
        <w:t>to</w:t>
      </w:r>
      <w:r>
        <w:rPr>
          <w:rFonts w:ascii="Arial"/>
          <w:color w:val="010202"/>
          <w:spacing w:val="-4"/>
          <w:sz w:val="21"/>
        </w:rPr>
        <w:t> </w:t>
      </w:r>
      <w:r>
        <w:rPr>
          <w:rFonts w:ascii="Arial"/>
          <w:color w:val="010202"/>
          <w:sz w:val="21"/>
        </w:rPr>
        <w:t>prevent</w:t>
      </w:r>
      <w:r>
        <w:rPr>
          <w:rFonts w:ascii="Arial"/>
          <w:color w:val="010202"/>
          <w:spacing w:val="-4"/>
          <w:sz w:val="21"/>
        </w:rPr>
        <w:t> </w:t>
      </w:r>
      <w:r>
        <w:rPr>
          <w:rFonts w:ascii="Arial"/>
          <w:color w:val="010202"/>
          <w:sz w:val="21"/>
        </w:rPr>
        <w:t>HIV</w:t>
      </w:r>
      <w:r>
        <w:rPr>
          <w:rFonts w:ascii="Arial"/>
          <w:color w:val="010202"/>
          <w:spacing w:val="-5"/>
          <w:sz w:val="21"/>
        </w:rPr>
        <w:t> </w:t>
      </w:r>
      <w:r>
        <w:rPr>
          <w:rFonts w:ascii="Arial"/>
          <w:color w:val="010202"/>
          <w:sz w:val="21"/>
        </w:rPr>
        <w:t>and,</w:t>
      </w:r>
      <w:r>
        <w:rPr>
          <w:rFonts w:ascii="Arial"/>
          <w:color w:val="010202"/>
          <w:spacing w:val="-4"/>
          <w:sz w:val="21"/>
        </w:rPr>
        <w:t> </w:t>
      </w:r>
      <w:r>
        <w:rPr>
          <w:rFonts w:ascii="Arial"/>
          <w:color w:val="010202"/>
          <w:sz w:val="21"/>
        </w:rPr>
        <w:t>for</w:t>
      </w:r>
    </w:p>
    <w:p>
      <w:pPr>
        <w:spacing w:line="259" w:lineRule="auto" w:before="0"/>
        <w:ind w:left="160" w:right="417" w:firstLine="0"/>
        <w:jc w:val="left"/>
        <w:rPr>
          <w:rFonts w:ascii="Arial"/>
          <w:sz w:val="21"/>
        </w:rPr>
      </w:pPr>
      <w:r>
        <w:rPr>
          <w:rFonts w:ascii="Arial"/>
          <w:color w:val="010202"/>
          <w:sz w:val="21"/>
        </w:rPr>
        <w:t>those</w:t>
      </w:r>
      <w:r>
        <w:rPr>
          <w:rFonts w:ascii="Arial"/>
          <w:color w:val="010202"/>
          <w:spacing w:val="-8"/>
          <w:sz w:val="21"/>
        </w:rPr>
        <w:t> </w:t>
      </w:r>
      <w:r>
        <w:rPr>
          <w:rFonts w:ascii="Arial"/>
          <w:color w:val="010202"/>
          <w:sz w:val="21"/>
        </w:rPr>
        <w:t>with</w:t>
      </w:r>
      <w:r>
        <w:rPr>
          <w:rFonts w:ascii="Arial"/>
          <w:color w:val="010202"/>
          <w:spacing w:val="-8"/>
          <w:sz w:val="21"/>
        </w:rPr>
        <w:t> </w:t>
      </w:r>
      <w:r>
        <w:rPr>
          <w:rFonts w:ascii="Arial"/>
          <w:color w:val="010202"/>
          <w:sz w:val="21"/>
        </w:rPr>
        <w:t>HIV,</w:t>
      </w:r>
      <w:r>
        <w:rPr>
          <w:rFonts w:ascii="Arial"/>
          <w:color w:val="010202"/>
          <w:spacing w:val="-7"/>
          <w:sz w:val="21"/>
        </w:rPr>
        <w:t> </w:t>
      </w:r>
      <w:r>
        <w:rPr>
          <w:rFonts w:ascii="Arial"/>
          <w:color w:val="010202"/>
          <w:sz w:val="21"/>
        </w:rPr>
        <w:t>to</w:t>
      </w:r>
      <w:r>
        <w:rPr>
          <w:rFonts w:ascii="Arial"/>
          <w:color w:val="010202"/>
          <w:spacing w:val="-7"/>
          <w:sz w:val="21"/>
        </w:rPr>
        <w:t> </w:t>
      </w:r>
      <w:r>
        <w:rPr>
          <w:rFonts w:ascii="Arial"/>
          <w:color w:val="010202"/>
          <w:sz w:val="21"/>
        </w:rPr>
        <w:t>increase</w:t>
      </w:r>
      <w:r>
        <w:rPr>
          <w:rFonts w:ascii="Arial"/>
          <w:color w:val="010202"/>
          <w:spacing w:val="-9"/>
          <w:sz w:val="21"/>
        </w:rPr>
        <w:t> </w:t>
      </w:r>
      <w:r>
        <w:rPr>
          <w:rFonts w:ascii="Arial"/>
          <w:color w:val="010202"/>
          <w:sz w:val="21"/>
        </w:rPr>
        <w:t>linkage</w:t>
      </w:r>
      <w:r>
        <w:rPr>
          <w:rFonts w:ascii="Arial"/>
          <w:color w:val="010202"/>
          <w:spacing w:val="-55"/>
          <w:sz w:val="21"/>
        </w:rPr>
        <w:t> </w:t>
      </w:r>
      <w:r>
        <w:rPr>
          <w:rFonts w:ascii="Arial"/>
          <w:color w:val="010202"/>
          <w:sz w:val="21"/>
        </w:rPr>
        <w:t>and retention in care in order to</w:t>
      </w:r>
      <w:r>
        <w:rPr>
          <w:rFonts w:ascii="Arial"/>
          <w:color w:val="010202"/>
          <w:spacing w:val="1"/>
          <w:sz w:val="21"/>
        </w:rPr>
        <w:t> </w:t>
      </w:r>
      <w:r>
        <w:rPr>
          <w:rFonts w:ascii="Arial"/>
          <w:color w:val="010202"/>
          <w:sz w:val="21"/>
        </w:rPr>
        <w:t>improve</w:t>
      </w:r>
      <w:r>
        <w:rPr>
          <w:rFonts w:ascii="Arial"/>
          <w:color w:val="010202"/>
          <w:spacing w:val="-3"/>
          <w:sz w:val="21"/>
        </w:rPr>
        <w:t> </w:t>
      </w:r>
      <w:r>
        <w:rPr>
          <w:rFonts w:ascii="Arial"/>
          <w:color w:val="010202"/>
          <w:sz w:val="21"/>
        </w:rPr>
        <w:t>health</w:t>
      </w:r>
      <w:r>
        <w:rPr>
          <w:rFonts w:ascii="Arial"/>
          <w:color w:val="010202"/>
          <w:spacing w:val="-2"/>
          <w:sz w:val="21"/>
        </w:rPr>
        <w:t> </w:t>
      </w:r>
      <w:r>
        <w:rPr>
          <w:rFonts w:ascii="Arial"/>
          <w:color w:val="010202"/>
          <w:sz w:val="21"/>
        </w:rPr>
        <w:t>outcomes.</w:t>
      </w:r>
    </w:p>
    <w:p>
      <w:pPr>
        <w:spacing w:after="0" w:line="259" w:lineRule="auto"/>
        <w:jc w:val="left"/>
        <w:rPr>
          <w:rFonts w:ascii="Arial"/>
          <w:sz w:val="21"/>
        </w:rPr>
        <w:sectPr>
          <w:headerReference w:type="default" r:id="rId18"/>
          <w:footerReference w:type="default" r:id="rId19"/>
          <w:pgSz w:w="12240" w:h="15840"/>
          <w:pgMar w:header="0" w:footer="667" w:top="860" w:bottom="860" w:left="560" w:right="0"/>
          <w:cols w:num="2" w:equalWidth="0">
            <w:col w:w="7200" w:space="389"/>
            <w:col w:w="4091"/>
          </w:cols>
        </w:sectPr>
      </w:pPr>
    </w:p>
    <w:p>
      <w:pPr>
        <w:pStyle w:val="BodyText"/>
        <w:spacing w:before="6"/>
        <w:rPr>
          <w:rFonts w:ascii="Arial"/>
          <w:sz w:val="11"/>
        </w:rPr>
      </w:pPr>
      <w:r>
        <w:rPr/>
        <w:pict>
          <v:group style="position:absolute;margin-left:0pt;margin-top:0pt;width:612pt;height:745.7pt;mso-position-horizontal-relative:page;mso-position-vertical-relative:page;z-index:-18155008" id="docshapegroup40" coordorigin="0,0" coordsize="12240,14914">
            <v:rect style="position:absolute;left:0;top:0;width:8000;height:394" id="docshape41" filled="true" fillcolor="#1d384a" stroked="false">
              <v:fill type="solid"/>
            </v:rect>
            <v:rect style="position:absolute;left:0;top:14894;width:12240;height:20" id="docshape42" filled="true" fillcolor="#1d384a" stroked="false">
              <v:fill type="solid"/>
            </v:rect>
            <v:rect style="position:absolute;left:7999;top:393;width:4241;height:14501" id="docshape43" filled="true" fillcolor="#f7e0e0" stroked="false">
              <v:fill type="solid"/>
            </v:rect>
            <v:rect style="position:absolute;left:7999;top:0;width:4241;height:394" id="docshape44" filled="true" fillcolor="#ce372e" stroked="false">
              <v:fill type="solid"/>
            </v:rect>
            <v:shape style="position:absolute;left:720;top:11868;width:7013;height:2852" id="docshape45" coordorigin="720,11869" coordsize="7013,2852" path="m7643,11869l810,11869,775,11876,746,11895,727,11924,720,11959,720,14630,727,14665,746,14694,775,14713,810,14720,7643,14720,7678,14713,7706,14694,7726,14665,7733,14630,7733,11959,7726,11924,7706,11895,7678,11876,7643,11869xe" filled="true" fillcolor="#f7e0e0" stroked="false">
              <v:path arrowok="t"/>
              <v:fill type="solid"/>
            </v:shape>
            <w10:wrap type="none"/>
          </v:group>
        </w:pict>
      </w:r>
    </w:p>
    <w:p>
      <w:pPr>
        <w:pStyle w:val="BodyText"/>
        <w:spacing w:line="20" w:lineRule="exact"/>
        <w:ind w:left="150"/>
        <w:rPr>
          <w:rFonts w:ascii="Arial"/>
          <w:sz w:val="2"/>
        </w:rPr>
      </w:pPr>
      <w:r>
        <w:rPr>
          <w:rFonts w:ascii="Arial"/>
          <w:sz w:val="2"/>
        </w:rPr>
        <w:pict>
          <v:group style="width:350.65pt;height:1pt;mso-position-horizontal-relative:char;mso-position-vertical-relative:line" id="docshapegroup46" coordorigin="0,0" coordsize="7013,20">
            <v:line style="position:absolute" from="0,10" to="720,10" stroked="true" strokeweight="1pt" strokecolor="#231f20">
              <v:stroke dashstyle="solid"/>
            </v:line>
            <v:line style="position:absolute" from="720,10" to="7013,10" stroked="true" strokeweight="1pt" strokecolor="#231f20">
              <v:stroke dashstyle="solid"/>
            </v:line>
          </v:group>
        </w:pict>
      </w:r>
      <w:r>
        <w:rPr>
          <w:rFonts w:ascii="Arial"/>
          <w:sz w:val="2"/>
        </w:rPr>
      </w:r>
    </w:p>
    <w:p>
      <w:pPr>
        <w:pStyle w:val="BodyText"/>
        <w:spacing w:before="2"/>
        <w:rPr>
          <w:rFonts w:ascii="Arial"/>
          <w:sz w:val="12"/>
        </w:rPr>
      </w:pPr>
    </w:p>
    <w:p>
      <w:pPr>
        <w:pStyle w:val="Heading4"/>
        <w:spacing w:line="184" w:lineRule="auto" w:before="161"/>
        <w:ind w:left="2146" w:right="5969" w:hanging="516"/>
      </w:pPr>
      <w:r>
        <w:rPr>
          <w:color w:val="CE384B"/>
        </w:rPr>
        <w:t>A</w:t>
      </w:r>
      <w:r>
        <w:rPr>
          <w:color w:val="CE384B"/>
          <w:spacing w:val="-8"/>
        </w:rPr>
        <w:t> </w:t>
      </w:r>
      <w:r>
        <w:rPr>
          <w:color w:val="CE384B"/>
        </w:rPr>
        <w:t>NOTE</w:t>
      </w:r>
      <w:r>
        <w:rPr>
          <w:color w:val="CE384B"/>
          <w:spacing w:val="-8"/>
        </w:rPr>
        <w:t> </w:t>
      </w:r>
      <w:r>
        <w:rPr>
          <w:color w:val="CE384B"/>
        </w:rPr>
        <w:t>ON</w:t>
      </w:r>
      <w:r>
        <w:rPr>
          <w:color w:val="CE384B"/>
          <w:spacing w:val="-8"/>
        </w:rPr>
        <w:t> </w:t>
      </w:r>
      <w:r>
        <w:rPr>
          <w:color w:val="CE384B"/>
        </w:rPr>
        <w:t>MEDICATIONS</w:t>
      </w:r>
      <w:r>
        <w:rPr>
          <w:color w:val="CE384B"/>
          <w:spacing w:val="-8"/>
        </w:rPr>
        <w:t> </w:t>
      </w:r>
      <w:r>
        <w:rPr>
          <w:color w:val="CE384B"/>
        </w:rPr>
        <w:t>FOR</w:t>
      </w:r>
      <w:r>
        <w:rPr>
          <w:color w:val="CE384B"/>
          <w:spacing w:val="-77"/>
        </w:rPr>
        <w:t> </w:t>
      </w:r>
      <w:r>
        <w:rPr>
          <w:color w:val="CE384B"/>
        </w:rPr>
        <w:t>OPIOID</w:t>
      </w:r>
      <w:r>
        <w:rPr>
          <w:color w:val="CE384B"/>
          <w:spacing w:val="-1"/>
        </w:rPr>
        <w:t> </w:t>
      </w:r>
      <w:r>
        <w:rPr>
          <w:color w:val="CE384B"/>
        </w:rPr>
        <w:t>USE</w:t>
      </w:r>
      <w:r>
        <w:rPr>
          <w:color w:val="CE384B"/>
          <w:spacing w:val="-1"/>
        </w:rPr>
        <w:t> </w:t>
      </w:r>
      <w:r>
        <w:rPr>
          <w:color w:val="CE384B"/>
        </w:rPr>
        <w:t>DISORDER</w:t>
      </w:r>
    </w:p>
    <w:p>
      <w:pPr>
        <w:spacing w:line="259" w:lineRule="auto" w:before="125"/>
        <w:ind w:left="339" w:right="4691" w:firstLine="0"/>
        <w:jc w:val="left"/>
        <w:rPr>
          <w:rFonts w:ascii="Arial"/>
          <w:sz w:val="21"/>
        </w:rPr>
      </w:pPr>
      <w:r>
        <w:rPr>
          <w:rFonts w:ascii="Arial"/>
          <w:color w:val="010202"/>
          <w:sz w:val="21"/>
        </w:rPr>
        <w:t>SAMHSA has an extensive online resource center with tools for use</w:t>
      </w:r>
      <w:r>
        <w:rPr>
          <w:rFonts w:ascii="Arial"/>
          <w:color w:val="010202"/>
          <w:spacing w:val="1"/>
          <w:sz w:val="21"/>
        </w:rPr>
        <w:t> </w:t>
      </w:r>
      <w:r>
        <w:rPr>
          <w:rFonts w:ascii="Arial"/>
          <w:color w:val="010202"/>
          <w:sz w:val="21"/>
        </w:rPr>
        <w:t>alongside this guide. For example, practitioners can use the current</w:t>
      </w:r>
      <w:r>
        <w:rPr>
          <w:rFonts w:ascii="Arial"/>
          <w:color w:val="010202"/>
          <w:spacing w:val="1"/>
          <w:sz w:val="21"/>
        </w:rPr>
        <w:t> </w:t>
      </w:r>
      <w:r>
        <w:rPr>
          <w:rFonts w:ascii="Arial"/>
          <w:color w:val="010202"/>
          <w:sz w:val="21"/>
        </w:rPr>
        <w:t>(2020) </w:t>
      </w:r>
      <w:hyperlink r:id="rId20">
        <w:r>
          <w:rPr>
            <w:rFonts w:ascii="Arial"/>
            <w:color w:val="3953A4"/>
            <w:sz w:val="21"/>
            <w:u w:val="single" w:color="3953A4"/>
          </w:rPr>
          <w:t>Treatment Improvement Protocol (TIP) 63: Medications for</w:t>
        </w:r>
      </w:hyperlink>
      <w:r>
        <w:rPr>
          <w:rFonts w:ascii="Arial"/>
          <w:color w:val="3953A4"/>
          <w:spacing w:val="1"/>
          <w:sz w:val="21"/>
        </w:rPr>
        <w:t> </w:t>
      </w:r>
      <w:hyperlink r:id="rId20">
        <w:r>
          <w:rPr>
            <w:rFonts w:ascii="Arial"/>
            <w:color w:val="3953A4"/>
            <w:sz w:val="21"/>
            <w:u w:val="single" w:color="3953A4"/>
          </w:rPr>
          <w:t>Opioid Use Disorder</w:t>
        </w:r>
        <w:r>
          <w:rPr>
            <w:rFonts w:ascii="Arial"/>
            <w:color w:val="3953A4"/>
            <w:sz w:val="21"/>
          </w:rPr>
          <w:t> </w:t>
        </w:r>
      </w:hyperlink>
      <w:r>
        <w:rPr>
          <w:rFonts w:ascii="Arial"/>
          <w:color w:val="010202"/>
          <w:sz w:val="21"/>
        </w:rPr>
        <w:t>together with practices recommended in this guide</w:t>
      </w:r>
      <w:r>
        <w:rPr>
          <w:rFonts w:ascii="Arial"/>
          <w:color w:val="010202"/>
          <w:spacing w:val="-56"/>
          <w:sz w:val="21"/>
        </w:rPr>
        <w:t> </w:t>
      </w:r>
      <w:r>
        <w:rPr>
          <w:rFonts w:ascii="Arial"/>
          <w:color w:val="010202"/>
          <w:sz w:val="21"/>
        </w:rPr>
        <w:t>to support improved health outcomes for people with or at risk for HIV</w:t>
      </w:r>
      <w:r>
        <w:rPr>
          <w:rFonts w:ascii="Arial"/>
          <w:color w:val="010202"/>
          <w:spacing w:val="1"/>
          <w:sz w:val="21"/>
        </w:rPr>
        <w:t> </w:t>
      </w:r>
      <w:r>
        <w:rPr>
          <w:rFonts w:ascii="Arial"/>
          <w:color w:val="010202"/>
          <w:sz w:val="21"/>
        </w:rPr>
        <w:t>who are experiencing opioid use disorder. To avoid duplication, this</w:t>
      </w:r>
      <w:r>
        <w:rPr>
          <w:rFonts w:ascii="Arial"/>
          <w:color w:val="010202"/>
          <w:spacing w:val="1"/>
          <w:sz w:val="21"/>
        </w:rPr>
        <w:t> </w:t>
      </w:r>
      <w:r>
        <w:rPr>
          <w:rFonts w:ascii="Arial"/>
          <w:color w:val="010202"/>
          <w:sz w:val="21"/>
        </w:rPr>
        <w:t>guide</w:t>
      </w:r>
      <w:r>
        <w:rPr>
          <w:rFonts w:ascii="Arial"/>
          <w:color w:val="010202"/>
          <w:spacing w:val="-3"/>
          <w:sz w:val="21"/>
        </w:rPr>
        <w:t> </w:t>
      </w:r>
      <w:r>
        <w:rPr>
          <w:rFonts w:ascii="Arial"/>
          <w:color w:val="010202"/>
          <w:sz w:val="21"/>
        </w:rPr>
        <w:t>does</w:t>
      </w:r>
      <w:r>
        <w:rPr>
          <w:rFonts w:ascii="Arial"/>
          <w:color w:val="010202"/>
          <w:spacing w:val="-2"/>
          <w:sz w:val="21"/>
        </w:rPr>
        <w:t> </w:t>
      </w:r>
      <w:r>
        <w:rPr>
          <w:rFonts w:ascii="Arial"/>
          <w:color w:val="010202"/>
          <w:sz w:val="21"/>
        </w:rPr>
        <w:t>not</w:t>
      </w:r>
      <w:r>
        <w:rPr>
          <w:rFonts w:ascii="Arial"/>
          <w:color w:val="010202"/>
          <w:spacing w:val="-3"/>
          <w:sz w:val="21"/>
        </w:rPr>
        <w:t> </w:t>
      </w:r>
      <w:r>
        <w:rPr>
          <w:rFonts w:ascii="Arial"/>
          <w:color w:val="010202"/>
          <w:sz w:val="21"/>
        </w:rPr>
        <w:t>discuss</w:t>
      </w:r>
      <w:r>
        <w:rPr>
          <w:rFonts w:ascii="Arial"/>
          <w:color w:val="010202"/>
          <w:spacing w:val="-2"/>
          <w:sz w:val="21"/>
        </w:rPr>
        <w:t> </w:t>
      </w:r>
      <w:r>
        <w:rPr>
          <w:rFonts w:ascii="Arial"/>
          <w:color w:val="010202"/>
          <w:sz w:val="21"/>
        </w:rPr>
        <w:t>medications</w:t>
      </w:r>
      <w:r>
        <w:rPr>
          <w:rFonts w:ascii="Arial"/>
          <w:color w:val="010202"/>
          <w:spacing w:val="-2"/>
          <w:sz w:val="21"/>
        </w:rPr>
        <w:t> </w:t>
      </w:r>
      <w:r>
        <w:rPr>
          <w:rFonts w:ascii="Arial"/>
          <w:color w:val="010202"/>
          <w:sz w:val="21"/>
        </w:rPr>
        <w:t>for</w:t>
      </w:r>
      <w:r>
        <w:rPr>
          <w:rFonts w:ascii="Arial"/>
          <w:color w:val="010202"/>
          <w:spacing w:val="-1"/>
          <w:sz w:val="21"/>
        </w:rPr>
        <w:t> </w:t>
      </w:r>
      <w:r>
        <w:rPr>
          <w:rFonts w:ascii="Arial"/>
          <w:color w:val="010202"/>
          <w:sz w:val="21"/>
        </w:rPr>
        <w:t>opioid</w:t>
      </w:r>
      <w:r>
        <w:rPr>
          <w:rFonts w:ascii="Arial"/>
          <w:color w:val="010202"/>
          <w:spacing w:val="-2"/>
          <w:sz w:val="21"/>
        </w:rPr>
        <w:t> </w:t>
      </w:r>
      <w:r>
        <w:rPr>
          <w:rFonts w:ascii="Arial"/>
          <w:color w:val="010202"/>
          <w:sz w:val="21"/>
        </w:rPr>
        <w:t>use</w:t>
      </w:r>
      <w:r>
        <w:rPr>
          <w:rFonts w:ascii="Arial"/>
          <w:color w:val="010202"/>
          <w:spacing w:val="-3"/>
          <w:sz w:val="21"/>
        </w:rPr>
        <w:t> </w:t>
      </w:r>
      <w:r>
        <w:rPr>
          <w:rFonts w:ascii="Arial"/>
          <w:color w:val="010202"/>
          <w:sz w:val="21"/>
        </w:rPr>
        <w:t>disorder.</w:t>
      </w:r>
    </w:p>
    <w:p>
      <w:pPr>
        <w:spacing w:after="0" w:line="259" w:lineRule="auto"/>
        <w:jc w:val="left"/>
        <w:rPr>
          <w:rFonts w:ascii="Arial"/>
          <w:sz w:val="21"/>
        </w:rPr>
        <w:sectPr>
          <w:type w:val="continuous"/>
          <w:pgSz w:w="12240" w:h="15840"/>
          <w:pgMar w:header="0" w:footer="667" w:top="1500" w:bottom="0" w:left="560" w:right="0"/>
        </w:sectPr>
      </w:pPr>
    </w:p>
    <w:p>
      <w:pPr>
        <w:pStyle w:val="BodyText"/>
        <w:rPr>
          <w:rFonts w:ascii="Arial"/>
          <w:sz w:val="20"/>
        </w:rPr>
      </w:pPr>
      <w:r>
        <w:rPr/>
        <w:pict>
          <v:rect style="position:absolute;margin-left:0pt;margin-top:-.000038pt;width:612.000029pt;height:19.680001pt;mso-position-horizontal-relative:page;mso-position-vertical-relative:page;z-index:-18153984" id="docshape49" filled="true" fillcolor="#1d384a" stroked="false">
            <v:fill type="solid"/>
            <w10:wrap type="none"/>
          </v:rect>
        </w:pict>
      </w:r>
      <w:r>
        <w:rPr/>
        <w:pict>
          <v:rect style="position:absolute;margin-left:0pt;margin-top:744.700012pt;width:612pt;height:1pt;mso-position-horizontal-relative:page;mso-position-vertical-relative:page;z-index:15739392" id="docshape50" filled="true" fillcolor="#1d384a" stroked="false">
            <v:fill type="solid"/>
            <w10:wrap type="none"/>
          </v:rect>
        </w:pict>
      </w:r>
    </w:p>
    <w:p>
      <w:pPr>
        <w:pStyle w:val="BodyText"/>
        <w:rPr>
          <w:rFonts w:ascii="Arial"/>
          <w:sz w:val="20"/>
        </w:rPr>
      </w:pPr>
    </w:p>
    <w:p>
      <w:pPr>
        <w:pStyle w:val="BodyText"/>
        <w:rPr>
          <w:rFonts w:ascii="Arial"/>
          <w:sz w:val="20"/>
        </w:rPr>
      </w:pPr>
    </w:p>
    <w:p>
      <w:pPr>
        <w:pStyle w:val="BodyText"/>
        <w:spacing w:before="5"/>
        <w:rPr>
          <w:rFonts w:ascii="Arial"/>
          <w:sz w:val="21"/>
        </w:rPr>
      </w:pPr>
    </w:p>
    <w:p>
      <w:pPr>
        <w:pStyle w:val="BodyText"/>
        <w:spacing w:line="266" w:lineRule="auto" w:before="90"/>
        <w:ind w:left="160" w:right="884"/>
      </w:pPr>
      <w:r>
        <w:rPr>
          <w:color w:val="231F20"/>
          <w:spacing w:val="-1"/>
        </w:rPr>
        <w:t>The</w:t>
      </w:r>
      <w:r>
        <w:rPr>
          <w:color w:val="231F20"/>
          <w:spacing w:val="-9"/>
        </w:rPr>
        <w:t> </w:t>
      </w:r>
      <w:r>
        <w:rPr>
          <w:color w:val="231F20"/>
          <w:spacing w:val="-1"/>
        </w:rPr>
        <w:t>framework</w:t>
      </w:r>
      <w:r>
        <w:rPr>
          <w:color w:val="231F20"/>
          <w:spacing w:val="-9"/>
        </w:rPr>
        <w:t> </w:t>
      </w:r>
      <w:r>
        <w:rPr>
          <w:color w:val="231F20"/>
          <w:spacing w:val="-1"/>
        </w:rPr>
        <w:t>below</w:t>
      </w:r>
      <w:r>
        <w:rPr>
          <w:color w:val="231F20"/>
          <w:spacing w:val="-9"/>
        </w:rPr>
        <w:t> </w:t>
      </w:r>
      <w:r>
        <w:rPr>
          <w:color w:val="231F20"/>
          <w:spacing w:val="-1"/>
        </w:rPr>
        <w:t>provides</w:t>
      </w:r>
      <w:r>
        <w:rPr>
          <w:color w:val="231F20"/>
          <w:spacing w:val="-8"/>
        </w:rPr>
        <w:t> </w:t>
      </w:r>
      <w:r>
        <w:rPr>
          <w:color w:val="231F20"/>
          <w:spacing w:val="-1"/>
        </w:rPr>
        <w:t>an</w:t>
      </w:r>
      <w:r>
        <w:rPr>
          <w:color w:val="231F20"/>
          <w:spacing w:val="-9"/>
        </w:rPr>
        <w:t> </w:t>
      </w:r>
      <w:r>
        <w:rPr>
          <w:color w:val="231F20"/>
          <w:spacing w:val="-1"/>
        </w:rPr>
        <w:t>overview</w:t>
      </w:r>
      <w:r>
        <w:rPr>
          <w:color w:val="231F20"/>
          <w:spacing w:val="-9"/>
        </w:rPr>
        <w:t> </w:t>
      </w:r>
      <w:r>
        <w:rPr>
          <w:color w:val="231F20"/>
          <w:spacing w:val="-1"/>
        </w:rPr>
        <w:t>of</w:t>
      </w:r>
      <w:r>
        <w:rPr>
          <w:color w:val="231F20"/>
          <w:spacing w:val="-8"/>
        </w:rPr>
        <w:t> </w:t>
      </w:r>
      <w:r>
        <w:rPr>
          <w:color w:val="231F20"/>
          <w:spacing w:val="-1"/>
        </w:rPr>
        <w:t>this</w:t>
      </w:r>
      <w:r>
        <w:rPr>
          <w:color w:val="231F20"/>
          <w:spacing w:val="-9"/>
        </w:rPr>
        <w:t> </w:t>
      </w:r>
      <w:r>
        <w:rPr>
          <w:color w:val="231F20"/>
          <w:spacing w:val="-1"/>
        </w:rPr>
        <w:t>guide.</w:t>
      </w:r>
      <w:r>
        <w:rPr>
          <w:color w:val="231F20"/>
          <w:spacing w:val="-12"/>
        </w:rPr>
        <w:t> </w:t>
      </w:r>
      <w:r>
        <w:rPr>
          <w:color w:val="231F20"/>
          <w:spacing w:val="-1"/>
        </w:rPr>
        <w:t>The</w:t>
      </w:r>
      <w:r>
        <w:rPr>
          <w:color w:val="231F20"/>
          <w:spacing w:val="-9"/>
        </w:rPr>
        <w:t> </w:t>
      </w:r>
      <w:r>
        <w:rPr>
          <w:color w:val="231F20"/>
          <w:spacing w:val="-1"/>
        </w:rPr>
        <w:t>guide</w:t>
      </w:r>
      <w:r>
        <w:rPr>
          <w:color w:val="231F20"/>
          <w:spacing w:val="-9"/>
        </w:rPr>
        <w:t> </w:t>
      </w:r>
      <w:r>
        <w:rPr>
          <w:color w:val="231F20"/>
          <w:spacing w:val="-1"/>
        </w:rPr>
        <w:t>addresses</w:t>
      </w:r>
      <w:r>
        <w:rPr>
          <w:color w:val="231F20"/>
          <w:spacing w:val="-8"/>
        </w:rPr>
        <w:t> </w:t>
      </w:r>
      <w:r>
        <w:rPr>
          <w:color w:val="231F20"/>
          <w:spacing w:val="-1"/>
        </w:rPr>
        <w:t>the</w:t>
      </w:r>
      <w:r>
        <w:rPr>
          <w:color w:val="231F20"/>
          <w:spacing w:val="-9"/>
        </w:rPr>
        <w:t> </w:t>
      </w:r>
      <w:r>
        <w:rPr>
          <w:color w:val="231F20"/>
          <w:spacing w:val="-1"/>
        </w:rPr>
        <w:t>prevention</w:t>
      </w:r>
      <w:r>
        <w:rPr>
          <w:color w:val="231F20"/>
          <w:spacing w:val="-9"/>
        </w:rPr>
        <w:t> </w:t>
      </w:r>
      <w:r>
        <w:rPr>
          <w:color w:val="231F20"/>
          <w:spacing w:val="-1"/>
        </w:rPr>
        <w:t>and</w:t>
      </w:r>
      <w:r>
        <w:rPr>
          <w:color w:val="231F20"/>
          <w:spacing w:val="-8"/>
        </w:rPr>
        <w:t> </w:t>
      </w:r>
      <w:r>
        <w:rPr>
          <w:color w:val="231F20"/>
          <w:spacing w:val="-1"/>
        </w:rPr>
        <w:t>treatment</w:t>
      </w:r>
      <w:r>
        <w:rPr>
          <w:color w:val="231F20"/>
          <w:spacing w:val="-9"/>
        </w:rPr>
        <w:t> </w:t>
      </w:r>
      <w:r>
        <w:rPr>
          <w:color w:val="231F20"/>
        </w:rPr>
        <w:t>of</w:t>
      </w:r>
      <w:r>
        <w:rPr>
          <w:color w:val="231F20"/>
          <w:spacing w:val="-9"/>
        </w:rPr>
        <w:t> </w:t>
      </w:r>
      <w:r>
        <w:rPr>
          <w:color w:val="231F20"/>
        </w:rPr>
        <w:t>HIV</w:t>
      </w:r>
      <w:r>
        <w:rPr>
          <w:color w:val="231F20"/>
          <w:spacing w:val="-12"/>
        </w:rPr>
        <w:t> </w:t>
      </w:r>
      <w:r>
        <w:rPr>
          <w:color w:val="231F20"/>
        </w:rPr>
        <w:t>among</w:t>
      </w:r>
      <w:r>
        <w:rPr>
          <w:color w:val="231F20"/>
          <w:spacing w:val="-52"/>
        </w:rPr>
        <w:t> </w:t>
      </w:r>
      <w:r>
        <w:rPr>
          <w:color w:val="231F20"/>
        </w:rPr>
        <w:t>people with mental illness and/or SUD, and focuses on prevention and treatment practices that have been evaluated with</w:t>
      </w:r>
      <w:r>
        <w:rPr>
          <w:color w:val="231F20"/>
          <w:spacing w:val="-52"/>
        </w:rPr>
        <w:t> </w:t>
      </w:r>
      <w:r>
        <w:rPr>
          <w:color w:val="231F20"/>
          <w:spacing w:val="-1"/>
        </w:rPr>
        <w:t>adults.</w:t>
      </w:r>
      <w:r>
        <w:rPr>
          <w:color w:val="231F20"/>
          <w:spacing w:val="-13"/>
        </w:rPr>
        <w:t> </w:t>
      </w:r>
      <w:r>
        <w:rPr>
          <w:color w:val="231F20"/>
          <w:spacing w:val="-1"/>
        </w:rPr>
        <w:t>The</w:t>
      </w:r>
      <w:r>
        <w:rPr>
          <w:color w:val="231F20"/>
          <w:spacing w:val="-9"/>
        </w:rPr>
        <w:t> </w:t>
      </w:r>
      <w:r>
        <w:rPr>
          <w:color w:val="231F20"/>
          <w:spacing w:val="-1"/>
        </w:rPr>
        <w:t>review</w:t>
      </w:r>
      <w:r>
        <w:rPr>
          <w:color w:val="231F20"/>
          <w:spacing w:val="-9"/>
        </w:rPr>
        <w:t> </w:t>
      </w:r>
      <w:r>
        <w:rPr>
          <w:color w:val="231F20"/>
          <w:spacing w:val="-1"/>
        </w:rPr>
        <w:t>of</w:t>
      </w:r>
      <w:r>
        <w:rPr>
          <w:color w:val="231F20"/>
          <w:spacing w:val="-9"/>
        </w:rPr>
        <w:t> </w:t>
      </w:r>
      <w:r>
        <w:rPr>
          <w:color w:val="231F20"/>
          <w:spacing w:val="-1"/>
        </w:rPr>
        <w:t>these</w:t>
      </w:r>
      <w:r>
        <w:rPr>
          <w:color w:val="231F20"/>
          <w:spacing w:val="-9"/>
        </w:rPr>
        <w:t> </w:t>
      </w:r>
      <w:r>
        <w:rPr>
          <w:color w:val="231F20"/>
          <w:spacing w:val="-1"/>
        </w:rPr>
        <w:t>programs</w:t>
      </w:r>
      <w:r>
        <w:rPr>
          <w:color w:val="231F20"/>
          <w:spacing w:val="-9"/>
        </w:rPr>
        <w:t> </w:t>
      </w:r>
      <w:r>
        <w:rPr>
          <w:color w:val="231F20"/>
          <w:spacing w:val="-1"/>
        </w:rPr>
        <w:t>and</w:t>
      </w:r>
      <w:r>
        <w:rPr>
          <w:color w:val="231F20"/>
          <w:spacing w:val="-9"/>
        </w:rPr>
        <w:t> </w:t>
      </w:r>
      <w:r>
        <w:rPr>
          <w:color w:val="231F20"/>
          <w:spacing w:val="-1"/>
        </w:rPr>
        <w:t>practices</w:t>
      </w:r>
      <w:r>
        <w:rPr>
          <w:color w:val="231F20"/>
          <w:spacing w:val="-9"/>
        </w:rPr>
        <w:t> </w:t>
      </w:r>
      <w:r>
        <w:rPr>
          <w:color w:val="231F20"/>
          <w:spacing w:val="-1"/>
        </w:rPr>
        <w:t>in</w:t>
      </w:r>
      <w:r>
        <w:rPr>
          <w:color w:val="231F20"/>
          <w:spacing w:val="-9"/>
        </w:rPr>
        <w:t> </w:t>
      </w:r>
      <w:r>
        <w:rPr>
          <w:color w:val="231F20"/>
          <w:spacing w:val="-1"/>
        </w:rPr>
        <w:t>Chapter</w:t>
      </w:r>
      <w:r>
        <w:rPr>
          <w:color w:val="231F20"/>
          <w:spacing w:val="-9"/>
        </w:rPr>
        <w:t> </w:t>
      </w:r>
      <w:r>
        <w:rPr>
          <w:color w:val="231F20"/>
          <w:spacing w:val="-1"/>
        </w:rPr>
        <w:t>2</w:t>
      </w:r>
      <w:r>
        <w:rPr>
          <w:color w:val="231F20"/>
          <w:spacing w:val="-9"/>
        </w:rPr>
        <w:t> </w:t>
      </w:r>
      <w:r>
        <w:rPr>
          <w:color w:val="231F20"/>
          <w:spacing w:val="-1"/>
        </w:rPr>
        <w:t>of</w:t>
      </w:r>
      <w:r>
        <w:rPr>
          <w:color w:val="231F20"/>
          <w:spacing w:val="-9"/>
        </w:rPr>
        <w:t> </w:t>
      </w:r>
      <w:r>
        <w:rPr>
          <w:color w:val="231F20"/>
          <w:spacing w:val="-1"/>
        </w:rPr>
        <w:t>the</w:t>
      </w:r>
      <w:r>
        <w:rPr>
          <w:color w:val="231F20"/>
          <w:spacing w:val="-9"/>
        </w:rPr>
        <w:t> </w:t>
      </w:r>
      <w:r>
        <w:rPr>
          <w:color w:val="231F20"/>
          <w:spacing w:val="-1"/>
        </w:rPr>
        <w:t>guide</w:t>
      </w:r>
      <w:r>
        <w:rPr>
          <w:color w:val="231F20"/>
          <w:spacing w:val="-9"/>
        </w:rPr>
        <w:t> </w:t>
      </w:r>
      <w:r>
        <w:rPr>
          <w:color w:val="231F20"/>
          <w:spacing w:val="-1"/>
        </w:rPr>
        <w:t>includes</w:t>
      </w:r>
      <w:r>
        <w:rPr>
          <w:color w:val="231F20"/>
          <w:spacing w:val="-9"/>
        </w:rPr>
        <w:t> </w:t>
      </w:r>
      <w:r>
        <w:rPr>
          <w:color w:val="231F20"/>
          <w:spacing w:val="-1"/>
        </w:rPr>
        <w:t>specific</w:t>
      </w:r>
      <w:r>
        <w:rPr>
          <w:color w:val="231F20"/>
          <w:spacing w:val="-10"/>
        </w:rPr>
        <w:t> </w:t>
      </w:r>
      <w:r>
        <w:rPr>
          <w:color w:val="231F20"/>
          <w:spacing w:val="-1"/>
        </w:rPr>
        <w:t>outcomes,</w:t>
      </w:r>
      <w:r>
        <w:rPr>
          <w:color w:val="231F20"/>
          <w:spacing w:val="-8"/>
        </w:rPr>
        <w:t> </w:t>
      </w:r>
      <w:r>
        <w:rPr>
          <w:color w:val="231F20"/>
          <w:spacing w:val="-1"/>
        </w:rPr>
        <w:t>practitioner</w:t>
      </w:r>
      <w:r>
        <w:rPr>
          <w:color w:val="231F20"/>
          <w:spacing w:val="-9"/>
        </w:rPr>
        <w:t> </w:t>
      </w:r>
      <w:r>
        <w:rPr>
          <w:color w:val="231F20"/>
        </w:rPr>
        <w:t>types,</w:t>
      </w:r>
      <w:r>
        <w:rPr>
          <w:color w:val="231F20"/>
          <w:spacing w:val="1"/>
        </w:rPr>
        <w:t> </w:t>
      </w:r>
      <w:r>
        <w:rPr>
          <w:color w:val="231F20"/>
        </w:rPr>
        <w:t>and</w:t>
      </w:r>
      <w:r>
        <w:rPr>
          <w:color w:val="231F20"/>
          <w:spacing w:val="-5"/>
        </w:rPr>
        <w:t> </w:t>
      </w:r>
      <w:r>
        <w:rPr>
          <w:color w:val="231F20"/>
        </w:rPr>
        <w:t>delivery</w:t>
      </w:r>
      <w:r>
        <w:rPr>
          <w:color w:val="231F20"/>
          <w:spacing w:val="-4"/>
        </w:rPr>
        <w:t> </w:t>
      </w:r>
      <w:r>
        <w:rPr>
          <w:color w:val="231F20"/>
        </w:rPr>
        <w:t>settings.</w:t>
      </w:r>
    </w:p>
    <w:p>
      <w:pPr>
        <w:pStyle w:val="BodyText"/>
        <w:spacing w:before="1"/>
        <w:rPr>
          <w:sz w:val="12"/>
        </w:rPr>
      </w:pPr>
      <w:r>
        <w:rPr/>
        <w:drawing>
          <wp:anchor distT="0" distB="0" distL="0" distR="0" allowOverlap="1" layoutInCell="1" locked="0" behindDoc="0" simplePos="0" relativeHeight="19">
            <wp:simplePos x="0" y="0"/>
            <wp:positionH relativeFrom="page">
              <wp:posOffset>827452</wp:posOffset>
            </wp:positionH>
            <wp:positionV relativeFrom="paragraph">
              <wp:posOffset>104055</wp:posOffset>
            </wp:positionV>
            <wp:extent cx="6045049" cy="7686008"/>
            <wp:effectExtent l="0" t="0" r="0" b="0"/>
            <wp:wrapTopAndBottom/>
            <wp:docPr id="5" name="image4.jpeg" descr="The framework graphic displays the Guides organization. The first section is titled &quot;Scope&quot;, and includes the problems and interventions discussed in the Guide, namely HIV prevention and linking people with HIV to HIV care.     It identifies the population of focus as people at risk for and with HIV who have co-occurring mental illness and/or substance use disorders. It notes that the guide is focused on the treatmentŽ end of the substance use disorder continuum, and covers the prevention, linkage, and retention stages of the HIV Care Continuum.     The second section is titled &quot;Interventions&quot; and lists the different interventions discussed in the Guide including Practices to Increase Uptake of and Improve Adherence to Pre-Exposure Prophylaxis (PrEP), Syringe Services Programs (SSPs), Contingency Management, Cognitive Behavior Therapy, and patient navigation.    The third section is titled &quot;Evidence Review,&quot; and shows that the guide will discuss the outcomes achieved through use of the interventions, the types of practitioners who deliver these interventions, and the settings in which the interventions are implemented.  "/>
            <wp:cNvGraphicFramePr>
              <a:graphicFrameLocks noChangeAspect="1"/>
            </wp:cNvGraphicFramePr>
            <a:graphic>
              <a:graphicData uri="http://schemas.openxmlformats.org/drawingml/2006/picture">
                <pic:pic>
                  <pic:nvPicPr>
                    <pic:cNvPr id="6" name="image4.jpeg"/>
                    <pic:cNvPicPr/>
                  </pic:nvPicPr>
                  <pic:blipFill>
                    <a:blip r:embed="rId23" cstate="print"/>
                    <a:stretch>
                      <a:fillRect/>
                    </a:stretch>
                  </pic:blipFill>
                  <pic:spPr>
                    <a:xfrm>
                      <a:off x="0" y="0"/>
                      <a:ext cx="6045049" cy="7686008"/>
                    </a:xfrm>
                    <a:prstGeom prst="rect">
                      <a:avLst/>
                    </a:prstGeom>
                  </pic:spPr>
                </pic:pic>
              </a:graphicData>
            </a:graphic>
          </wp:anchor>
        </w:drawing>
      </w:r>
    </w:p>
    <w:p>
      <w:pPr>
        <w:spacing w:after="0"/>
        <w:rPr>
          <w:sz w:val="12"/>
        </w:rPr>
        <w:sectPr>
          <w:headerReference w:type="default" r:id="rId21"/>
          <w:footerReference w:type="default" r:id="rId22"/>
          <w:pgSz w:w="12240" w:h="15840"/>
          <w:pgMar w:header="0" w:footer="667" w:top="0" w:bottom="860" w:left="56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2"/>
        </w:rPr>
      </w:pPr>
    </w:p>
    <w:p>
      <w:pPr>
        <w:pStyle w:val="BodyText"/>
        <w:spacing w:line="20" w:lineRule="exact"/>
        <w:ind w:left="150"/>
        <w:rPr>
          <w:sz w:val="2"/>
        </w:rPr>
      </w:pPr>
      <w:bookmarkStart w:name="_bookmark1" w:id="14"/>
      <w:bookmarkEnd w:id="14"/>
      <w:r>
        <w:rPr/>
      </w:r>
      <w:r>
        <w:rPr>
          <w:sz w:val="2"/>
        </w:rPr>
        <w:pict>
          <v:group style="width:252.5pt;height:1pt;mso-position-horizontal-relative:char;mso-position-vertical-relative:line" id="docshapegroup54" coordorigin="0,0" coordsize="5050,20">
            <v:line style="position:absolute" from="0,10" to="5050,10" stroked="true" strokeweight="1pt" strokecolor="#ce372e">
              <v:stroke dashstyle="solid"/>
            </v:line>
          </v:group>
        </w:pict>
      </w:r>
      <w:r>
        <w:rPr>
          <w:sz w:val="2"/>
        </w:rPr>
      </w:r>
    </w:p>
    <w:p>
      <w:pPr>
        <w:pStyle w:val="BodyText"/>
        <w:rPr>
          <w:sz w:val="20"/>
        </w:rPr>
      </w:pPr>
    </w:p>
    <w:p>
      <w:pPr>
        <w:spacing w:after="0"/>
        <w:rPr>
          <w:sz w:val="20"/>
        </w:rPr>
        <w:sectPr>
          <w:headerReference w:type="default" r:id="rId24"/>
          <w:footerReference w:type="default" r:id="rId25"/>
          <w:pgSz w:w="12240" w:h="15840"/>
          <w:pgMar w:header="0" w:footer="666" w:top="0" w:bottom="860" w:left="560" w:right="0"/>
          <w:pgNumType w:start="1"/>
        </w:sectPr>
      </w:pPr>
    </w:p>
    <w:p>
      <w:pPr>
        <w:pStyle w:val="BodyText"/>
        <w:spacing w:before="10"/>
        <w:rPr>
          <w:sz w:val="19"/>
        </w:rPr>
      </w:pPr>
    </w:p>
    <w:p>
      <w:pPr>
        <w:pStyle w:val="BodyText"/>
        <w:spacing w:line="266" w:lineRule="auto"/>
        <w:ind w:left="150" w:right="32" w:hanging="1"/>
      </w:pPr>
      <w:bookmarkStart w:name="CHAPTER 1 Issue Brief" w:id="15"/>
      <w:bookmarkEnd w:id="15"/>
      <w:r>
        <w:rPr/>
      </w:r>
      <w:bookmarkStart w:name="Biomedical Interventions for HIV Prevent" w:id="16"/>
      <w:bookmarkEnd w:id="16"/>
      <w:r>
        <w:rPr/>
      </w:r>
      <w:r>
        <w:rPr>
          <w:color w:val="231F20"/>
        </w:rPr>
        <w:t>First detected in 1981,</w:t>
      </w:r>
      <w:r>
        <w:rPr>
          <w:color w:val="231F20"/>
          <w:vertAlign w:val="superscript"/>
        </w:rPr>
        <w:t>1</w:t>
      </w:r>
      <w:r>
        <w:rPr>
          <w:color w:val="231F20"/>
          <w:vertAlign w:val="baseline"/>
        </w:rPr>
        <w:t> human immunodeficiency virus</w:t>
      </w:r>
      <w:r>
        <w:rPr>
          <w:color w:val="231F20"/>
          <w:spacing w:val="1"/>
          <w:vertAlign w:val="baseline"/>
        </w:rPr>
        <w:t> </w:t>
      </w:r>
      <w:r>
        <w:rPr>
          <w:color w:val="231F20"/>
          <w:vertAlign w:val="baseline"/>
        </w:rPr>
        <w:t>(HIV) is a retrovirus that infects a type of white blood</w:t>
      </w:r>
      <w:r>
        <w:rPr>
          <w:color w:val="231F20"/>
          <w:spacing w:val="1"/>
          <w:vertAlign w:val="baseline"/>
        </w:rPr>
        <w:t> </w:t>
      </w:r>
      <w:r>
        <w:rPr>
          <w:color w:val="231F20"/>
          <w:vertAlign w:val="baseline"/>
        </w:rPr>
        <w:t>cells called CD4+ T-cells and puts people at increased</w:t>
      </w:r>
      <w:r>
        <w:rPr>
          <w:color w:val="231F20"/>
          <w:spacing w:val="1"/>
          <w:vertAlign w:val="baseline"/>
        </w:rPr>
        <w:t> </w:t>
      </w:r>
      <w:r>
        <w:rPr>
          <w:color w:val="231F20"/>
          <w:vertAlign w:val="baseline"/>
        </w:rPr>
        <w:t>risk for other infections. If left untreated, HIV can lead</w:t>
      </w:r>
      <w:r>
        <w:rPr>
          <w:color w:val="231F20"/>
          <w:spacing w:val="1"/>
          <w:vertAlign w:val="baseline"/>
        </w:rPr>
        <w:t> </w:t>
      </w:r>
      <w:r>
        <w:rPr>
          <w:color w:val="231F20"/>
          <w:vertAlign w:val="baseline"/>
        </w:rPr>
        <w:t>to</w:t>
      </w:r>
      <w:r>
        <w:rPr>
          <w:color w:val="231F20"/>
          <w:spacing w:val="-5"/>
          <w:vertAlign w:val="baseline"/>
        </w:rPr>
        <w:t> </w:t>
      </w:r>
      <w:r>
        <w:rPr>
          <w:color w:val="231F20"/>
          <w:vertAlign w:val="baseline"/>
        </w:rPr>
        <w:t>acquired</w:t>
      </w:r>
      <w:r>
        <w:rPr>
          <w:color w:val="231F20"/>
          <w:spacing w:val="-5"/>
          <w:vertAlign w:val="baseline"/>
        </w:rPr>
        <w:t> </w:t>
      </w:r>
      <w:r>
        <w:rPr>
          <w:color w:val="231F20"/>
          <w:vertAlign w:val="baseline"/>
        </w:rPr>
        <w:t>immunodeficiency</w:t>
      </w:r>
      <w:r>
        <w:rPr>
          <w:color w:val="231F20"/>
          <w:spacing w:val="-4"/>
          <w:vertAlign w:val="baseline"/>
        </w:rPr>
        <w:t> </w:t>
      </w:r>
      <w:r>
        <w:rPr>
          <w:color w:val="231F20"/>
          <w:vertAlign w:val="baseline"/>
        </w:rPr>
        <w:t>syndrome</w:t>
      </w:r>
      <w:r>
        <w:rPr>
          <w:color w:val="231F20"/>
          <w:spacing w:val="-6"/>
          <w:vertAlign w:val="baseline"/>
        </w:rPr>
        <w:t> </w:t>
      </w:r>
      <w:r>
        <w:rPr>
          <w:color w:val="231F20"/>
          <w:vertAlign w:val="baseline"/>
        </w:rPr>
        <w:t>(AIDS),</w:t>
      </w:r>
      <w:r>
        <w:rPr>
          <w:color w:val="231F20"/>
          <w:spacing w:val="-4"/>
          <w:vertAlign w:val="baseline"/>
        </w:rPr>
        <w:t> </w:t>
      </w:r>
      <w:r>
        <w:rPr>
          <w:color w:val="231F20"/>
          <w:vertAlign w:val="baseline"/>
        </w:rPr>
        <w:t>which</w:t>
      </w:r>
      <w:r>
        <w:rPr>
          <w:color w:val="231F20"/>
          <w:spacing w:val="-52"/>
          <w:vertAlign w:val="baseline"/>
        </w:rPr>
        <w:t> </w:t>
      </w:r>
      <w:r>
        <w:rPr>
          <w:color w:val="231F20"/>
          <w:vertAlign w:val="baseline"/>
        </w:rPr>
        <w:t>was</w:t>
      </w:r>
      <w:r>
        <w:rPr>
          <w:color w:val="231F20"/>
          <w:spacing w:val="-2"/>
          <w:vertAlign w:val="baseline"/>
        </w:rPr>
        <w:t> </w:t>
      </w:r>
      <w:r>
        <w:rPr>
          <w:color w:val="231F20"/>
          <w:vertAlign w:val="baseline"/>
        </w:rPr>
        <w:t>once a fatal infection.</w:t>
      </w:r>
    </w:p>
    <w:p>
      <w:pPr>
        <w:pStyle w:val="BodyText"/>
        <w:spacing w:line="266" w:lineRule="auto" w:before="176"/>
        <w:ind w:left="150" w:right="51"/>
      </w:pPr>
      <w:r>
        <w:rPr>
          <w:color w:val="231F20"/>
        </w:rPr>
        <w:t>While there is no cure for HIV, it can be effectively</w:t>
      </w:r>
      <w:r>
        <w:rPr>
          <w:color w:val="231F20"/>
          <w:spacing w:val="1"/>
        </w:rPr>
        <w:t> </w:t>
      </w:r>
      <w:r>
        <w:rPr>
          <w:color w:val="231F20"/>
        </w:rPr>
        <w:t>managed as a chronic illness with antiretroviral therapy</w:t>
      </w:r>
      <w:r>
        <w:rPr>
          <w:color w:val="231F20"/>
          <w:spacing w:val="1"/>
        </w:rPr>
        <w:t> </w:t>
      </w:r>
      <w:r>
        <w:rPr>
          <w:color w:val="231F20"/>
        </w:rPr>
        <w:t>(ART),</w:t>
      </w:r>
      <w:r>
        <w:rPr>
          <w:color w:val="231F20"/>
          <w:spacing w:val="-4"/>
        </w:rPr>
        <w:t> </w:t>
      </w:r>
      <w:r>
        <w:rPr>
          <w:color w:val="231F20"/>
        </w:rPr>
        <w:t>and</w:t>
      </w:r>
      <w:r>
        <w:rPr>
          <w:color w:val="231F20"/>
          <w:spacing w:val="-4"/>
        </w:rPr>
        <w:t> </w:t>
      </w:r>
      <w:r>
        <w:rPr>
          <w:color w:val="231F20"/>
        </w:rPr>
        <w:t>prevented</w:t>
      </w:r>
      <w:r>
        <w:rPr>
          <w:color w:val="231F20"/>
          <w:spacing w:val="-4"/>
        </w:rPr>
        <w:t> </w:t>
      </w:r>
      <w:r>
        <w:rPr>
          <w:color w:val="231F20"/>
        </w:rPr>
        <w:t>through</w:t>
      </w:r>
      <w:r>
        <w:rPr>
          <w:color w:val="231F20"/>
          <w:spacing w:val="-4"/>
        </w:rPr>
        <w:t> </w:t>
      </w:r>
      <w:r>
        <w:rPr>
          <w:color w:val="231F20"/>
        </w:rPr>
        <w:t>harm</w:t>
      </w:r>
      <w:r>
        <w:rPr>
          <w:color w:val="231F20"/>
          <w:spacing w:val="-4"/>
        </w:rPr>
        <w:t> </w:t>
      </w:r>
      <w:r>
        <w:rPr>
          <w:color w:val="231F20"/>
        </w:rPr>
        <w:t>reduction</w:t>
      </w:r>
      <w:r>
        <w:rPr>
          <w:color w:val="231F20"/>
          <w:spacing w:val="-4"/>
        </w:rPr>
        <w:t> </w:t>
      </w:r>
      <w:r>
        <w:rPr>
          <w:color w:val="231F20"/>
        </w:rPr>
        <w:t>strategies</w:t>
      </w:r>
      <w:r>
        <w:rPr>
          <w:color w:val="231F20"/>
          <w:spacing w:val="-52"/>
        </w:rPr>
        <w:t> </w:t>
      </w:r>
      <w:r>
        <w:rPr>
          <w:color w:val="231F20"/>
        </w:rPr>
        <w:t>(e.g., condoms and syringe services programs) and</w:t>
      </w:r>
      <w:r>
        <w:rPr>
          <w:color w:val="231F20"/>
          <w:spacing w:val="1"/>
        </w:rPr>
        <w:t> </w:t>
      </w:r>
      <w:r>
        <w:rPr>
          <w:color w:val="231F20"/>
        </w:rPr>
        <w:t>medical interventions (e.g., pre-exposure prophylaxis</w:t>
      </w:r>
      <w:r>
        <w:rPr>
          <w:color w:val="231F20"/>
          <w:spacing w:val="1"/>
        </w:rPr>
        <w:t> </w:t>
      </w:r>
      <w:r>
        <w:rPr>
          <w:color w:val="231F20"/>
        </w:rPr>
        <w:t>[PrEP] and post-exposure prophylaxis [PEP]).</w:t>
      </w:r>
    </w:p>
    <w:p>
      <w:pPr>
        <w:pStyle w:val="BodyText"/>
        <w:spacing w:line="266" w:lineRule="auto" w:before="175"/>
        <w:ind w:left="150" w:right="329"/>
      </w:pPr>
      <w:r>
        <w:rPr>
          <w:color w:val="231F20"/>
        </w:rPr>
        <w:t>Substantial progress has been made in preventing</w:t>
      </w:r>
      <w:r>
        <w:rPr>
          <w:color w:val="231F20"/>
          <w:spacing w:val="1"/>
        </w:rPr>
        <w:t> </w:t>
      </w:r>
      <w:r>
        <w:rPr>
          <w:color w:val="231F20"/>
        </w:rPr>
        <w:t>HIV</w:t>
      </w:r>
      <w:r>
        <w:rPr>
          <w:color w:val="231F20"/>
          <w:spacing w:val="-11"/>
        </w:rPr>
        <w:t> </w:t>
      </w:r>
      <w:r>
        <w:rPr>
          <w:color w:val="231F20"/>
        </w:rPr>
        <w:t>and</w:t>
      </w:r>
      <w:r>
        <w:rPr>
          <w:color w:val="231F20"/>
          <w:spacing w:val="-8"/>
        </w:rPr>
        <w:t> </w:t>
      </w:r>
      <w:r>
        <w:rPr>
          <w:color w:val="231F20"/>
        </w:rPr>
        <w:t>supporting</w:t>
      </w:r>
      <w:r>
        <w:rPr>
          <w:color w:val="231F20"/>
          <w:spacing w:val="-8"/>
        </w:rPr>
        <w:t> </w:t>
      </w:r>
      <w:r>
        <w:rPr>
          <w:color w:val="231F20"/>
        </w:rPr>
        <w:t>people</w:t>
      </w:r>
      <w:r>
        <w:rPr>
          <w:color w:val="231F20"/>
          <w:spacing w:val="-8"/>
        </w:rPr>
        <w:t> </w:t>
      </w:r>
      <w:r>
        <w:rPr>
          <w:color w:val="231F20"/>
        </w:rPr>
        <w:t>with</w:t>
      </w:r>
      <w:r>
        <w:rPr>
          <w:color w:val="231F20"/>
          <w:spacing w:val="-8"/>
        </w:rPr>
        <w:t> </w:t>
      </w:r>
      <w:r>
        <w:rPr>
          <w:color w:val="231F20"/>
        </w:rPr>
        <w:t>HIV,</w:t>
      </w:r>
      <w:r>
        <w:rPr>
          <w:color w:val="231F20"/>
          <w:spacing w:val="-7"/>
        </w:rPr>
        <w:t> </w:t>
      </w:r>
      <w:r>
        <w:rPr>
          <w:color w:val="231F20"/>
        </w:rPr>
        <w:t>however,</w:t>
      </w:r>
      <w:r>
        <w:rPr>
          <w:color w:val="231F20"/>
          <w:spacing w:val="-8"/>
        </w:rPr>
        <w:t> </w:t>
      </w:r>
      <w:r>
        <w:rPr>
          <w:color w:val="231F20"/>
        </w:rPr>
        <w:t>there</w:t>
      </w:r>
      <w:r>
        <w:rPr>
          <w:color w:val="231F20"/>
          <w:spacing w:val="-52"/>
        </w:rPr>
        <w:t> </w:t>
      </w:r>
      <w:r>
        <w:rPr>
          <w:color w:val="231F20"/>
        </w:rPr>
        <w:t>is still room for improvement in addressing linkage</w:t>
      </w:r>
      <w:r>
        <w:rPr>
          <w:color w:val="231F20"/>
          <w:spacing w:val="1"/>
        </w:rPr>
        <w:t> </w:t>
      </w:r>
      <w:r>
        <w:rPr>
          <w:color w:val="231F20"/>
          <w:spacing w:val="-1"/>
        </w:rPr>
        <w:t>to</w:t>
      </w:r>
      <w:r>
        <w:rPr>
          <w:color w:val="231F20"/>
          <w:spacing w:val="1"/>
        </w:rPr>
        <w:t> </w:t>
      </w:r>
      <w:r>
        <w:rPr>
          <w:color w:val="231F20"/>
          <w:spacing w:val="-1"/>
        </w:rPr>
        <w:t>treatment,</w:t>
      </w:r>
      <w:r>
        <w:rPr>
          <w:color w:val="231F20"/>
          <w:spacing w:val="-12"/>
        </w:rPr>
        <w:t> </w:t>
      </w:r>
      <w:r>
        <w:rPr>
          <w:color w:val="231F20"/>
          <w:spacing w:val="-1"/>
        </w:rPr>
        <w:t>ART</w:t>
      </w:r>
      <w:r>
        <w:rPr>
          <w:color w:val="231F20"/>
          <w:spacing w:val="-3"/>
        </w:rPr>
        <w:t> </w:t>
      </w:r>
      <w:r>
        <w:rPr>
          <w:color w:val="231F20"/>
          <w:spacing w:val="-1"/>
        </w:rPr>
        <w:t>initiation</w:t>
      </w:r>
      <w:r>
        <w:rPr>
          <w:color w:val="231F20"/>
          <w:spacing w:val="1"/>
        </w:rPr>
        <w:t> </w:t>
      </w:r>
      <w:r>
        <w:rPr>
          <w:color w:val="231F20"/>
        </w:rPr>
        <w:t>and</w:t>
      </w:r>
      <w:r>
        <w:rPr>
          <w:color w:val="231F20"/>
          <w:spacing w:val="2"/>
        </w:rPr>
        <w:t> </w:t>
      </w:r>
      <w:r>
        <w:rPr>
          <w:color w:val="231F20"/>
        </w:rPr>
        <w:t>adherence,</w:t>
      </w:r>
      <w:r>
        <w:rPr>
          <w:color w:val="231F20"/>
          <w:spacing w:val="1"/>
        </w:rPr>
        <w:t> </w:t>
      </w:r>
      <w:r>
        <w:rPr>
          <w:color w:val="231F20"/>
        </w:rPr>
        <w:t>and</w:t>
      </w:r>
      <w:r>
        <w:rPr>
          <w:color w:val="231F20"/>
          <w:spacing w:val="1"/>
        </w:rPr>
        <w:t> </w:t>
      </w:r>
      <w:r>
        <w:rPr>
          <w:color w:val="231F20"/>
        </w:rPr>
        <w:t>viral</w:t>
      </w:r>
    </w:p>
    <w:p>
      <w:pPr>
        <w:pStyle w:val="BodyText"/>
        <w:spacing w:line="266" w:lineRule="auto"/>
        <w:ind w:left="150" w:right="106"/>
      </w:pPr>
      <w:r>
        <w:rPr>
          <w:color w:val="231F20"/>
        </w:rPr>
        <w:t>suppression, as well as engagement and retention along</w:t>
      </w:r>
      <w:r>
        <w:rPr>
          <w:color w:val="231F20"/>
          <w:spacing w:val="-53"/>
        </w:rPr>
        <w:t> </w:t>
      </w:r>
      <w:r>
        <w:rPr>
          <w:color w:val="231F20"/>
        </w:rPr>
        <w:t>the</w:t>
      </w:r>
      <w:r>
        <w:rPr>
          <w:color w:val="231F20"/>
          <w:spacing w:val="-1"/>
        </w:rPr>
        <w:t> </w:t>
      </w:r>
      <w:r>
        <w:rPr>
          <w:color w:val="231F20"/>
        </w:rPr>
        <w:t>HIV</w:t>
      </w:r>
      <w:r>
        <w:rPr>
          <w:color w:val="231F20"/>
          <w:spacing w:val="-4"/>
        </w:rPr>
        <w:t> </w:t>
      </w:r>
      <w:r>
        <w:rPr>
          <w:color w:val="231F20"/>
        </w:rPr>
        <w:t>care continuum.</w:t>
      </w:r>
    </w:p>
    <w:p>
      <w:pPr>
        <w:spacing w:line="240" w:lineRule="auto" w:before="10"/>
        <w:rPr>
          <w:sz w:val="19"/>
        </w:rPr>
      </w:pPr>
      <w:r>
        <w:rPr/>
        <w:br w:type="column"/>
      </w:r>
      <w:r>
        <w:rPr>
          <w:sz w:val="19"/>
        </w:rPr>
      </w:r>
    </w:p>
    <w:p>
      <w:pPr>
        <w:pStyle w:val="BodyText"/>
        <w:spacing w:line="266" w:lineRule="auto"/>
        <w:ind w:left="150" w:right="1019"/>
      </w:pPr>
      <w:r>
        <w:rPr>
          <w:color w:val="231F20"/>
        </w:rPr>
        <w:t>Challenges with client engagement across the HIV</w:t>
      </w:r>
      <w:r>
        <w:rPr>
          <w:color w:val="231F20"/>
          <w:spacing w:val="1"/>
        </w:rPr>
        <w:t> </w:t>
      </w:r>
      <w:r>
        <w:rPr>
          <w:color w:val="231F20"/>
        </w:rPr>
        <w:t>care</w:t>
      </w:r>
      <w:r>
        <w:rPr>
          <w:color w:val="231F20"/>
          <w:spacing w:val="-4"/>
        </w:rPr>
        <w:t> </w:t>
      </w:r>
      <w:r>
        <w:rPr>
          <w:color w:val="231F20"/>
        </w:rPr>
        <w:t>continuum</w:t>
      </w:r>
      <w:r>
        <w:rPr>
          <w:color w:val="231F20"/>
          <w:spacing w:val="-3"/>
        </w:rPr>
        <w:t> </w:t>
      </w:r>
      <w:r>
        <w:rPr>
          <w:color w:val="231F20"/>
        </w:rPr>
        <w:t>hinder</w:t>
      </w:r>
      <w:r>
        <w:rPr>
          <w:color w:val="231F20"/>
          <w:spacing w:val="-3"/>
        </w:rPr>
        <w:t> </w:t>
      </w:r>
      <w:r>
        <w:rPr>
          <w:color w:val="231F20"/>
        </w:rPr>
        <w:t>the</w:t>
      </w:r>
      <w:r>
        <w:rPr>
          <w:color w:val="231F20"/>
          <w:spacing w:val="-3"/>
        </w:rPr>
        <w:t> </w:t>
      </w:r>
      <w:r>
        <w:rPr>
          <w:color w:val="231F20"/>
        </w:rPr>
        <w:t>effectiveness</w:t>
      </w:r>
      <w:r>
        <w:rPr>
          <w:color w:val="231F20"/>
          <w:spacing w:val="-3"/>
        </w:rPr>
        <w:t> </w:t>
      </w:r>
      <w:r>
        <w:rPr>
          <w:color w:val="231F20"/>
        </w:rPr>
        <w:t>of</w:t>
      </w:r>
      <w:r>
        <w:rPr>
          <w:color w:val="231F20"/>
          <w:spacing w:val="-3"/>
        </w:rPr>
        <w:t> </w:t>
      </w:r>
      <w:r>
        <w:rPr>
          <w:color w:val="231F20"/>
        </w:rPr>
        <w:t>prevention</w:t>
      </w:r>
      <w:r>
        <w:rPr>
          <w:color w:val="231F20"/>
          <w:spacing w:val="-52"/>
        </w:rPr>
        <w:t> </w:t>
      </w:r>
      <w:r>
        <w:rPr>
          <w:color w:val="231F20"/>
        </w:rPr>
        <w:t>and treatment efforts. These challenges increase the</w:t>
      </w:r>
      <w:r>
        <w:rPr>
          <w:color w:val="231F20"/>
          <w:spacing w:val="1"/>
        </w:rPr>
        <w:t> </w:t>
      </w:r>
      <w:r>
        <w:rPr>
          <w:color w:val="231F20"/>
        </w:rPr>
        <w:t>likelihood of HIV transmission and negative health</w:t>
      </w:r>
      <w:r>
        <w:rPr>
          <w:color w:val="231F20"/>
          <w:spacing w:val="1"/>
        </w:rPr>
        <w:t> </w:t>
      </w:r>
      <w:r>
        <w:rPr>
          <w:color w:val="231F20"/>
        </w:rPr>
        <w:t>outcomes</w:t>
      </w:r>
      <w:r>
        <w:rPr>
          <w:color w:val="231F20"/>
          <w:spacing w:val="-1"/>
        </w:rPr>
        <w:t> </w:t>
      </w:r>
      <w:r>
        <w:rPr>
          <w:color w:val="231F20"/>
        </w:rPr>
        <w:t>for</w:t>
      </w:r>
      <w:r>
        <w:rPr>
          <w:color w:val="231F20"/>
          <w:spacing w:val="-1"/>
        </w:rPr>
        <w:t> </w:t>
      </w:r>
      <w:r>
        <w:rPr>
          <w:color w:val="231F20"/>
        </w:rPr>
        <w:t>people</w:t>
      </w:r>
      <w:r>
        <w:rPr>
          <w:color w:val="231F20"/>
          <w:spacing w:val="-1"/>
        </w:rPr>
        <w:t> </w:t>
      </w:r>
      <w:r>
        <w:rPr>
          <w:color w:val="231F20"/>
        </w:rPr>
        <w:t>with</w:t>
      </w:r>
      <w:r>
        <w:rPr>
          <w:color w:val="231F20"/>
          <w:spacing w:val="-2"/>
        </w:rPr>
        <w:t> </w:t>
      </w:r>
      <w:r>
        <w:rPr>
          <w:color w:val="231F20"/>
        </w:rPr>
        <w:t>HIV.</w:t>
      </w:r>
    </w:p>
    <w:p>
      <w:pPr>
        <w:pStyle w:val="BodyText"/>
        <w:spacing w:line="266" w:lineRule="auto" w:before="177"/>
        <w:ind w:left="150" w:right="810"/>
      </w:pPr>
      <w:r>
        <w:rPr>
          <w:color w:val="010202"/>
        </w:rPr>
        <w:t>Established in 2019, the </w:t>
      </w:r>
      <w:r>
        <w:rPr>
          <w:color w:val="231F20"/>
        </w:rPr>
        <w:t>federal initiative “Ending the</w:t>
      </w:r>
      <w:r>
        <w:rPr>
          <w:color w:val="231F20"/>
          <w:spacing w:val="1"/>
        </w:rPr>
        <w:t> </w:t>
      </w:r>
      <w:r>
        <w:rPr>
          <w:color w:val="231F20"/>
          <w:spacing w:val="-1"/>
        </w:rPr>
        <w:t>HIV Epidemic: A Plan for </w:t>
      </w:r>
      <w:r>
        <w:rPr>
          <w:color w:val="231F20"/>
        </w:rPr>
        <w:t>America” (EHE)</w:t>
      </w:r>
      <w:r>
        <w:rPr>
          <w:color w:val="231F20"/>
          <w:vertAlign w:val="superscript"/>
        </w:rPr>
        <w:t>4</w:t>
      </w:r>
      <w:r>
        <w:rPr>
          <w:color w:val="231F20"/>
          <w:vertAlign w:val="baseline"/>
        </w:rPr>
        <w:t> capitalizes</w:t>
      </w:r>
      <w:r>
        <w:rPr>
          <w:color w:val="231F20"/>
          <w:spacing w:val="-52"/>
          <w:vertAlign w:val="baseline"/>
        </w:rPr>
        <w:t> </w:t>
      </w:r>
      <w:r>
        <w:rPr>
          <w:color w:val="231F20"/>
          <w:vertAlign w:val="baseline"/>
        </w:rPr>
        <w:t>on</w:t>
      </w:r>
      <w:r>
        <w:rPr>
          <w:color w:val="231F20"/>
          <w:spacing w:val="-4"/>
          <w:vertAlign w:val="baseline"/>
        </w:rPr>
        <w:t> </w:t>
      </w:r>
      <w:r>
        <w:rPr>
          <w:color w:val="231F20"/>
          <w:vertAlign w:val="baseline"/>
        </w:rPr>
        <w:t>scientific</w:t>
      </w:r>
      <w:r>
        <w:rPr>
          <w:color w:val="231F20"/>
          <w:spacing w:val="-4"/>
          <w:vertAlign w:val="baseline"/>
        </w:rPr>
        <w:t> </w:t>
      </w:r>
      <w:r>
        <w:rPr>
          <w:color w:val="231F20"/>
          <w:vertAlign w:val="baseline"/>
        </w:rPr>
        <w:t>discoveries</w:t>
      </w:r>
      <w:r>
        <w:rPr>
          <w:color w:val="231F20"/>
          <w:spacing w:val="-4"/>
          <w:vertAlign w:val="baseline"/>
        </w:rPr>
        <w:t> </w:t>
      </w:r>
      <w:r>
        <w:rPr>
          <w:color w:val="231F20"/>
          <w:vertAlign w:val="baseline"/>
        </w:rPr>
        <w:t>and</w:t>
      </w:r>
      <w:r>
        <w:rPr>
          <w:color w:val="231F20"/>
          <w:spacing w:val="-3"/>
          <w:vertAlign w:val="baseline"/>
        </w:rPr>
        <w:t> </w:t>
      </w:r>
      <w:r>
        <w:rPr>
          <w:color w:val="231F20"/>
          <w:vertAlign w:val="baseline"/>
        </w:rPr>
        <w:t>increased</w:t>
      </w:r>
      <w:r>
        <w:rPr>
          <w:color w:val="231F20"/>
          <w:spacing w:val="-3"/>
          <w:vertAlign w:val="baseline"/>
        </w:rPr>
        <w:t> </w:t>
      </w:r>
      <w:r>
        <w:rPr>
          <w:color w:val="231F20"/>
          <w:vertAlign w:val="baseline"/>
        </w:rPr>
        <w:t>public</w:t>
      </w:r>
      <w:r>
        <w:rPr>
          <w:color w:val="231F20"/>
          <w:spacing w:val="-4"/>
          <w:vertAlign w:val="baseline"/>
        </w:rPr>
        <w:t> </w:t>
      </w:r>
      <w:r>
        <w:rPr>
          <w:color w:val="231F20"/>
          <w:vertAlign w:val="baseline"/>
        </w:rPr>
        <w:t>awareness</w:t>
      </w:r>
      <w:r>
        <w:rPr>
          <w:color w:val="231F20"/>
          <w:spacing w:val="-52"/>
          <w:vertAlign w:val="baseline"/>
        </w:rPr>
        <w:t> </w:t>
      </w:r>
      <w:r>
        <w:rPr>
          <w:color w:val="231F20"/>
          <w:spacing w:val="-1"/>
          <w:vertAlign w:val="baseline"/>
        </w:rPr>
        <w:t>to prevent and treat HIV. As of 2020, there </w:t>
      </w:r>
      <w:r>
        <w:rPr>
          <w:color w:val="231F20"/>
          <w:vertAlign w:val="baseline"/>
        </w:rPr>
        <w:t>are 1 million</w:t>
      </w:r>
      <w:r>
        <w:rPr>
          <w:color w:val="231F20"/>
          <w:spacing w:val="-52"/>
          <w:vertAlign w:val="baseline"/>
        </w:rPr>
        <w:t> </w:t>
      </w:r>
      <w:r>
        <w:rPr>
          <w:color w:val="231F20"/>
          <w:vertAlign w:val="baseline"/>
        </w:rPr>
        <w:t>people with HIV in the United States, and an estimated</w:t>
      </w:r>
      <w:r>
        <w:rPr>
          <w:color w:val="231F20"/>
          <w:spacing w:val="1"/>
          <w:vertAlign w:val="baseline"/>
        </w:rPr>
        <w:t> </w:t>
      </w:r>
      <w:r>
        <w:rPr>
          <w:color w:val="231F20"/>
          <w:vertAlign w:val="baseline"/>
        </w:rPr>
        <w:t>38,000 new infections occur each year.</w:t>
      </w:r>
      <w:r>
        <w:rPr>
          <w:color w:val="231F20"/>
          <w:vertAlign w:val="superscript"/>
        </w:rPr>
        <w:t>5</w:t>
      </w:r>
      <w:r>
        <w:rPr>
          <w:color w:val="231F20"/>
          <w:vertAlign w:val="baseline"/>
        </w:rPr>
        <w:t> The goal of the</w:t>
      </w:r>
      <w:r>
        <w:rPr>
          <w:color w:val="231F20"/>
          <w:spacing w:val="-52"/>
          <w:vertAlign w:val="baseline"/>
        </w:rPr>
        <w:t> </w:t>
      </w:r>
      <w:r>
        <w:rPr>
          <w:color w:val="231F20"/>
          <w:vertAlign w:val="baseline"/>
        </w:rPr>
        <w:t>EHE initiative is to reduce new infections by 75 percent</w:t>
      </w:r>
      <w:r>
        <w:rPr>
          <w:color w:val="231F20"/>
          <w:spacing w:val="-52"/>
          <w:vertAlign w:val="baseline"/>
        </w:rPr>
        <w:t> </w:t>
      </w:r>
      <w:r>
        <w:rPr>
          <w:color w:val="231F20"/>
          <w:vertAlign w:val="baseline"/>
        </w:rPr>
        <w:t>by</w:t>
      </w:r>
      <w:r>
        <w:rPr>
          <w:color w:val="231F20"/>
          <w:spacing w:val="-1"/>
          <w:vertAlign w:val="baseline"/>
        </w:rPr>
        <w:t> </w:t>
      </w:r>
      <w:r>
        <w:rPr>
          <w:color w:val="231F20"/>
          <w:vertAlign w:val="baseline"/>
        </w:rPr>
        <w:t>2025 and by 90</w:t>
      </w:r>
      <w:r>
        <w:rPr>
          <w:color w:val="231F20"/>
          <w:spacing w:val="-1"/>
          <w:vertAlign w:val="baseline"/>
        </w:rPr>
        <w:t> </w:t>
      </w:r>
      <w:r>
        <w:rPr>
          <w:color w:val="231F20"/>
          <w:vertAlign w:val="baseline"/>
        </w:rPr>
        <w:t>percent by 2030.</w:t>
      </w:r>
      <w:r>
        <w:rPr>
          <w:color w:val="231F20"/>
          <w:vertAlign w:val="superscript"/>
        </w:rPr>
        <w:t>6</w:t>
      </w:r>
    </w:p>
    <w:p>
      <w:pPr>
        <w:pStyle w:val="BodyText"/>
        <w:spacing w:line="266" w:lineRule="auto" w:before="173"/>
        <w:ind w:left="150" w:right="1091"/>
      </w:pPr>
      <w:r>
        <w:rPr>
          <w:color w:val="231F20"/>
          <w:spacing w:val="-1"/>
        </w:rPr>
        <w:t>The</w:t>
      </w:r>
      <w:r>
        <w:rPr>
          <w:color w:val="231F20"/>
          <w:spacing w:val="-11"/>
        </w:rPr>
        <w:t> </w:t>
      </w:r>
      <w:r>
        <w:rPr>
          <w:color w:val="231F20"/>
          <w:spacing w:val="-1"/>
        </w:rPr>
        <w:t>success</w:t>
      </w:r>
      <w:r>
        <w:rPr>
          <w:color w:val="231F20"/>
          <w:spacing w:val="-12"/>
        </w:rPr>
        <w:t> </w:t>
      </w:r>
      <w:r>
        <w:rPr>
          <w:color w:val="231F20"/>
          <w:spacing w:val="-1"/>
        </w:rPr>
        <w:t>of</w:t>
      </w:r>
      <w:r>
        <w:rPr>
          <w:color w:val="231F20"/>
          <w:spacing w:val="-11"/>
        </w:rPr>
        <w:t> </w:t>
      </w:r>
      <w:r>
        <w:rPr>
          <w:color w:val="231F20"/>
          <w:spacing w:val="-1"/>
        </w:rPr>
        <w:t>the</w:t>
      </w:r>
      <w:r>
        <w:rPr>
          <w:color w:val="231F20"/>
          <w:spacing w:val="-11"/>
        </w:rPr>
        <w:t> </w:t>
      </w:r>
      <w:r>
        <w:rPr>
          <w:color w:val="231F20"/>
          <w:spacing w:val="-1"/>
        </w:rPr>
        <w:t>EHE</w:t>
      </w:r>
      <w:r>
        <w:rPr>
          <w:color w:val="231F20"/>
          <w:spacing w:val="-10"/>
        </w:rPr>
        <w:t> </w:t>
      </w:r>
      <w:r>
        <w:rPr>
          <w:color w:val="231F20"/>
          <w:spacing w:val="-1"/>
        </w:rPr>
        <w:t>initiative</w:t>
      </w:r>
      <w:r>
        <w:rPr>
          <w:color w:val="231F20"/>
          <w:spacing w:val="-11"/>
        </w:rPr>
        <w:t> </w:t>
      </w:r>
      <w:r>
        <w:rPr>
          <w:color w:val="231F20"/>
        </w:rPr>
        <w:t>relies</w:t>
      </w:r>
      <w:r>
        <w:rPr>
          <w:color w:val="231F20"/>
          <w:spacing w:val="-11"/>
        </w:rPr>
        <w:t> </w:t>
      </w:r>
      <w:r>
        <w:rPr>
          <w:color w:val="231F20"/>
        </w:rPr>
        <w:t>on</w:t>
      </w:r>
      <w:r>
        <w:rPr>
          <w:color w:val="231F20"/>
          <w:spacing w:val="-11"/>
        </w:rPr>
        <w:t> </w:t>
      </w:r>
      <w:r>
        <w:rPr>
          <w:color w:val="231F20"/>
        </w:rPr>
        <w:t>identifying</w:t>
      </w:r>
      <w:r>
        <w:rPr>
          <w:color w:val="231F20"/>
          <w:spacing w:val="-52"/>
        </w:rPr>
        <w:t> </w:t>
      </w:r>
      <w:r>
        <w:rPr>
          <w:color w:val="231F20"/>
        </w:rPr>
        <w:t>pathways to increase access to HIV prevention and</w:t>
      </w:r>
      <w:r>
        <w:rPr>
          <w:color w:val="231F20"/>
          <w:spacing w:val="1"/>
        </w:rPr>
        <w:t> </w:t>
      </w:r>
      <w:r>
        <w:rPr>
          <w:color w:val="231F20"/>
        </w:rPr>
        <w:t>treatment</w:t>
      </w:r>
      <w:r>
        <w:rPr>
          <w:color w:val="231F20"/>
          <w:spacing w:val="-8"/>
        </w:rPr>
        <w:t> </w:t>
      </w:r>
      <w:r>
        <w:rPr>
          <w:color w:val="231F20"/>
        </w:rPr>
        <w:t>for</w:t>
      </w:r>
      <w:r>
        <w:rPr>
          <w:color w:val="231F20"/>
          <w:spacing w:val="-7"/>
        </w:rPr>
        <w:t> </w:t>
      </w:r>
      <w:r>
        <w:rPr>
          <w:color w:val="231F20"/>
        </w:rPr>
        <w:t>those</w:t>
      </w:r>
      <w:r>
        <w:rPr>
          <w:color w:val="231F20"/>
          <w:spacing w:val="-8"/>
        </w:rPr>
        <w:t> </w:t>
      </w:r>
      <w:r>
        <w:rPr>
          <w:color w:val="231F20"/>
        </w:rPr>
        <w:t>with</w:t>
      </w:r>
      <w:r>
        <w:rPr>
          <w:color w:val="231F20"/>
          <w:spacing w:val="-8"/>
        </w:rPr>
        <w:t> </w:t>
      </w:r>
      <w:r>
        <w:rPr>
          <w:color w:val="231F20"/>
        </w:rPr>
        <w:t>complex</w:t>
      </w:r>
      <w:r>
        <w:rPr>
          <w:color w:val="231F20"/>
          <w:spacing w:val="-7"/>
        </w:rPr>
        <w:t> </w:t>
      </w:r>
      <w:r>
        <w:rPr>
          <w:color w:val="231F20"/>
        </w:rPr>
        <w:t>needs.</w:t>
      </w:r>
      <w:r>
        <w:rPr>
          <w:color w:val="231F20"/>
          <w:vertAlign w:val="superscript"/>
        </w:rPr>
        <w:t>7-8</w:t>
      </w:r>
    </w:p>
    <w:p>
      <w:pPr>
        <w:spacing w:after="0" w:line="266" w:lineRule="auto"/>
        <w:sectPr>
          <w:type w:val="continuous"/>
          <w:pgSz w:w="12240" w:h="15840"/>
          <w:pgMar w:header="0" w:footer="666" w:top="1500" w:bottom="0" w:left="560" w:right="0"/>
          <w:cols w:num="2" w:equalWidth="0">
            <w:col w:w="5152" w:space="617"/>
            <w:col w:w="5911"/>
          </w:cols>
        </w:sectPr>
      </w:pPr>
    </w:p>
    <w:p>
      <w:pPr>
        <w:pStyle w:val="BodyText"/>
        <w:spacing w:before="10" w:after="1"/>
        <w:rPr>
          <w:sz w:val="17"/>
        </w:rPr>
      </w:pPr>
      <w:r>
        <w:rPr/>
        <w:pict>
          <v:group style="position:absolute;margin-left:0pt;margin-top:0pt;width:612pt;height:279.05pt;mso-position-horizontal-relative:page;mso-position-vertical-relative:page;z-index:-18151936" id="docshapegroup55" coordorigin="0,0" coordsize="12240,5581">
            <v:shape style="position:absolute;left:0;top:0;width:6480;height:394" id="docshape56" coordorigin="0,0" coordsize="6480,394" path="m720,0l0,0,0,394,720,394,720,0xm6480,0l2390,0,2390,394,6480,394,6480,0xe" filled="true" fillcolor="#1d384a" stroked="false">
              <v:path arrowok="t"/>
              <v:fill type="solid"/>
            </v:shape>
            <v:rect style="position:absolute;left:720;top:0;width:1671;height:2225" id="docshape57" filled="true" fillcolor="#cf382d" stroked="false">
              <v:fill type="solid"/>
            </v:rect>
            <v:shape style="position:absolute;left:6480;top:0;width:5760;height:5581" type="#_x0000_t75" id="docshape58" stroked="false">
              <v:imagedata r:id="rId26" o:title=""/>
            </v:shape>
            <v:rect style="position:absolute;left:6480;top:0;width:5760;height:394" id="docshape59" filled="true" fillcolor="#ce372e" stroked="false">
              <v:fill type="solid"/>
            </v:rect>
            <v:shape style="position:absolute;left:1074;top:663;width:947;height:2031" type="#_x0000_t202" id="docshape60" filled="false" stroked="false">
              <v:textbox inset="0,0,0,0">
                <w:txbxContent>
                  <w:p>
                    <w:pPr>
                      <w:spacing w:line="2030" w:lineRule="exact" w:before="1"/>
                      <w:ind w:left="0" w:right="0" w:firstLine="0"/>
                      <w:jc w:val="left"/>
                      <w:rPr>
                        <w:rFonts w:ascii="Arial"/>
                        <w:sz w:val="16"/>
                      </w:rPr>
                    </w:pPr>
                    <w:r>
                      <w:rPr>
                        <w:rFonts w:ascii="Arial Black"/>
                        <w:color w:val="FFFFFF"/>
                        <w:spacing w:val="-911"/>
                        <w:position w:val="-121"/>
                        <w:sz w:val="144"/>
                      </w:rPr>
                      <w:t>1</w:t>
                    </w:r>
                    <w:r>
                      <w:rPr>
                        <w:rFonts w:ascii="Arial"/>
                        <w:color w:val="FFFFFF"/>
                        <w:spacing w:val="15"/>
                        <w:sz w:val="16"/>
                      </w:rPr>
                      <w:t>CHAPTE</w:t>
                    </w:r>
                    <w:r>
                      <w:rPr>
                        <w:rFonts w:ascii="Arial"/>
                        <w:color w:val="FFFFFF"/>
                        <w:sz w:val="16"/>
                      </w:rPr>
                      <w:t>R</w:t>
                    </w:r>
                    <w:r>
                      <w:rPr>
                        <w:rFonts w:ascii="Arial"/>
                        <w:color w:val="FFFFFF"/>
                        <w:spacing w:val="-29"/>
                        <w:sz w:val="16"/>
                      </w:rPr>
                      <w:t> </w:t>
                    </w:r>
                  </w:p>
                </w:txbxContent>
              </v:textbox>
              <w10:wrap type="none"/>
            </v:shape>
            <v:shape style="position:absolute;left:720;top:4746;width:2332;height:565" type="#_x0000_t202" id="docshape61" filled="false" stroked="false">
              <v:textbox inset="0,0,0,0">
                <w:txbxContent>
                  <w:p>
                    <w:pPr>
                      <w:spacing w:before="0"/>
                      <w:ind w:left="0" w:right="0" w:firstLine="0"/>
                      <w:jc w:val="left"/>
                      <w:rPr>
                        <w:rFonts w:ascii="Arial Black"/>
                        <w:sz w:val="40"/>
                      </w:rPr>
                    </w:pPr>
                    <w:r>
                      <w:rPr>
                        <w:rFonts w:ascii="Arial Black"/>
                        <w:color w:val="1C384B"/>
                        <w:spacing w:val="-2"/>
                        <w:sz w:val="40"/>
                      </w:rPr>
                      <w:t>Issue</w:t>
                    </w:r>
                    <w:r>
                      <w:rPr>
                        <w:rFonts w:ascii="Arial Black"/>
                        <w:color w:val="1C384B"/>
                        <w:spacing w:val="-30"/>
                        <w:sz w:val="40"/>
                      </w:rPr>
                      <w:t> </w:t>
                    </w:r>
                    <w:r>
                      <w:rPr>
                        <w:rFonts w:ascii="Arial Black"/>
                        <w:color w:val="1C384B"/>
                        <w:spacing w:val="-1"/>
                        <w:sz w:val="40"/>
                      </w:rPr>
                      <w:t>Brief</w:t>
                    </w:r>
                  </w:p>
                </w:txbxContent>
              </v:textbox>
              <w10:wrap type="none"/>
            </v:shape>
            <w10:wrap type="none"/>
          </v:group>
        </w:pict>
      </w:r>
    </w:p>
    <w:p>
      <w:pPr>
        <w:pStyle w:val="BodyText"/>
        <w:ind w:left="150"/>
        <w:rPr>
          <w:sz w:val="20"/>
        </w:rPr>
      </w:pPr>
      <w:r>
        <w:rPr>
          <w:sz w:val="20"/>
        </w:rPr>
        <w:pict>
          <v:shape style="width:539pt;height:143pt;mso-position-horizontal-relative:char;mso-position-vertical-relative:line" type="#_x0000_t202" id="docshape62" filled="true" fillcolor="#f7e4e6" stroked="true" strokeweight="1pt" strokecolor="#231f20">
            <w10:anchorlock/>
            <v:textbox inset="0,0,0,0">
              <w:txbxContent>
                <w:p>
                  <w:pPr>
                    <w:spacing w:before="35"/>
                    <w:ind w:left="1474" w:right="1474" w:firstLine="0"/>
                    <w:jc w:val="center"/>
                    <w:rPr>
                      <w:rFonts w:ascii="Arial Black"/>
                      <w:color w:val="000000"/>
                      <w:sz w:val="24"/>
                    </w:rPr>
                  </w:pPr>
                  <w:r>
                    <w:rPr>
                      <w:rFonts w:ascii="Arial Black"/>
                      <w:color w:val="CE384B"/>
                      <w:sz w:val="24"/>
                    </w:rPr>
                    <w:t>Biomedical</w:t>
                  </w:r>
                  <w:r>
                    <w:rPr>
                      <w:rFonts w:ascii="Arial Black"/>
                      <w:color w:val="CE384B"/>
                      <w:spacing w:val="-5"/>
                      <w:sz w:val="24"/>
                    </w:rPr>
                    <w:t> </w:t>
                  </w:r>
                  <w:r>
                    <w:rPr>
                      <w:rFonts w:ascii="Arial Black"/>
                      <w:color w:val="CE384B"/>
                      <w:sz w:val="24"/>
                    </w:rPr>
                    <w:t>Interventions</w:t>
                  </w:r>
                  <w:r>
                    <w:rPr>
                      <w:rFonts w:ascii="Arial Black"/>
                      <w:color w:val="CE384B"/>
                      <w:spacing w:val="-5"/>
                      <w:sz w:val="24"/>
                    </w:rPr>
                    <w:t> </w:t>
                  </w:r>
                  <w:r>
                    <w:rPr>
                      <w:rFonts w:ascii="Arial Black"/>
                      <w:color w:val="CE384B"/>
                      <w:sz w:val="24"/>
                    </w:rPr>
                    <w:t>for</w:t>
                  </w:r>
                  <w:r>
                    <w:rPr>
                      <w:rFonts w:ascii="Arial Black"/>
                      <w:color w:val="CE384B"/>
                      <w:spacing w:val="-5"/>
                      <w:sz w:val="24"/>
                    </w:rPr>
                    <w:t> </w:t>
                  </w:r>
                  <w:r>
                    <w:rPr>
                      <w:rFonts w:ascii="Arial Black"/>
                      <w:color w:val="CE384B"/>
                      <w:sz w:val="24"/>
                    </w:rPr>
                    <w:t>HIV</w:t>
                  </w:r>
                  <w:r>
                    <w:rPr>
                      <w:rFonts w:ascii="Arial Black"/>
                      <w:color w:val="CE384B"/>
                      <w:spacing w:val="-5"/>
                      <w:sz w:val="24"/>
                    </w:rPr>
                    <w:t> </w:t>
                  </w:r>
                  <w:r>
                    <w:rPr>
                      <w:rFonts w:ascii="Arial Black"/>
                      <w:color w:val="CE384B"/>
                      <w:sz w:val="24"/>
                    </w:rPr>
                    <w:t>Prevention</w:t>
                  </w:r>
                  <w:r>
                    <w:rPr>
                      <w:rFonts w:ascii="Arial Black"/>
                      <w:color w:val="CE384B"/>
                      <w:spacing w:val="-5"/>
                      <w:sz w:val="24"/>
                    </w:rPr>
                    <w:t> </w:t>
                  </w:r>
                  <w:r>
                    <w:rPr>
                      <w:rFonts w:ascii="Arial Black"/>
                      <w:color w:val="CE384B"/>
                      <w:sz w:val="24"/>
                    </w:rPr>
                    <w:t>and</w:t>
                  </w:r>
                  <w:r>
                    <w:rPr>
                      <w:rFonts w:ascii="Arial Black"/>
                      <w:color w:val="CE384B"/>
                      <w:spacing w:val="-5"/>
                      <w:sz w:val="24"/>
                    </w:rPr>
                    <w:t> </w:t>
                  </w:r>
                  <w:r>
                    <w:rPr>
                      <w:rFonts w:ascii="Arial Black"/>
                      <w:color w:val="CE384B"/>
                      <w:sz w:val="24"/>
                    </w:rPr>
                    <w:t>Treatment</w:t>
                  </w:r>
                </w:p>
                <w:p>
                  <w:pPr>
                    <w:spacing w:line="230" w:lineRule="auto" w:before="88"/>
                    <w:ind w:left="69" w:right="81" w:firstLine="0"/>
                    <w:jc w:val="left"/>
                    <w:rPr>
                      <w:rFonts w:ascii="Arial"/>
                      <w:color w:val="000000"/>
                      <w:sz w:val="12"/>
                    </w:rPr>
                  </w:pPr>
                  <w:r>
                    <w:rPr>
                      <w:rFonts w:ascii="Arial"/>
                      <w:color w:val="231F20"/>
                      <w:sz w:val="21"/>
                    </w:rPr>
                    <w:t>Pre-Exposure Prophylaxis (PrEP) and Post-Exposure Prophylaxis (PEP) are medications that can be taken to</w:t>
                  </w:r>
                  <w:r>
                    <w:rPr>
                      <w:rFonts w:ascii="Arial"/>
                      <w:color w:val="231F20"/>
                      <w:spacing w:val="1"/>
                      <w:sz w:val="21"/>
                    </w:rPr>
                    <w:t> </w:t>
                  </w:r>
                  <w:r>
                    <w:rPr>
                      <w:rFonts w:ascii="Arial"/>
                      <w:color w:val="231F20"/>
                      <w:sz w:val="21"/>
                    </w:rPr>
                    <w:t>prevent</w:t>
                  </w:r>
                  <w:r>
                    <w:rPr>
                      <w:rFonts w:ascii="Arial"/>
                      <w:color w:val="231F20"/>
                      <w:spacing w:val="-3"/>
                      <w:sz w:val="21"/>
                    </w:rPr>
                    <w:t> </w:t>
                  </w:r>
                  <w:r>
                    <w:rPr>
                      <w:rFonts w:ascii="Arial"/>
                      <w:color w:val="231F20"/>
                      <w:sz w:val="21"/>
                    </w:rPr>
                    <w:t>HIV</w:t>
                  </w:r>
                  <w:r>
                    <w:rPr>
                      <w:rFonts w:ascii="Arial"/>
                      <w:color w:val="231F20"/>
                      <w:spacing w:val="-2"/>
                      <w:sz w:val="21"/>
                    </w:rPr>
                    <w:t> </w:t>
                  </w:r>
                  <w:r>
                    <w:rPr>
                      <w:rFonts w:ascii="Arial"/>
                      <w:color w:val="231F20"/>
                      <w:sz w:val="21"/>
                    </w:rPr>
                    <w:t>transmission.</w:t>
                  </w:r>
                  <w:r>
                    <w:rPr>
                      <w:rFonts w:ascii="Arial"/>
                      <w:color w:val="231F20"/>
                      <w:spacing w:val="-2"/>
                      <w:sz w:val="21"/>
                    </w:rPr>
                    <w:t> </w:t>
                  </w:r>
                  <w:r>
                    <w:rPr>
                      <w:rFonts w:ascii="Arial"/>
                      <w:color w:val="231F20"/>
                      <w:sz w:val="21"/>
                    </w:rPr>
                    <w:t>PrEP</w:t>
                  </w:r>
                  <w:r>
                    <w:rPr>
                      <w:rFonts w:ascii="Arial"/>
                      <w:color w:val="231F20"/>
                      <w:spacing w:val="-5"/>
                      <w:sz w:val="21"/>
                    </w:rPr>
                    <w:t> </w:t>
                  </w:r>
                  <w:r>
                    <w:rPr>
                      <w:rFonts w:ascii="Arial"/>
                      <w:color w:val="231F20"/>
                      <w:sz w:val="21"/>
                    </w:rPr>
                    <w:t>has</w:t>
                  </w:r>
                  <w:r>
                    <w:rPr>
                      <w:rFonts w:ascii="Arial"/>
                      <w:color w:val="231F20"/>
                      <w:spacing w:val="-3"/>
                      <w:sz w:val="21"/>
                    </w:rPr>
                    <w:t> </w:t>
                  </w:r>
                  <w:r>
                    <w:rPr>
                      <w:rFonts w:ascii="Arial"/>
                      <w:color w:val="231F20"/>
                      <w:sz w:val="21"/>
                    </w:rPr>
                    <w:t>been</w:t>
                  </w:r>
                  <w:r>
                    <w:rPr>
                      <w:rFonts w:ascii="Arial"/>
                      <w:color w:val="231F20"/>
                      <w:spacing w:val="-2"/>
                      <w:sz w:val="21"/>
                    </w:rPr>
                    <w:t> </w:t>
                  </w:r>
                  <w:r>
                    <w:rPr>
                      <w:rFonts w:ascii="Arial"/>
                      <w:color w:val="231F20"/>
                      <w:sz w:val="21"/>
                    </w:rPr>
                    <w:t>shown</w:t>
                  </w:r>
                  <w:r>
                    <w:rPr>
                      <w:rFonts w:ascii="Arial"/>
                      <w:color w:val="231F20"/>
                      <w:spacing w:val="-1"/>
                      <w:sz w:val="21"/>
                    </w:rPr>
                    <w:t> </w:t>
                  </w:r>
                  <w:r>
                    <w:rPr>
                      <w:rFonts w:ascii="Arial"/>
                      <w:color w:val="231F20"/>
                      <w:sz w:val="21"/>
                    </w:rPr>
                    <w:t>to</w:t>
                  </w:r>
                  <w:r>
                    <w:rPr>
                      <w:rFonts w:ascii="Arial"/>
                      <w:color w:val="231F20"/>
                      <w:spacing w:val="-2"/>
                      <w:sz w:val="21"/>
                    </w:rPr>
                    <w:t> </w:t>
                  </w:r>
                  <w:r>
                    <w:rPr>
                      <w:rFonts w:ascii="Arial"/>
                      <w:color w:val="231F20"/>
                      <w:sz w:val="21"/>
                    </w:rPr>
                    <w:t>reduce</w:t>
                  </w:r>
                  <w:r>
                    <w:rPr>
                      <w:rFonts w:ascii="Arial"/>
                      <w:color w:val="231F20"/>
                      <w:spacing w:val="-1"/>
                      <w:sz w:val="21"/>
                    </w:rPr>
                    <w:t> </w:t>
                  </w:r>
                  <w:r>
                    <w:rPr>
                      <w:rFonts w:ascii="Arial"/>
                      <w:color w:val="231F20"/>
                      <w:sz w:val="21"/>
                    </w:rPr>
                    <w:t>the</w:t>
                  </w:r>
                  <w:r>
                    <w:rPr>
                      <w:rFonts w:ascii="Arial"/>
                      <w:color w:val="231F20"/>
                      <w:spacing w:val="-2"/>
                      <w:sz w:val="21"/>
                    </w:rPr>
                    <w:t> </w:t>
                  </w:r>
                  <w:r>
                    <w:rPr>
                      <w:rFonts w:ascii="Arial"/>
                      <w:color w:val="231F20"/>
                      <w:sz w:val="21"/>
                    </w:rPr>
                    <w:t>risk</w:t>
                  </w:r>
                  <w:r>
                    <w:rPr>
                      <w:rFonts w:ascii="Arial"/>
                      <w:color w:val="231F20"/>
                      <w:spacing w:val="-1"/>
                      <w:sz w:val="21"/>
                    </w:rPr>
                    <w:t> </w:t>
                  </w:r>
                  <w:r>
                    <w:rPr>
                      <w:rFonts w:ascii="Arial"/>
                      <w:color w:val="231F20"/>
                      <w:sz w:val="21"/>
                    </w:rPr>
                    <w:t>of</w:t>
                  </w:r>
                  <w:r>
                    <w:rPr>
                      <w:rFonts w:ascii="Arial"/>
                      <w:color w:val="231F20"/>
                      <w:spacing w:val="-3"/>
                      <w:sz w:val="21"/>
                    </w:rPr>
                    <w:t> </w:t>
                  </w:r>
                  <w:r>
                    <w:rPr>
                      <w:rFonts w:ascii="Arial"/>
                      <w:color w:val="231F20"/>
                      <w:sz w:val="21"/>
                    </w:rPr>
                    <w:t>contracting</w:t>
                  </w:r>
                  <w:r>
                    <w:rPr>
                      <w:rFonts w:ascii="Arial"/>
                      <w:color w:val="231F20"/>
                      <w:spacing w:val="-1"/>
                      <w:sz w:val="21"/>
                    </w:rPr>
                    <w:t> </w:t>
                  </w:r>
                  <w:r>
                    <w:rPr>
                      <w:rFonts w:ascii="Arial"/>
                      <w:color w:val="231F20"/>
                      <w:sz w:val="21"/>
                    </w:rPr>
                    <w:t>HIV</w:t>
                  </w:r>
                  <w:r>
                    <w:rPr>
                      <w:rFonts w:ascii="Arial"/>
                      <w:color w:val="231F20"/>
                      <w:spacing w:val="-2"/>
                      <w:sz w:val="21"/>
                    </w:rPr>
                    <w:t> </w:t>
                  </w:r>
                  <w:r>
                    <w:rPr>
                      <w:rFonts w:ascii="Arial"/>
                      <w:color w:val="231F20"/>
                      <w:sz w:val="21"/>
                    </w:rPr>
                    <w:t>from</w:t>
                  </w:r>
                  <w:r>
                    <w:rPr>
                      <w:rFonts w:ascii="Arial"/>
                      <w:color w:val="231F20"/>
                      <w:spacing w:val="-2"/>
                      <w:sz w:val="21"/>
                    </w:rPr>
                    <w:t> </w:t>
                  </w:r>
                  <w:r>
                    <w:rPr>
                      <w:rFonts w:ascii="Arial"/>
                      <w:color w:val="231F20"/>
                      <w:sz w:val="21"/>
                    </w:rPr>
                    <w:t>sex</w:t>
                  </w:r>
                  <w:r>
                    <w:rPr>
                      <w:rFonts w:ascii="Arial"/>
                      <w:color w:val="231F20"/>
                      <w:spacing w:val="-1"/>
                      <w:sz w:val="21"/>
                    </w:rPr>
                    <w:t> </w:t>
                  </w:r>
                  <w:r>
                    <w:rPr>
                      <w:rFonts w:ascii="Arial"/>
                      <w:color w:val="231F20"/>
                      <w:sz w:val="21"/>
                    </w:rPr>
                    <w:t>by</w:t>
                  </w:r>
                  <w:r>
                    <w:rPr>
                      <w:rFonts w:ascii="Arial"/>
                      <w:color w:val="231F20"/>
                      <w:spacing w:val="-3"/>
                      <w:sz w:val="21"/>
                    </w:rPr>
                    <w:t> </w:t>
                  </w:r>
                  <w:r>
                    <w:rPr>
                      <w:rFonts w:ascii="Arial"/>
                      <w:color w:val="231F20"/>
                      <w:sz w:val="21"/>
                    </w:rPr>
                    <w:t>99</w:t>
                  </w:r>
                  <w:r>
                    <w:rPr>
                      <w:rFonts w:ascii="Arial"/>
                      <w:color w:val="231F20"/>
                      <w:spacing w:val="-2"/>
                      <w:sz w:val="21"/>
                    </w:rPr>
                    <w:t> </w:t>
                  </w:r>
                  <w:r>
                    <w:rPr>
                      <w:rFonts w:ascii="Arial"/>
                      <w:color w:val="231F20"/>
                      <w:sz w:val="21"/>
                    </w:rPr>
                    <w:t>percent,</w:t>
                  </w:r>
                  <w:r>
                    <w:rPr>
                      <w:rFonts w:ascii="Arial"/>
                      <w:color w:val="231F20"/>
                      <w:spacing w:val="-2"/>
                      <w:sz w:val="21"/>
                    </w:rPr>
                    <w:t> </w:t>
                  </w:r>
                  <w:r>
                    <w:rPr>
                      <w:rFonts w:ascii="Arial"/>
                      <w:color w:val="231F20"/>
                      <w:sz w:val="21"/>
                    </w:rPr>
                    <w:t>and</w:t>
                  </w:r>
                  <w:r>
                    <w:rPr>
                      <w:rFonts w:ascii="Arial"/>
                      <w:color w:val="231F20"/>
                      <w:spacing w:val="-56"/>
                      <w:sz w:val="21"/>
                    </w:rPr>
                    <w:t> </w:t>
                  </w:r>
                  <w:r>
                    <w:rPr>
                      <w:rFonts w:ascii="Arial"/>
                      <w:color w:val="231F20"/>
                      <w:sz w:val="21"/>
                    </w:rPr>
                    <w:t>contracting HIV from injection drug use by 74 percent.</w:t>
                  </w:r>
                  <w:r>
                    <w:rPr>
                      <w:rFonts w:ascii="Arial"/>
                      <w:color w:val="231F20"/>
                      <w:position w:val="7"/>
                      <w:sz w:val="12"/>
                    </w:rPr>
                    <w:t>2 </w:t>
                  </w:r>
                  <w:r>
                    <w:rPr>
                      <w:rFonts w:ascii="Arial"/>
                      <w:color w:val="231F20"/>
                      <w:sz w:val="21"/>
                    </w:rPr>
                    <w:t>PEP, when taken within three days of possible exposure to</w:t>
                  </w:r>
                  <w:r>
                    <w:rPr>
                      <w:rFonts w:ascii="Arial"/>
                      <w:color w:val="231F20"/>
                      <w:spacing w:val="-56"/>
                      <w:sz w:val="21"/>
                    </w:rPr>
                    <w:t> </w:t>
                  </w:r>
                  <w:r>
                    <w:rPr>
                      <w:rFonts w:ascii="Arial"/>
                      <w:color w:val="231F20"/>
                      <w:sz w:val="21"/>
                    </w:rPr>
                    <w:t>the</w:t>
                  </w:r>
                  <w:r>
                    <w:rPr>
                      <w:rFonts w:ascii="Arial"/>
                      <w:color w:val="231F20"/>
                      <w:spacing w:val="-1"/>
                      <w:sz w:val="21"/>
                    </w:rPr>
                    <w:t> </w:t>
                  </w:r>
                  <w:r>
                    <w:rPr>
                      <w:rFonts w:ascii="Arial"/>
                      <w:color w:val="231F20"/>
                      <w:sz w:val="21"/>
                    </w:rPr>
                    <w:t>virus, has</w:t>
                  </w:r>
                  <w:r>
                    <w:rPr>
                      <w:rFonts w:ascii="Arial"/>
                      <w:color w:val="231F20"/>
                      <w:spacing w:val="-2"/>
                      <w:sz w:val="21"/>
                    </w:rPr>
                    <w:t> </w:t>
                  </w:r>
                  <w:r>
                    <w:rPr>
                      <w:rFonts w:ascii="Arial"/>
                      <w:color w:val="231F20"/>
                      <w:sz w:val="21"/>
                    </w:rPr>
                    <w:t>been</w:t>
                  </w:r>
                  <w:r>
                    <w:rPr>
                      <w:rFonts w:ascii="Arial"/>
                      <w:color w:val="231F20"/>
                      <w:spacing w:val="-1"/>
                      <w:sz w:val="21"/>
                    </w:rPr>
                    <w:t> </w:t>
                  </w:r>
                  <w:r>
                    <w:rPr>
                      <w:rFonts w:ascii="Arial"/>
                      <w:color w:val="231F20"/>
                      <w:sz w:val="21"/>
                    </w:rPr>
                    <w:t>shown to</w:t>
                  </w:r>
                  <w:r>
                    <w:rPr>
                      <w:rFonts w:ascii="Arial"/>
                      <w:color w:val="231F20"/>
                      <w:spacing w:val="-1"/>
                      <w:sz w:val="21"/>
                    </w:rPr>
                    <w:t> </w:t>
                  </w:r>
                  <w:r>
                    <w:rPr>
                      <w:rFonts w:ascii="Arial"/>
                      <w:color w:val="231F20"/>
                      <w:sz w:val="21"/>
                    </w:rPr>
                    <w:t>lower</w:t>
                  </w:r>
                  <w:r>
                    <w:rPr>
                      <w:rFonts w:ascii="Arial"/>
                      <w:color w:val="231F20"/>
                      <w:spacing w:val="-1"/>
                      <w:sz w:val="21"/>
                    </w:rPr>
                    <w:t> </w:t>
                  </w:r>
                  <w:r>
                    <w:rPr>
                      <w:rFonts w:ascii="Arial"/>
                      <w:color w:val="231F20"/>
                      <w:sz w:val="21"/>
                    </w:rPr>
                    <w:t>chances</w:t>
                  </w:r>
                  <w:r>
                    <w:rPr>
                      <w:rFonts w:ascii="Arial"/>
                      <w:color w:val="231F20"/>
                      <w:spacing w:val="-1"/>
                      <w:sz w:val="21"/>
                    </w:rPr>
                    <w:t> </w:t>
                  </w:r>
                  <w:r>
                    <w:rPr>
                      <w:rFonts w:ascii="Arial"/>
                      <w:color w:val="231F20"/>
                      <w:sz w:val="21"/>
                    </w:rPr>
                    <w:t>of</w:t>
                  </w:r>
                  <w:r>
                    <w:rPr>
                      <w:rFonts w:ascii="Arial"/>
                      <w:color w:val="231F20"/>
                      <w:spacing w:val="-1"/>
                      <w:sz w:val="21"/>
                    </w:rPr>
                    <w:t> </w:t>
                  </w:r>
                  <w:r>
                    <w:rPr>
                      <w:rFonts w:ascii="Arial"/>
                      <w:color w:val="231F20"/>
                      <w:sz w:val="21"/>
                    </w:rPr>
                    <w:t>HIV</w:t>
                  </w:r>
                  <w:r>
                    <w:rPr>
                      <w:rFonts w:ascii="Arial"/>
                      <w:color w:val="231F20"/>
                      <w:spacing w:val="-1"/>
                      <w:sz w:val="21"/>
                    </w:rPr>
                    <w:t> </w:t>
                  </w:r>
                  <w:r>
                    <w:rPr>
                      <w:rFonts w:ascii="Arial"/>
                      <w:color w:val="231F20"/>
                      <w:sz w:val="21"/>
                    </w:rPr>
                    <w:t>transmission</w:t>
                  </w:r>
                  <w:r>
                    <w:rPr>
                      <w:rFonts w:ascii="Arial"/>
                      <w:color w:val="231F20"/>
                      <w:spacing w:val="-1"/>
                      <w:sz w:val="21"/>
                    </w:rPr>
                    <w:t> </w:t>
                  </w:r>
                  <w:r>
                    <w:rPr>
                      <w:rFonts w:ascii="Arial"/>
                      <w:color w:val="231F20"/>
                      <w:sz w:val="21"/>
                    </w:rPr>
                    <w:t>by</w:t>
                  </w:r>
                  <w:r>
                    <w:rPr>
                      <w:rFonts w:ascii="Arial"/>
                      <w:color w:val="231F20"/>
                      <w:spacing w:val="-1"/>
                      <w:sz w:val="21"/>
                    </w:rPr>
                    <w:t> </w:t>
                  </w:r>
                  <w:r>
                    <w:rPr>
                      <w:rFonts w:ascii="Arial"/>
                      <w:color w:val="231F20"/>
                      <w:sz w:val="21"/>
                    </w:rPr>
                    <w:t>more</w:t>
                  </w:r>
                  <w:r>
                    <w:rPr>
                      <w:rFonts w:ascii="Arial"/>
                      <w:color w:val="231F20"/>
                      <w:spacing w:val="-1"/>
                      <w:sz w:val="21"/>
                    </w:rPr>
                    <w:t> </w:t>
                  </w:r>
                  <w:r>
                    <w:rPr>
                      <w:rFonts w:ascii="Arial"/>
                      <w:color w:val="231F20"/>
                      <w:sz w:val="21"/>
                    </w:rPr>
                    <w:t>than 80</w:t>
                  </w:r>
                  <w:r>
                    <w:rPr>
                      <w:rFonts w:ascii="Arial"/>
                      <w:color w:val="231F20"/>
                      <w:spacing w:val="-1"/>
                      <w:sz w:val="21"/>
                    </w:rPr>
                    <w:t> </w:t>
                  </w:r>
                  <w:r>
                    <w:rPr>
                      <w:rFonts w:ascii="Arial"/>
                      <w:color w:val="231F20"/>
                      <w:sz w:val="21"/>
                    </w:rPr>
                    <w:t>percent.</w:t>
                  </w:r>
                  <w:r>
                    <w:rPr>
                      <w:rFonts w:ascii="Arial"/>
                      <w:color w:val="231F20"/>
                      <w:position w:val="7"/>
                      <w:sz w:val="12"/>
                    </w:rPr>
                    <w:t>3</w:t>
                  </w:r>
                </w:p>
                <w:p>
                  <w:pPr>
                    <w:spacing w:line="230" w:lineRule="auto" w:before="116"/>
                    <w:ind w:left="70" w:right="81" w:firstLine="0"/>
                    <w:jc w:val="left"/>
                    <w:rPr>
                      <w:rFonts w:ascii="Arial"/>
                      <w:color w:val="000000"/>
                      <w:sz w:val="21"/>
                    </w:rPr>
                  </w:pPr>
                  <w:r>
                    <w:rPr>
                      <w:rFonts w:ascii="Arial"/>
                      <w:color w:val="231F20"/>
                      <w:spacing w:val="-1"/>
                      <w:sz w:val="21"/>
                    </w:rPr>
                    <w:t>ART</w:t>
                  </w:r>
                  <w:r>
                    <w:rPr>
                      <w:rFonts w:ascii="Arial"/>
                      <w:color w:val="231F20"/>
                      <w:spacing w:val="-7"/>
                      <w:sz w:val="21"/>
                    </w:rPr>
                    <w:t> </w:t>
                  </w:r>
                  <w:r>
                    <w:rPr>
                      <w:rFonts w:ascii="Arial"/>
                      <w:color w:val="231F20"/>
                      <w:sz w:val="21"/>
                    </w:rPr>
                    <w:t>is</w:t>
                  </w:r>
                  <w:r>
                    <w:rPr>
                      <w:rFonts w:ascii="Arial"/>
                      <w:color w:val="231F20"/>
                      <w:spacing w:val="-4"/>
                      <w:sz w:val="21"/>
                    </w:rPr>
                    <w:t> </w:t>
                  </w:r>
                  <w:r>
                    <w:rPr>
                      <w:rFonts w:ascii="Arial"/>
                      <w:color w:val="231F20"/>
                      <w:sz w:val="21"/>
                    </w:rPr>
                    <w:t>a</w:t>
                  </w:r>
                  <w:r>
                    <w:rPr>
                      <w:rFonts w:ascii="Arial"/>
                      <w:color w:val="231F20"/>
                      <w:spacing w:val="-5"/>
                      <w:sz w:val="21"/>
                    </w:rPr>
                    <w:t> </w:t>
                  </w:r>
                  <w:r>
                    <w:rPr>
                      <w:rFonts w:ascii="Arial"/>
                      <w:color w:val="231F20"/>
                      <w:sz w:val="21"/>
                    </w:rPr>
                    <w:t>combination</w:t>
                  </w:r>
                  <w:r>
                    <w:rPr>
                      <w:rFonts w:ascii="Arial"/>
                      <w:color w:val="231F20"/>
                      <w:spacing w:val="-3"/>
                      <w:sz w:val="21"/>
                    </w:rPr>
                    <w:t> </w:t>
                  </w:r>
                  <w:r>
                    <w:rPr>
                      <w:rFonts w:ascii="Arial"/>
                      <w:color w:val="231F20"/>
                      <w:sz w:val="21"/>
                    </w:rPr>
                    <w:t>of</w:t>
                  </w:r>
                  <w:r>
                    <w:rPr>
                      <w:rFonts w:ascii="Arial"/>
                      <w:color w:val="231F20"/>
                      <w:spacing w:val="-4"/>
                      <w:sz w:val="21"/>
                    </w:rPr>
                    <w:t> </w:t>
                  </w:r>
                  <w:r>
                    <w:rPr>
                      <w:rFonts w:ascii="Arial"/>
                      <w:color w:val="231F20"/>
                      <w:sz w:val="21"/>
                    </w:rPr>
                    <w:t>medications</w:t>
                  </w:r>
                  <w:r>
                    <w:rPr>
                      <w:rFonts w:ascii="Arial"/>
                      <w:color w:val="231F20"/>
                      <w:spacing w:val="-3"/>
                      <w:sz w:val="21"/>
                    </w:rPr>
                    <w:t> </w:t>
                  </w:r>
                  <w:r>
                    <w:rPr>
                      <w:rFonts w:ascii="Arial"/>
                      <w:color w:val="231F20"/>
                      <w:sz w:val="21"/>
                    </w:rPr>
                    <w:t>used</w:t>
                  </w:r>
                  <w:r>
                    <w:rPr>
                      <w:rFonts w:ascii="Arial"/>
                      <w:color w:val="231F20"/>
                      <w:spacing w:val="-4"/>
                      <w:sz w:val="21"/>
                    </w:rPr>
                    <w:t> </w:t>
                  </w:r>
                  <w:r>
                    <w:rPr>
                      <w:rFonts w:ascii="Arial"/>
                      <w:color w:val="231F20"/>
                      <w:sz w:val="21"/>
                    </w:rPr>
                    <w:t>to</w:t>
                  </w:r>
                  <w:r>
                    <w:rPr>
                      <w:rFonts w:ascii="Arial"/>
                      <w:color w:val="231F20"/>
                      <w:spacing w:val="-3"/>
                      <w:sz w:val="21"/>
                    </w:rPr>
                    <w:t> </w:t>
                  </w:r>
                  <w:r>
                    <w:rPr>
                      <w:rFonts w:ascii="Arial"/>
                      <w:color w:val="231F20"/>
                      <w:sz w:val="21"/>
                    </w:rPr>
                    <w:t>treat</w:t>
                  </w:r>
                  <w:r>
                    <w:rPr>
                      <w:rFonts w:ascii="Arial"/>
                      <w:color w:val="231F20"/>
                      <w:spacing w:val="-3"/>
                      <w:sz w:val="21"/>
                    </w:rPr>
                    <w:t> </w:t>
                  </w:r>
                  <w:r>
                    <w:rPr>
                      <w:rFonts w:ascii="Arial"/>
                      <w:color w:val="231F20"/>
                      <w:sz w:val="21"/>
                    </w:rPr>
                    <w:t>HIV.</w:t>
                  </w:r>
                  <w:r>
                    <w:rPr>
                      <w:rFonts w:ascii="Arial"/>
                      <w:color w:val="231F20"/>
                      <w:spacing w:val="-15"/>
                      <w:sz w:val="21"/>
                    </w:rPr>
                    <w:t> </w:t>
                  </w:r>
                  <w:r>
                    <w:rPr>
                      <w:rFonts w:ascii="Arial"/>
                      <w:color w:val="231F20"/>
                      <w:sz w:val="21"/>
                    </w:rPr>
                    <w:t>ART</w:t>
                  </w:r>
                  <w:r>
                    <w:rPr>
                      <w:rFonts w:ascii="Arial"/>
                      <w:color w:val="231F20"/>
                      <w:spacing w:val="-7"/>
                      <w:sz w:val="21"/>
                    </w:rPr>
                    <w:t> </w:t>
                  </w:r>
                  <w:r>
                    <w:rPr>
                      <w:rFonts w:ascii="Arial"/>
                      <w:color w:val="231F20"/>
                      <w:sz w:val="21"/>
                    </w:rPr>
                    <w:t>blocks</w:t>
                  </w:r>
                  <w:r>
                    <w:rPr>
                      <w:rFonts w:ascii="Arial"/>
                      <w:color w:val="231F20"/>
                      <w:spacing w:val="-4"/>
                      <w:sz w:val="21"/>
                    </w:rPr>
                    <w:t> </w:t>
                  </w:r>
                  <w:r>
                    <w:rPr>
                      <w:rFonts w:ascii="Arial"/>
                      <w:color w:val="231F20"/>
                      <w:sz w:val="21"/>
                    </w:rPr>
                    <w:t>HIV</w:t>
                  </w:r>
                  <w:r>
                    <w:rPr>
                      <w:rFonts w:ascii="Arial"/>
                      <w:color w:val="231F20"/>
                      <w:spacing w:val="-4"/>
                      <w:sz w:val="21"/>
                    </w:rPr>
                    <w:t> </w:t>
                  </w:r>
                  <w:r>
                    <w:rPr>
                      <w:rFonts w:ascii="Arial"/>
                      <w:color w:val="231F20"/>
                      <w:sz w:val="21"/>
                    </w:rPr>
                    <w:t>replication,</w:t>
                  </w:r>
                  <w:r>
                    <w:rPr>
                      <w:rFonts w:ascii="Arial"/>
                      <w:color w:val="231F20"/>
                      <w:spacing w:val="-3"/>
                      <w:sz w:val="21"/>
                    </w:rPr>
                    <w:t> </w:t>
                  </w:r>
                  <w:r>
                    <w:rPr>
                      <w:rFonts w:ascii="Arial"/>
                      <w:color w:val="231F20"/>
                      <w:sz w:val="21"/>
                    </w:rPr>
                    <w:t>decreasing</w:t>
                  </w:r>
                  <w:r>
                    <w:rPr>
                      <w:rFonts w:ascii="Arial"/>
                      <w:color w:val="231F20"/>
                      <w:spacing w:val="-4"/>
                      <w:sz w:val="21"/>
                    </w:rPr>
                    <w:t> </w:t>
                  </w:r>
                  <w:r>
                    <w:rPr>
                      <w:rFonts w:ascii="Arial"/>
                      <w:color w:val="231F20"/>
                      <w:sz w:val="21"/>
                    </w:rPr>
                    <w:t>the</w:t>
                  </w:r>
                  <w:r>
                    <w:rPr>
                      <w:rFonts w:ascii="Arial"/>
                      <w:color w:val="231F20"/>
                      <w:spacing w:val="-3"/>
                      <w:sz w:val="21"/>
                    </w:rPr>
                    <w:t> </w:t>
                  </w:r>
                  <w:r>
                    <w:rPr>
                      <w:rFonts w:ascii="Arial"/>
                      <w:color w:val="231F20"/>
                      <w:sz w:val="21"/>
                    </w:rPr>
                    <w:t>amount</w:t>
                  </w:r>
                  <w:r>
                    <w:rPr>
                      <w:rFonts w:ascii="Arial"/>
                      <w:color w:val="231F20"/>
                      <w:spacing w:val="-4"/>
                      <w:sz w:val="21"/>
                    </w:rPr>
                    <w:t> </w:t>
                  </w:r>
                  <w:r>
                    <w:rPr>
                      <w:rFonts w:ascii="Arial"/>
                      <w:color w:val="231F20"/>
                      <w:sz w:val="21"/>
                    </w:rPr>
                    <w:t>of</w:t>
                  </w:r>
                  <w:r>
                    <w:rPr>
                      <w:rFonts w:ascii="Arial"/>
                      <w:color w:val="231F20"/>
                      <w:spacing w:val="-4"/>
                      <w:sz w:val="21"/>
                    </w:rPr>
                    <w:t> </w:t>
                  </w:r>
                  <w:r>
                    <w:rPr>
                      <w:rFonts w:ascii="Arial"/>
                      <w:color w:val="231F20"/>
                      <w:sz w:val="21"/>
                    </w:rPr>
                    <w:t>HIV</w:t>
                  </w:r>
                  <w:r>
                    <w:rPr>
                      <w:rFonts w:ascii="Arial"/>
                      <w:color w:val="231F20"/>
                      <w:spacing w:val="-56"/>
                      <w:sz w:val="21"/>
                    </w:rPr>
                    <w:t> </w:t>
                  </w:r>
                  <w:r>
                    <w:rPr>
                      <w:rFonts w:ascii="Arial"/>
                      <w:color w:val="231F20"/>
                      <w:sz w:val="21"/>
                    </w:rPr>
                    <w:t>in blood and bodily fluids. By reducing the HIV viral load (amount of virus) in the body, ART improves the health</w:t>
                  </w:r>
                  <w:r>
                    <w:rPr>
                      <w:rFonts w:ascii="Arial"/>
                      <w:color w:val="231F20"/>
                      <w:spacing w:val="1"/>
                      <w:sz w:val="21"/>
                    </w:rPr>
                    <w:t> </w:t>
                  </w:r>
                  <w:r>
                    <w:rPr>
                      <w:rFonts w:ascii="Arial"/>
                      <w:color w:val="231F20"/>
                      <w:sz w:val="21"/>
                    </w:rPr>
                    <w:t>outcomes of people with HIV; decreases mortality; and, when treatment results in an undetectable viral load,</w:t>
                  </w:r>
                  <w:r>
                    <w:rPr>
                      <w:rFonts w:ascii="Arial"/>
                      <w:color w:val="231F20"/>
                      <w:spacing w:val="1"/>
                      <w:sz w:val="21"/>
                    </w:rPr>
                    <w:t> </w:t>
                  </w:r>
                  <w:r>
                    <w:rPr>
                      <w:rFonts w:ascii="Arial"/>
                      <w:color w:val="231F20"/>
                      <w:sz w:val="21"/>
                    </w:rPr>
                    <w:t>reduces the chance of transmitting the disease to others to zero. The availability of and adherence to ART has</w:t>
                  </w:r>
                  <w:r>
                    <w:rPr>
                      <w:rFonts w:ascii="Arial"/>
                      <w:color w:val="231F20"/>
                      <w:spacing w:val="1"/>
                      <w:sz w:val="21"/>
                    </w:rPr>
                    <w:t> </w:t>
                  </w:r>
                  <w:r>
                    <w:rPr>
                      <w:rFonts w:ascii="Arial"/>
                      <w:color w:val="231F20"/>
                      <w:sz w:val="21"/>
                    </w:rPr>
                    <w:t>changed</w:t>
                  </w:r>
                  <w:r>
                    <w:rPr>
                      <w:rFonts w:ascii="Arial"/>
                      <w:color w:val="231F20"/>
                      <w:spacing w:val="-1"/>
                      <w:sz w:val="21"/>
                    </w:rPr>
                    <w:t> </w:t>
                  </w:r>
                  <w:r>
                    <w:rPr>
                      <w:rFonts w:ascii="Arial"/>
                      <w:color w:val="231F20"/>
                      <w:sz w:val="21"/>
                    </w:rPr>
                    <w:t>HIV</w:t>
                  </w:r>
                  <w:r>
                    <w:rPr>
                      <w:rFonts w:ascii="Arial"/>
                      <w:color w:val="231F20"/>
                      <w:spacing w:val="-1"/>
                      <w:sz w:val="21"/>
                    </w:rPr>
                    <w:t> </w:t>
                  </w:r>
                  <w:r>
                    <w:rPr>
                      <w:rFonts w:ascii="Arial"/>
                      <w:color w:val="231F20"/>
                      <w:sz w:val="21"/>
                    </w:rPr>
                    <w:t>from a</w:t>
                  </w:r>
                  <w:r>
                    <w:rPr>
                      <w:rFonts w:ascii="Arial"/>
                      <w:color w:val="231F20"/>
                      <w:spacing w:val="-1"/>
                      <w:sz w:val="21"/>
                    </w:rPr>
                    <w:t> </w:t>
                  </w:r>
                  <w:r>
                    <w:rPr>
                      <w:rFonts w:ascii="Arial"/>
                      <w:color w:val="231F20"/>
                      <w:sz w:val="21"/>
                    </w:rPr>
                    <w:t>terminal</w:t>
                  </w:r>
                  <w:r>
                    <w:rPr>
                      <w:rFonts w:ascii="Arial"/>
                      <w:color w:val="231F20"/>
                      <w:spacing w:val="-1"/>
                      <w:sz w:val="21"/>
                    </w:rPr>
                    <w:t> </w:t>
                  </w:r>
                  <w:r>
                    <w:rPr>
                      <w:rFonts w:ascii="Arial"/>
                      <w:color w:val="231F20"/>
                      <w:sz w:val="21"/>
                    </w:rPr>
                    <w:t>diagnosis</w:t>
                  </w:r>
                  <w:r>
                    <w:rPr>
                      <w:rFonts w:ascii="Arial"/>
                      <w:color w:val="231F20"/>
                      <w:spacing w:val="-1"/>
                      <w:sz w:val="21"/>
                    </w:rPr>
                    <w:t> </w:t>
                  </w:r>
                  <w:r>
                    <w:rPr>
                      <w:rFonts w:ascii="Arial"/>
                      <w:color w:val="231F20"/>
                      <w:sz w:val="21"/>
                    </w:rPr>
                    <w:t>to a</w:t>
                  </w:r>
                  <w:r>
                    <w:rPr>
                      <w:rFonts w:ascii="Arial"/>
                      <w:color w:val="231F20"/>
                      <w:spacing w:val="-1"/>
                      <w:sz w:val="21"/>
                    </w:rPr>
                    <w:t> </w:t>
                  </w:r>
                  <w:r>
                    <w:rPr>
                      <w:rFonts w:ascii="Arial"/>
                      <w:color w:val="231F20"/>
                      <w:sz w:val="21"/>
                    </w:rPr>
                    <w:t>manageable</w:t>
                  </w:r>
                  <w:r>
                    <w:rPr>
                      <w:rFonts w:ascii="Arial"/>
                      <w:color w:val="231F20"/>
                      <w:spacing w:val="-1"/>
                      <w:sz w:val="21"/>
                    </w:rPr>
                    <w:t> </w:t>
                  </w:r>
                  <w:r>
                    <w:rPr>
                      <w:rFonts w:ascii="Arial"/>
                      <w:color w:val="231F20"/>
                      <w:sz w:val="21"/>
                    </w:rPr>
                    <w:t>chronic disease.</w:t>
                  </w:r>
                </w:p>
              </w:txbxContent>
            </v:textbox>
            <v:fill type="solid"/>
            <v:stroke dashstyle="solid"/>
          </v:shape>
        </w:pict>
      </w:r>
      <w:r>
        <w:rPr>
          <w:sz w:val="20"/>
        </w:rPr>
      </w:r>
    </w:p>
    <w:p>
      <w:pPr>
        <w:spacing w:after="0"/>
        <w:rPr>
          <w:sz w:val="20"/>
        </w:rPr>
        <w:sectPr>
          <w:type w:val="continuous"/>
          <w:pgSz w:w="12240" w:h="15840"/>
          <w:pgMar w:header="0" w:footer="666" w:top="1500" w:bottom="0" w:left="560" w:right="0"/>
        </w:sectPr>
      </w:pPr>
    </w:p>
    <w:p>
      <w:pPr>
        <w:pStyle w:val="BodyText"/>
        <w:rPr>
          <w:sz w:val="20"/>
        </w:rPr>
      </w:pPr>
    </w:p>
    <w:p>
      <w:pPr>
        <w:pStyle w:val="BodyText"/>
        <w:rPr>
          <w:sz w:val="20"/>
        </w:rPr>
      </w:pPr>
    </w:p>
    <w:p>
      <w:pPr>
        <w:pStyle w:val="BodyText"/>
        <w:spacing w:before="10"/>
        <w:rPr>
          <w:sz w:val="20"/>
        </w:rPr>
      </w:pPr>
    </w:p>
    <w:p>
      <w:pPr>
        <w:pStyle w:val="BodyText"/>
        <w:ind w:left="118"/>
        <w:rPr>
          <w:sz w:val="20"/>
        </w:rPr>
      </w:pPr>
      <w:r>
        <w:rPr>
          <w:sz w:val="20"/>
        </w:rPr>
        <w:drawing>
          <wp:inline distT="0" distB="0" distL="0" distR="0">
            <wp:extent cx="6900661" cy="2462783"/>
            <wp:effectExtent l="0" t="0" r="0" b="0"/>
            <wp:docPr id="7" name="image6.jpeg" descr="This graphic is a visual depiction of the HIV care continuum, the series of steps a person with HIV takes from initial diagnosis through sustained treatment and viral suppression. The graphic depicts the five stages in a horizontal row, moving from diagnosed with HIVŽ, linked to careŽ, engaged or retained in careŽ, prescribed antiretroviral therapyŽ, and achieved viral suppressionŽ."/>
            <wp:cNvGraphicFramePr>
              <a:graphicFrameLocks noChangeAspect="1"/>
            </wp:cNvGraphicFramePr>
            <a:graphic>
              <a:graphicData uri="http://schemas.openxmlformats.org/drawingml/2006/picture">
                <pic:pic>
                  <pic:nvPicPr>
                    <pic:cNvPr id="8" name="image6.jpeg"/>
                    <pic:cNvPicPr/>
                  </pic:nvPicPr>
                  <pic:blipFill>
                    <a:blip r:embed="rId29" cstate="print"/>
                    <a:stretch>
                      <a:fillRect/>
                    </a:stretch>
                  </pic:blipFill>
                  <pic:spPr>
                    <a:xfrm>
                      <a:off x="0" y="0"/>
                      <a:ext cx="6900661" cy="2462783"/>
                    </a:xfrm>
                    <a:prstGeom prst="rect">
                      <a:avLst/>
                    </a:prstGeom>
                  </pic:spPr>
                </pic:pic>
              </a:graphicData>
            </a:graphic>
          </wp:inline>
        </w:drawing>
      </w:r>
      <w:r>
        <w:rPr>
          <w:sz w:val="20"/>
        </w:rPr>
      </w:r>
    </w:p>
    <w:p>
      <w:pPr>
        <w:pStyle w:val="BodyText"/>
        <w:rPr>
          <w:sz w:val="20"/>
        </w:rPr>
      </w:pPr>
    </w:p>
    <w:p>
      <w:pPr>
        <w:spacing w:after="0"/>
        <w:rPr>
          <w:sz w:val="20"/>
        </w:rPr>
        <w:sectPr>
          <w:headerReference w:type="default" r:id="rId27"/>
          <w:footerReference w:type="default" r:id="rId28"/>
          <w:pgSz w:w="12240" w:h="15840"/>
          <w:pgMar w:header="0" w:footer="666" w:top="380" w:bottom="860" w:left="560" w:right="0"/>
        </w:sectPr>
      </w:pPr>
    </w:p>
    <w:p>
      <w:pPr>
        <w:pStyle w:val="BodyText"/>
        <w:spacing w:before="9"/>
        <w:rPr>
          <w:sz w:val="15"/>
        </w:rPr>
      </w:pPr>
    </w:p>
    <w:p>
      <w:pPr>
        <w:pStyle w:val="BodyText"/>
        <w:ind w:left="136" w:right="-15"/>
        <w:rPr>
          <w:sz w:val="20"/>
        </w:rPr>
      </w:pPr>
      <w:r>
        <w:rPr>
          <w:sz w:val="20"/>
        </w:rPr>
        <w:drawing>
          <wp:inline distT="0" distB="0" distL="0" distR="0">
            <wp:extent cx="3243071" cy="3535679"/>
            <wp:effectExtent l="0" t="0" r="0" b="0"/>
            <wp:docPr id="9" name="image7.jpeg" descr="This graphic shows two main goals of the Ending the epidemic initiative: a 75 percent reduction in new infections in five years (or by 2025) and a 90 percent reduction in new infections in 10 years (or by 2030)"/>
            <wp:cNvGraphicFramePr>
              <a:graphicFrameLocks noChangeAspect="1"/>
            </wp:cNvGraphicFramePr>
            <a:graphic>
              <a:graphicData uri="http://schemas.openxmlformats.org/drawingml/2006/picture">
                <pic:pic>
                  <pic:nvPicPr>
                    <pic:cNvPr id="10" name="image7.jpeg"/>
                    <pic:cNvPicPr/>
                  </pic:nvPicPr>
                  <pic:blipFill>
                    <a:blip r:embed="rId30" cstate="print"/>
                    <a:stretch>
                      <a:fillRect/>
                    </a:stretch>
                  </pic:blipFill>
                  <pic:spPr>
                    <a:xfrm>
                      <a:off x="0" y="0"/>
                      <a:ext cx="3243071" cy="3535679"/>
                    </a:xfrm>
                    <a:prstGeom prst="rect">
                      <a:avLst/>
                    </a:prstGeom>
                  </pic:spPr>
                </pic:pic>
              </a:graphicData>
            </a:graphic>
          </wp:inline>
        </w:drawing>
      </w:r>
      <w:r>
        <w:rPr>
          <w:sz w:val="20"/>
        </w:rPr>
      </w:r>
    </w:p>
    <w:p>
      <w:pPr>
        <w:pStyle w:val="BodyText"/>
        <w:spacing w:before="3"/>
        <w:rPr>
          <w:sz w:val="25"/>
        </w:rPr>
      </w:pPr>
    </w:p>
    <w:p>
      <w:pPr>
        <w:pStyle w:val="Heading6"/>
      </w:pPr>
      <w:bookmarkStart w:name="HIV Testing" w:id="17"/>
      <w:bookmarkEnd w:id="17"/>
      <w:r>
        <w:rPr>
          <w:b w:val="0"/>
        </w:rPr>
      </w:r>
      <w:r>
        <w:rPr>
          <w:color w:val="CE372D"/>
          <w:spacing w:val="-2"/>
        </w:rPr>
        <w:t>HIV</w:t>
      </w:r>
      <w:r>
        <w:rPr>
          <w:color w:val="CE372D"/>
          <w:spacing w:val="-13"/>
        </w:rPr>
        <w:t> </w:t>
      </w:r>
      <w:r>
        <w:rPr>
          <w:color w:val="CE372D"/>
          <w:spacing w:val="-1"/>
        </w:rPr>
        <w:t>Testing</w:t>
      </w:r>
    </w:p>
    <w:p>
      <w:pPr>
        <w:pStyle w:val="BodyText"/>
        <w:spacing w:line="266" w:lineRule="auto" w:before="118"/>
        <w:ind w:left="159" w:right="196"/>
      </w:pPr>
      <w:r>
        <w:rPr>
          <w:color w:val="231F20"/>
        </w:rPr>
        <w:t>In the United States, about 1 in 7 (14 percent) of the</w:t>
      </w:r>
      <w:r>
        <w:rPr>
          <w:color w:val="231F20"/>
          <w:spacing w:val="1"/>
        </w:rPr>
        <w:t> </w:t>
      </w:r>
      <w:r>
        <w:rPr>
          <w:color w:val="231F20"/>
        </w:rPr>
        <w:t>estimated 1 million people with HIV do not know they</w:t>
      </w:r>
      <w:r>
        <w:rPr>
          <w:color w:val="231F20"/>
          <w:spacing w:val="1"/>
        </w:rPr>
        <w:t> </w:t>
      </w:r>
      <w:r>
        <w:rPr>
          <w:color w:val="231F20"/>
        </w:rPr>
        <w:t>have the disease.</w:t>
      </w:r>
      <w:r>
        <w:rPr>
          <w:color w:val="231F20"/>
          <w:vertAlign w:val="superscript"/>
        </w:rPr>
        <w:t>9</w:t>
      </w:r>
      <w:r>
        <w:rPr>
          <w:color w:val="231F20"/>
          <w:vertAlign w:val="baseline"/>
        </w:rPr>
        <w:t> Testing identifies a person’s HIV</w:t>
      </w:r>
      <w:r>
        <w:rPr>
          <w:color w:val="231F20"/>
          <w:spacing w:val="1"/>
          <w:vertAlign w:val="baseline"/>
        </w:rPr>
        <w:t> </w:t>
      </w:r>
      <w:r>
        <w:rPr>
          <w:color w:val="231F20"/>
          <w:vertAlign w:val="baseline"/>
        </w:rPr>
        <w:t>status and helps to link those who are newly diagnosed</w:t>
      </w:r>
      <w:r>
        <w:rPr>
          <w:color w:val="231F20"/>
          <w:spacing w:val="1"/>
          <w:vertAlign w:val="baseline"/>
        </w:rPr>
        <w:t> </w:t>
      </w:r>
      <w:r>
        <w:rPr>
          <w:color w:val="231F20"/>
          <w:vertAlign w:val="baseline"/>
        </w:rPr>
        <w:t>with HIV to care. Testing also helps to prevent HIV</w:t>
      </w:r>
      <w:r>
        <w:rPr>
          <w:color w:val="231F20"/>
          <w:spacing w:val="1"/>
          <w:vertAlign w:val="baseline"/>
        </w:rPr>
        <w:t> </w:t>
      </w:r>
      <w:r>
        <w:rPr>
          <w:color w:val="231F20"/>
          <w:vertAlign w:val="baseline"/>
        </w:rPr>
        <w:t>transmission and new infections.</w:t>
      </w:r>
      <w:r>
        <w:rPr>
          <w:color w:val="231F20"/>
          <w:vertAlign w:val="superscript"/>
        </w:rPr>
        <w:t>10</w:t>
      </w:r>
      <w:r>
        <w:rPr>
          <w:color w:val="231F20"/>
          <w:vertAlign w:val="baseline"/>
        </w:rPr>
        <w:t> Individuals who are</w:t>
      </w:r>
      <w:r>
        <w:rPr>
          <w:color w:val="231F20"/>
          <w:spacing w:val="1"/>
          <w:vertAlign w:val="baseline"/>
        </w:rPr>
        <w:t> </w:t>
      </w:r>
      <w:r>
        <w:rPr>
          <w:color w:val="231F20"/>
          <w:vertAlign w:val="baseline"/>
        </w:rPr>
        <w:t>undiagnosed or unaware of their HIV infection account</w:t>
      </w:r>
      <w:r>
        <w:rPr>
          <w:color w:val="231F20"/>
          <w:spacing w:val="1"/>
          <w:vertAlign w:val="baseline"/>
        </w:rPr>
        <w:t> </w:t>
      </w:r>
      <w:r>
        <w:rPr>
          <w:color w:val="231F20"/>
          <w:vertAlign w:val="baseline"/>
        </w:rPr>
        <w:t>for an estimated 30 to 40 percent of ongoing HIV</w:t>
      </w:r>
      <w:r>
        <w:rPr>
          <w:color w:val="231F20"/>
          <w:spacing w:val="1"/>
          <w:vertAlign w:val="baseline"/>
        </w:rPr>
        <w:t> </w:t>
      </w:r>
      <w:r>
        <w:rPr>
          <w:color w:val="231F20"/>
          <w:vertAlign w:val="baseline"/>
        </w:rPr>
        <w:t>transmissions.</w:t>
      </w:r>
      <w:r>
        <w:rPr>
          <w:color w:val="231F20"/>
          <w:vertAlign w:val="superscript"/>
        </w:rPr>
        <w:t>11-12</w:t>
      </w:r>
      <w:r>
        <w:rPr>
          <w:color w:val="231F20"/>
          <w:vertAlign w:val="baseline"/>
        </w:rPr>
        <w:t> The U.S. Preventive Services Task</w:t>
      </w:r>
      <w:r>
        <w:rPr>
          <w:color w:val="231F20"/>
          <w:spacing w:val="1"/>
          <w:vertAlign w:val="baseline"/>
        </w:rPr>
        <w:t> </w:t>
      </w:r>
      <w:r>
        <w:rPr>
          <w:color w:val="231F20"/>
          <w:vertAlign w:val="baseline"/>
        </w:rPr>
        <w:t>Force</w:t>
      </w:r>
      <w:r>
        <w:rPr>
          <w:color w:val="231F20"/>
          <w:spacing w:val="-3"/>
          <w:vertAlign w:val="baseline"/>
        </w:rPr>
        <w:t> </w:t>
      </w:r>
      <w:r>
        <w:rPr>
          <w:color w:val="231F20"/>
          <w:vertAlign w:val="baseline"/>
        </w:rPr>
        <w:t>recommends</w:t>
      </w:r>
      <w:r>
        <w:rPr>
          <w:color w:val="231F20"/>
          <w:spacing w:val="-2"/>
          <w:vertAlign w:val="baseline"/>
        </w:rPr>
        <w:t> </w:t>
      </w:r>
      <w:r>
        <w:rPr>
          <w:color w:val="231F20"/>
          <w:vertAlign w:val="baseline"/>
        </w:rPr>
        <w:t>that</w:t>
      </w:r>
      <w:r>
        <w:rPr>
          <w:color w:val="231F20"/>
          <w:spacing w:val="-2"/>
          <w:vertAlign w:val="baseline"/>
        </w:rPr>
        <w:t> </w:t>
      </w:r>
      <w:r>
        <w:rPr>
          <w:color w:val="231F20"/>
          <w:vertAlign w:val="baseline"/>
        </w:rPr>
        <w:t>clinicians</w:t>
      </w:r>
      <w:r>
        <w:rPr>
          <w:color w:val="231F20"/>
          <w:spacing w:val="-2"/>
          <w:vertAlign w:val="baseline"/>
        </w:rPr>
        <w:t> </w:t>
      </w:r>
      <w:r>
        <w:rPr>
          <w:color w:val="231F20"/>
          <w:vertAlign w:val="baseline"/>
        </w:rPr>
        <w:t>conduct</w:t>
      </w:r>
      <w:r>
        <w:rPr>
          <w:color w:val="231F20"/>
          <w:spacing w:val="-2"/>
          <w:vertAlign w:val="baseline"/>
        </w:rPr>
        <w:t> </w:t>
      </w:r>
      <w:r>
        <w:rPr>
          <w:color w:val="231F20"/>
          <w:vertAlign w:val="baseline"/>
        </w:rPr>
        <w:t>screening</w:t>
      </w:r>
      <w:r>
        <w:rPr>
          <w:color w:val="231F20"/>
          <w:spacing w:val="-3"/>
          <w:vertAlign w:val="baseline"/>
        </w:rPr>
        <w:t> </w:t>
      </w:r>
      <w:r>
        <w:rPr>
          <w:color w:val="231F20"/>
          <w:vertAlign w:val="baseline"/>
        </w:rPr>
        <w:t>for</w:t>
      </w:r>
    </w:p>
    <w:p>
      <w:pPr>
        <w:pStyle w:val="BodyText"/>
        <w:spacing w:line="266" w:lineRule="auto" w:before="91"/>
        <w:ind w:left="136" w:right="538"/>
      </w:pPr>
      <w:r>
        <w:rPr/>
        <w:br w:type="column"/>
      </w:r>
      <w:r>
        <w:rPr>
          <w:color w:val="231F20"/>
        </w:rPr>
        <w:t>HIV</w:t>
      </w:r>
      <w:r>
        <w:rPr>
          <w:color w:val="231F20"/>
          <w:spacing w:val="-6"/>
        </w:rPr>
        <w:t> </w:t>
      </w:r>
      <w:r>
        <w:rPr>
          <w:color w:val="231F20"/>
        </w:rPr>
        <w:t>infection</w:t>
      </w:r>
      <w:r>
        <w:rPr>
          <w:color w:val="231F20"/>
          <w:spacing w:val="-2"/>
        </w:rPr>
        <w:t> </w:t>
      </w:r>
      <w:r>
        <w:rPr>
          <w:color w:val="231F20"/>
        </w:rPr>
        <w:t>among</w:t>
      </w:r>
      <w:r>
        <w:rPr>
          <w:color w:val="231F20"/>
          <w:spacing w:val="-2"/>
        </w:rPr>
        <w:t> </w:t>
      </w:r>
      <w:r>
        <w:rPr>
          <w:color w:val="231F20"/>
        </w:rPr>
        <w:t>individuals</w:t>
      </w:r>
      <w:r>
        <w:rPr>
          <w:color w:val="231F20"/>
          <w:spacing w:val="-1"/>
        </w:rPr>
        <w:t> </w:t>
      </w:r>
      <w:r>
        <w:rPr>
          <w:color w:val="231F20"/>
        </w:rPr>
        <w:t>aged</w:t>
      </w:r>
      <w:r>
        <w:rPr>
          <w:color w:val="231F20"/>
          <w:spacing w:val="-2"/>
        </w:rPr>
        <w:t> </w:t>
      </w:r>
      <w:r>
        <w:rPr>
          <w:color w:val="231F20"/>
        </w:rPr>
        <w:t>15</w:t>
      </w:r>
      <w:r>
        <w:rPr>
          <w:color w:val="231F20"/>
          <w:spacing w:val="-2"/>
        </w:rPr>
        <w:t> </w:t>
      </w:r>
      <w:r>
        <w:rPr>
          <w:color w:val="231F20"/>
        </w:rPr>
        <w:t>to</w:t>
      </w:r>
      <w:r>
        <w:rPr>
          <w:color w:val="231F20"/>
          <w:spacing w:val="-2"/>
        </w:rPr>
        <w:t> </w:t>
      </w:r>
      <w:r>
        <w:rPr>
          <w:color w:val="231F20"/>
        </w:rPr>
        <w:t>65,</w:t>
      </w:r>
      <w:r>
        <w:rPr>
          <w:color w:val="231F20"/>
          <w:spacing w:val="-2"/>
        </w:rPr>
        <w:t> </w:t>
      </w:r>
      <w:r>
        <w:rPr>
          <w:color w:val="231F20"/>
        </w:rPr>
        <w:t>younger</w:t>
      </w:r>
      <w:r>
        <w:rPr>
          <w:color w:val="231F20"/>
          <w:spacing w:val="-52"/>
        </w:rPr>
        <w:t> </w:t>
      </w:r>
      <w:r>
        <w:rPr>
          <w:color w:val="231F20"/>
        </w:rPr>
        <w:t>adolescents and older adults at increased risk, and all</w:t>
      </w:r>
      <w:r>
        <w:rPr>
          <w:color w:val="231F20"/>
          <w:spacing w:val="1"/>
        </w:rPr>
        <w:t> </w:t>
      </w:r>
      <w:r>
        <w:rPr>
          <w:color w:val="231F20"/>
        </w:rPr>
        <w:t>pregnant women, giving the recommendation an “A”</w:t>
      </w:r>
      <w:r>
        <w:rPr>
          <w:color w:val="231F20"/>
          <w:spacing w:val="1"/>
        </w:rPr>
        <w:t> </w:t>
      </w:r>
      <w:r>
        <w:rPr>
          <w:color w:val="231F20"/>
        </w:rPr>
        <w:t>rating, requiring HIV testing be provided free by health</w:t>
      </w:r>
      <w:r>
        <w:rPr>
          <w:color w:val="231F20"/>
          <w:spacing w:val="1"/>
        </w:rPr>
        <w:t> </w:t>
      </w:r>
      <w:r>
        <w:rPr>
          <w:color w:val="231F20"/>
        </w:rPr>
        <w:t>insurance</w:t>
      </w:r>
      <w:r>
        <w:rPr>
          <w:color w:val="231F20"/>
          <w:spacing w:val="-1"/>
        </w:rPr>
        <w:t> </w:t>
      </w:r>
      <w:r>
        <w:rPr>
          <w:color w:val="231F20"/>
        </w:rPr>
        <w:t>companies.</w:t>
      </w:r>
      <w:r>
        <w:rPr>
          <w:color w:val="231F20"/>
          <w:vertAlign w:val="superscript"/>
        </w:rPr>
        <w:t>13-15</w:t>
      </w:r>
    </w:p>
    <w:p>
      <w:pPr>
        <w:pStyle w:val="BodyText"/>
        <w:spacing w:line="266" w:lineRule="auto" w:before="176"/>
        <w:ind w:left="136" w:right="858"/>
      </w:pPr>
      <w:r>
        <w:rPr>
          <w:color w:val="010202"/>
        </w:rPr>
        <w:t>The EHE initiative recommends the following steps to</w:t>
      </w:r>
      <w:r>
        <w:rPr>
          <w:color w:val="010202"/>
          <w:spacing w:val="1"/>
        </w:rPr>
        <w:t> </w:t>
      </w:r>
      <w:r>
        <w:rPr>
          <w:color w:val="010202"/>
        </w:rPr>
        <w:t>increase the number of undiagnosed people with HIV</w:t>
      </w:r>
      <w:r>
        <w:rPr>
          <w:color w:val="010202"/>
          <w:spacing w:val="1"/>
        </w:rPr>
        <w:t> </w:t>
      </w:r>
      <w:r>
        <w:rPr>
          <w:color w:val="010202"/>
        </w:rPr>
        <w:t>who receive an HIV test, are diagnosed, and receive</w:t>
      </w:r>
      <w:r>
        <w:rPr>
          <w:color w:val="010202"/>
          <w:spacing w:val="1"/>
        </w:rPr>
        <w:t> </w:t>
      </w:r>
      <w:r>
        <w:rPr>
          <w:color w:val="010202"/>
        </w:rPr>
        <w:t>treatment: 1) make HIV testing simple, accessible, and</w:t>
      </w:r>
      <w:r>
        <w:rPr>
          <w:color w:val="010202"/>
          <w:spacing w:val="1"/>
        </w:rPr>
        <w:t> </w:t>
      </w:r>
      <w:r>
        <w:rPr>
          <w:color w:val="010202"/>
        </w:rPr>
        <w:t>routine in healthcare and non-healthcare settings using</w:t>
      </w:r>
      <w:r>
        <w:rPr>
          <w:color w:val="010202"/>
          <w:spacing w:val="1"/>
        </w:rPr>
        <w:t> </w:t>
      </w:r>
      <w:r>
        <w:rPr>
          <w:color w:val="010202"/>
        </w:rPr>
        <w:t>innovative technology, systems, and programs; and 2)</w:t>
      </w:r>
      <w:r>
        <w:rPr>
          <w:color w:val="010202"/>
          <w:spacing w:val="1"/>
        </w:rPr>
        <w:t> </w:t>
      </w:r>
      <w:r>
        <w:rPr>
          <w:color w:val="010202"/>
        </w:rPr>
        <w:t>conduct focused work to increase annual testing among</w:t>
      </w:r>
      <w:r>
        <w:rPr>
          <w:color w:val="010202"/>
          <w:spacing w:val="-52"/>
        </w:rPr>
        <w:t> </w:t>
      </w:r>
      <w:r>
        <w:rPr>
          <w:color w:val="010202"/>
        </w:rPr>
        <w:t>people who are at substantial risk for HIV. HIV testing</w:t>
      </w:r>
      <w:r>
        <w:rPr>
          <w:color w:val="010202"/>
          <w:spacing w:val="-52"/>
        </w:rPr>
        <w:t> </w:t>
      </w:r>
      <w:r>
        <w:rPr>
          <w:color w:val="010202"/>
        </w:rPr>
        <w:t>can be conducted in a range of clinical settings or at</w:t>
      </w:r>
      <w:r>
        <w:rPr>
          <w:color w:val="010202"/>
          <w:spacing w:val="1"/>
        </w:rPr>
        <w:t> </w:t>
      </w:r>
      <w:r>
        <w:rPr>
          <w:color w:val="010202"/>
        </w:rPr>
        <w:t>home</w:t>
      </w:r>
      <w:r>
        <w:rPr>
          <w:color w:val="010202"/>
          <w:spacing w:val="-3"/>
        </w:rPr>
        <w:t> </w:t>
      </w:r>
      <w:r>
        <w:rPr>
          <w:color w:val="010202"/>
        </w:rPr>
        <w:t>(through</w:t>
      </w:r>
      <w:r>
        <w:rPr>
          <w:color w:val="010202"/>
          <w:spacing w:val="-2"/>
        </w:rPr>
        <w:t> </w:t>
      </w:r>
      <w:r>
        <w:rPr>
          <w:color w:val="010202"/>
        </w:rPr>
        <w:t>rapid</w:t>
      </w:r>
      <w:r>
        <w:rPr>
          <w:color w:val="010202"/>
          <w:spacing w:val="-2"/>
        </w:rPr>
        <w:t> </w:t>
      </w:r>
      <w:r>
        <w:rPr>
          <w:color w:val="010202"/>
        </w:rPr>
        <w:t>or</w:t>
      </w:r>
      <w:r>
        <w:rPr>
          <w:color w:val="010202"/>
          <w:spacing w:val="-2"/>
        </w:rPr>
        <w:t> </w:t>
      </w:r>
      <w:r>
        <w:rPr>
          <w:color w:val="010202"/>
        </w:rPr>
        <w:t>mail-in</w:t>
      </w:r>
      <w:r>
        <w:rPr>
          <w:color w:val="010202"/>
          <w:spacing w:val="-2"/>
        </w:rPr>
        <w:t> </w:t>
      </w:r>
      <w:r>
        <w:rPr>
          <w:color w:val="010202"/>
        </w:rPr>
        <w:t>self-tests).</w:t>
      </w:r>
      <w:r>
        <w:rPr>
          <w:color w:val="010202"/>
          <w:vertAlign w:val="superscript"/>
        </w:rPr>
        <w:t>16-17</w:t>
      </w:r>
    </w:p>
    <w:p>
      <w:pPr>
        <w:pStyle w:val="BodyText"/>
        <w:spacing w:line="266" w:lineRule="auto" w:before="172"/>
        <w:ind w:left="135" w:right="790"/>
      </w:pPr>
      <w:r>
        <w:rPr>
          <w:color w:val="231F20"/>
        </w:rPr>
        <w:t>Behavioral health providers play an essential role in</w:t>
      </w:r>
      <w:r>
        <w:rPr>
          <w:color w:val="231F20"/>
          <w:spacing w:val="1"/>
        </w:rPr>
        <w:t> </w:t>
      </w:r>
      <w:r>
        <w:rPr>
          <w:color w:val="231F20"/>
        </w:rPr>
        <w:t>providing integrated HIV, viral hepatitis, mental health,</w:t>
      </w:r>
      <w:r>
        <w:rPr>
          <w:color w:val="231F20"/>
          <w:spacing w:val="1"/>
        </w:rPr>
        <w:t> </w:t>
      </w:r>
      <w:r>
        <w:rPr>
          <w:color w:val="231F20"/>
        </w:rPr>
        <w:t>and</w:t>
      </w:r>
      <w:r>
        <w:rPr>
          <w:color w:val="231F20"/>
          <w:spacing w:val="7"/>
        </w:rPr>
        <w:t> </w:t>
      </w:r>
      <w:r>
        <w:rPr>
          <w:color w:val="231F20"/>
        </w:rPr>
        <w:t>substance</w:t>
      </w:r>
      <w:r>
        <w:rPr>
          <w:color w:val="231F20"/>
          <w:spacing w:val="6"/>
        </w:rPr>
        <w:t> </w:t>
      </w:r>
      <w:r>
        <w:rPr>
          <w:color w:val="231F20"/>
        </w:rPr>
        <w:t>use</w:t>
      </w:r>
      <w:r>
        <w:rPr>
          <w:color w:val="231F20"/>
          <w:spacing w:val="7"/>
        </w:rPr>
        <w:t> </w:t>
      </w:r>
      <w:r>
        <w:rPr>
          <w:color w:val="231F20"/>
        </w:rPr>
        <w:t>screenings</w:t>
      </w:r>
      <w:r>
        <w:rPr>
          <w:color w:val="231F20"/>
          <w:spacing w:val="6"/>
        </w:rPr>
        <w:t> </w:t>
      </w:r>
      <w:r>
        <w:rPr>
          <w:color w:val="231F20"/>
        </w:rPr>
        <w:t>within</w:t>
      </w:r>
      <w:r>
        <w:rPr>
          <w:color w:val="231F20"/>
          <w:spacing w:val="6"/>
        </w:rPr>
        <w:t> </w:t>
      </w:r>
      <w:r>
        <w:rPr>
          <w:color w:val="231F20"/>
        </w:rPr>
        <w:t>the</w:t>
      </w:r>
      <w:r>
        <w:rPr>
          <w:color w:val="231F20"/>
          <w:spacing w:val="7"/>
        </w:rPr>
        <w:t> </w:t>
      </w:r>
      <w:r>
        <w:rPr>
          <w:color w:val="231F20"/>
        </w:rPr>
        <w:t>clinic</w:t>
      </w:r>
      <w:r>
        <w:rPr>
          <w:color w:val="231F20"/>
          <w:spacing w:val="7"/>
        </w:rPr>
        <w:t> </w:t>
      </w:r>
      <w:r>
        <w:rPr>
          <w:color w:val="231F20"/>
        </w:rPr>
        <w:t>setting.</w:t>
      </w:r>
      <w:r>
        <w:rPr>
          <w:color w:val="231F20"/>
          <w:spacing w:val="1"/>
        </w:rPr>
        <w:t> </w:t>
      </w:r>
      <w:r>
        <w:rPr>
          <w:color w:val="231F20"/>
        </w:rPr>
        <w:t>In a 2019 “Dear Colleague Letter,” SAMHSA called on</w:t>
      </w:r>
      <w:r>
        <w:rPr>
          <w:color w:val="231F20"/>
          <w:spacing w:val="-52"/>
        </w:rPr>
        <w:t> </w:t>
      </w:r>
      <w:r>
        <w:rPr>
          <w:color w:val="231F20"/>
        </w:rPr>
        <w:t>mental health and substance use providers to increase</w:t>
      </w:r>
      <w:r>
        <w:rPr>
          <w:color w:val="231F20"/>
          <w:spacing w:val="1"/>
        </w:rPr>
        <w:t> </w:t>
      </w:r>
      <w:r>
        <w:rPr>
          <w:color w:val="231F20"/>
        </w:rPr>
        <w:t>on-site, same-day oral fluid HIV testing efforts and</w:t>
      </w:r>
      <w:r>
        <w:rPr>
          <w:color w:val="231F20"/>
          <w:spacing w:val="1"/>
        </w:rPr>
        <w:t> </w:t>
      </w:r>
      <w:r>
        <w:rPr>
          <w:color w:val="231F20"/>
        </w:rPr>
        <w:t>include HIV testing as part of the standard of care.</w:t>
      </w:r>
      <w:r>
        <w:rPr>
          <w:color w:val="231F20"/>
          <w:vertAlign w:val="superscript"/>
        </w:rPr>
        <w:t>19</w:t>
      </w:r>
      <w:r>
        <w:rPr>
          <w:color w:val="231F20"/>
          <w:spacing w:val="1"/>
          <w:vertAlign w:val="baseline"/>
        </w:rPr>
        <w:t> </w:t>
      </w:r>
      <w:r>
        <w:rPr>
          <w:color w:val="231F20"/>
          <w:vertAlign w:val="baseline"/>
        </w:rPr>
        <w:t>Oral fluid testing can be self-administered and provides</w:t>
      </w:r>
      <w:r>
        <w:rPr>
          <w:color w:val="231F20"/>
          <w:spacing w:val="1"/>
          <w:vertAlign w:val="baseline"/>
        </w:rPr>
        <w:t> </w:t>
      </w:r>
      <w:r>
        <w:rPr>
          <w:color w:val="231F20"/>
          <w:vertAlign w:val="baseline"/>
        </w:rPr>
        <w:t>results within 20 minutes.</w:t>
      </w:r>
      <w:r>
        <w:rPr>
          <w:color w:val="231F20"/>
          <w:vertAlign w:val="superscript"/>
        </w:rPr>
        <w:t>20</w:t>
      </w:r>
      <w:r>
        <w:rPr>
          <w:color w:val="231F20"/>
          <w:vertAlign w:val="baseline"/>
        </w:rPr>
        <w:t> Settings that provide</w:t>
      </w:r>
      <w:r>
        <w:rPr>
          <w:color w:val="231F20"/>
          <w:spacing w:val="1"/>
          <w:vertAlign w:val="baseline"/>
        </w:rPr>
        <w:t> </w:t>
      </w:r>
      <w:r>
        <w:rPr>
          <w:color w:val="231F20"/>
          <w:vertAlign w:val="baseline"/>
        </w:rPr>
        <w:t>screening</w:t>
      </w:r>
      <w:r>
        <w:rPr>
          <w:color w:val="231F20"/>
          <w:spacing w:val="2"/>
          <w:vertAlign w:val="baseline"/>
        </w:rPr>
        <w:t> </w:t>
      </w:r>
      <w:r>
        <w:rPr>
          <w:color w:val="231F20"/>
          <w:vertAlign w:val="baseline"/>
        </w:rPr>
        <w:t>for</w:t>
      </w:r>
      <w:r>
        <w:rPr>
          <w:color w:val="231F20"/>
          <w:spacing w:val="4"/>
          <w:vertAlign w:val="baseline"/>
        </w:rPr>
        <w:t> </w:t>
      </w:r>
      <w:r>
        <w:rPr>
          <w:color w:val="231F20"/>
          <w:vertAlign w:val="baseline"/>
        </w:rPr>
        <w:t>many</w:t>
      </w:r>
      <w:r>
        <w:rPr>
          <w:color w:val="231F20"/>
          <w:spacing w:val="3"/>
          <w:vertAlign w:val="baseline"/>
        </w:rPr>
        <w:t> </w:t>
      </w:r>
      <w:r>
        <w:rPr>
          <w:color w:val="231F20"/>
          <w:vertAlign w:val="baseline"/>
        </w:rPr>
        <w:t>common</w:t>
      </w:r>
      <w:r>
        <w:rPr>
          <w:color w:val="231F20"/>
          <w:spacing w:val="4"/>
          <w:vertAlign w:val="baseline"/>
        </w:rPr>
        <w:t> </w:t>
      </w:r>
      <w:r>
        <w:rPr>
          <w:color w:val="231F20"/>
          <w:vertAlign w:val="baseline"/>
        </w:rPr>
        <w:t>co-occurring</w:t>
      </w:r>
      <w:r>
        <w:rPr>
          <w:color w:val="231F20"/>
          <w:spacing w:val="3"/>
          <w:vertAlign w:val="baseline"/>
        </w:rPr>
        <w:t> </w:t>
      </w:r>
      <w:r>
        <w:rPr>
          <w:color w:val="231F20"/>
          <w:vertAlign w:val="baseline"/>
        </w:rPr>
        <w:t>illnesses</w:t>
      </w:r>
      <w:r>
        <w:rPr>
          <w:color w:val="231F20"/>
          <w:spacing w:val="1"/>
          <w:vertAlign w:val="baseline"/>
        </w:rPr>
        <w:t> </w:t>
      </w:r>
      <w:r>
        <w:rPr>
          <w:color w:val="231F20"/>
          <w:vertAlign w:val="baseline"/>
        </w:rPr>
        <w:t>often include testing for viral hepatitis to address both</w:t>
      </w:r>
      <w:r>
        <w:rPr>
          <w:color w:val="231F20"/>
          <w:spacing w:val="1"/>
          <w:vertAlign w:val="baseline"/>
        </w:rPr>
        <w:t> </w:t>
      </w:r>
      <w:r>
        <w:rPr>
          <w:color w:val="231F20"/>
          <w:vertAlign w:val="baseline"/>
        </w:rPr>
        <w:t>hepatitis prevention and potentially serious co-occurring</w:t>
      </w:r>
      <w:r>
        <w:rPr>
          <w:color w:val="231F20"/>
          <w:spacing w:val="-52"/>
          <w:vertAlign w:val="baseline"/>
        </w:rPr>
        <w:t> </w:t>
      </w:r>
      <w:r>
        <w:rPr>
          <w:color w:val="231F20"/>
          <w:vertAlign w:val="baseline"/>
        </w:rPr>
        <w:t>HIV</w:t>
      </w:r>
      <w:r>
        <w:rPr>
          <w:color w:val="231F20"/>
          <w:spacing w:val="-5"/>
          <w:vertAlign w:val="baseline"/>
        </w:rPr>
        <w:t> </w:t>
      </w:r>
      <w:r>
        <w:rPr>
          <w:color w:val="231F20"/>
          <w:vertAlign w:val="baseline"/>
        </w:rPr>
        <w:t>and viral</w:t>
      </w:r>
      <w:r>
        <w:rPr>
          <w:color w:val="231F20"/>
          <w:spacing w:val="-1"/>
          <w:vertAlign w:val="baseline"/>
        </w:rPr>
        <w:t> </w:t>
      </w:r>
      <w:r>
        <w:rPr>
          <w:color w:val="231F20"/>
          <w:vertAlign w:val="baseline"/>
        </w:rPr>
        <w:t>hepatitis infections.</w:t>
      </w:r>
      <w:r>
        <w:rPr>
          <w:color w:val="231F20"/>
          <w:vertAlign w:val="superscript"/>
        </w:rPr>
        <w:t>21</w:t>
      </w:r>
    </w:p>
    <w:p>
      <w:pPr>
        <w:pStyle w:val="BodyText"/>
        <w:spacing w:line="266" w:lineRule="auto" w:before="169"/>
        <w:ind w:left="136" w:right="931"/>
      </w:pPr>
      <w:r>
        <w:rPr>
          <w:color w:val="010202"/>
        </w:rPr>
        <w:t>People with any mental illness diagnoses or symptoms</w:t>
      </w:r>
      <w:r>
        <w:rPr>
          <w:color w:val="010202"/>
          <w:spacing w:val="-53"/>
        </w:rPr>
        <w:t> </w:t>
      </w:r>
      <w:r>
        <w:rPr>
          <w:color w:val="010202"/>
        </w:rPr>
        <w:t>were more likely to report being tested for HIV than</w:t>
      </w:r>
      <w:r>
        <w:rPr>
          <w:color w:val="010202"/>
          <w:spacing w:val="1"/>
        </w:rPr>
        <w:t> </w:t>
      </w:r>
      <w:r>
        <w:rPr>
          <w:color w:val="010202"/>
        </w:rPr>
        <w:t>those</w:t>
      </w:r>
      <w:r>
        <w:rPr>
          <w:color w:val="010202"/>
          <w:spacing w:val="-4"/>
        </w:rPr>
        <w:t> </w:t>
      </w:r>
      <w:r>
        <w:rPr>
          <w:color w:val="010202"/>
        </w:rPr>
        <w:t>without</w:t>
      </w:r>
      <w:r>
        <w:rPr>
          <w:color w:val="010202"/>
          <w:spacing w:val="-5"/>
        </w:rPr>
        <w:t> </w:t>
      </w:r>
      <w:r>
        <w:rPr>
          <w:color w:val="010202"/>
        </w:rPr>
        <w:t>mental</w:t>
      </w:r>
      <w:r>
        <w:rPr>
          <w:color w:val="010202"/>
          <w:spacing w:val="-4"/>
        </w:rPr>
        <w:t> </w:t>
      </w:r>
      <w:r>
        <w:rPr>
          <w:color w:val="010202"/>
        </w:rPr>
        <w:t>illness</w:t>
      </w:r>
      <w:r>
        <w:rPr>
          <w:color w:val="010202"/>
          <w:spacing w:val="-4"/>
        </w:rPr>
        <w:t> </w:t>
      </w:r>
      <w:r>
        <w:rPr>
          <w:color w:val="010202"/>
        </w:rPr>
        <w:t>diagnoses</w:t>
      </w:r>
      <w:r>
        <w:rPr>
          <w:color w:val="010202"/>
          <w:spacing w:val="-4"/>
        </w:rPr>
        <w:t> </w:t>
      </w:r>
      <w:r>
        <w:rPr>
          <w:color w:val="010202"/>
        </w:rPr>
        <w:t>or</w:t>
      </w:r>
      <w:r>
        <w:rPr>
          <w:color w:val="010202"/>
          <w:spacing w:val="-4"/>
        </w:rPr>
        <w:t> </w:t>
      </w:r>
      <w:r>
        <w:rPr>
          <w:color w:val="010202"/>
        </w:rPr>
        <w:t>symptoms.</w:t>
      </w:r>
      <w:r>
        <w:rPr>
          <w:color w:val="010202"/>
          <w:vertAlign w:val="superscript"/>
        </w:rPr>
        <w:t>22</w:t>
      </w:r>
    </w:p>
    <w:p>
      <w:pPr>
        <w:spacing w:after="0" w:line="266" w:lineRule="auto"/>
        <w:sectPr>
          <w:type w:val="continuous"/>
          <w:pgSz w:w="12240" w:h="15840"/>
          <w:pgMar w:header="0" w:footer="666" w:top="1500" w:bottom="0" w:left="560" w:right="0"/>
          <w:cols w:num="2" w:equalWidth="0">
            <w:col w:w="5284" w:space="500"/>
            <w:col w:w="5896"/>
          </w:cols>
        </w:sectPr>
      </w:pPr>
    </w:p>
    <w:p>
      <w:pPr>
        <w:pStyle w:val="BodyText"/>
        <w:rPr>
          <w:sz w:val="20"/>
        </w:rPr>
      </w:pPr>
    </w:p>
    <w:p>
      <w:pPr>
        <w:pStyle w:val="BodyText"/>
        <w:spacing w:before="2"/>
        <w:rPr>
          <w:sz w:val="27"/>
        </w:rPr>
      </w:pPr>
    </w:p>
    <w:p>
      <w:pPr>
        <w:pStyle w:val="BodyText"/>
        <w:spacing w:line="266" w:lineRule="auto" w:before="91"/>
        <w:ind w:left="5920" w:right="895"/>
      </w:pPr>
      <w:r>
        <w:rPr/>
        <w:drawing>
          <wp:anchor distT="0" distB="0" distL="0" distR="0" allowOverlap="1" layoutInCell="1" locked="0" behindDoc="0" simplePos="0" relativeHeight="15741952">
            <wp:simplePos x="0" y="0"/>
            <wp:positionH relativeFrom="page">
              <wp:posOffset>469899</wp:posOffset>
            </wp:positionH>
            <wp:positionV relativeFrom="paragraph">
              <wp:posOffset>78645</wp:posOffset>
            </wp:positionV>
            <wp:extent cx="3233927" cy="3901439"/>
            <wp:effectExtent l="0" t="0" r="0" b="0"/>
            <wp:wrapNone/>
            <wp:docPr id="11" name="image8.jpeg" descr="This graphic depicts the number of cases of Hepatitis A, B, and C in 2018. In 2018, there were 12,474 acute hepatitis A cases and 24,900 acute hepatitis A infections; 3,322 acute hepatitis B cases and 21,600 acute hepatitis B infections; and 3,621 acute hepatitis C cases and 50,300 acute hepatitis C infections. "/>
            <wp:cNvGraphicFramePr>
              <a:graphicFrameLocks noChangeAspect="1"/>
            </wp:cNvGraphicFramePr>
            <a:graphic>
              <a:graphicData uri="http://schemas.openxmlformats.org/drawingml/2006/picture">
                <pic:pic>
                  <pic:nvPicPr>
                    <pic:cNvPr id="12" name="image8.jpeg"/>
                    <pic:cNvPicPr/>
                  </pic:nvPicPr>
                  <pic:blipFill>
                    <a:blip r:embed="rId31" cstate="print"/>
                    <a:stretch>
                      <a:fillRect/>
                    </a:stretch>
                  </pic:blipFill>
                  <pic:spPr>
                    <a:xfrm>
                      <a:off x="0" y="0"/>
                      <a:ext cx="3233927" cy="3901439"/>
                    </a:xfrm>
                    <a:prstGeom prst="rect">
                      <a:avLst/>
                    </a:prstGeom>
                  </pic:spPr>
                </pic:pic>
              </a:graphicData>
            </a:graphic>
          </wp:anchor>
        </w:drawing>
      </w:r>
      <w:r>
        <w:rPr>
          <w:color w:val="010202"/>
        </w:rPr>
        <w:t>However, only 48.5 percent of people with a mental</w:t>
      </w:r>
      <w:r>
        <w:rPr>
          <w:color w:val="010202"/>
          <w:spacing w:val="1"/>
        </w:rPr>
        <w:t> </w:t>
      </w:r>
      <w:r>
        <w:rPr>
          <w:color w:val="010202"/>
        </w:rPr>
        <w:t>illness have had an HIV test.</w:t>
      </w:r>
      <w:r>
        <w:rPr>
          <w:color w:val="010202"/>
          <w:vertAlign w:val="superscript"/>
        </w:rPr>
        <w:t>23</w:t>
      </w:r>
      <w:r>
        <w:rPr>
          <w:color w:val="010202"/>
          <w:vertAlign w:val="baseline"/>
        </w:rPr>
        <w:t> Once diagnosed with</w:t>
      </w:r>
      <w:r>
        <w:rPr>
          <w:color w:val="010202"/>
          <w:spacing w:val="1"/>
          <w:vertAlign w:val="baseline"/>
        </w:rPr>
        <w:t> </w:t>
      </w:r>
      <w:r>
        <w:rPr>
          <w:color w:val="010202"/>
          <w:vertAlign w:val="baseline"/>
        </w:rPr>
        <w:t>HIV,</w:t>
      </w:r>
      <w:r>
        <w:rPr>
          <w:color w:val="010202"/>
          <w:spacing w:val="-7"/>
          <w:vertAlign w:val="baseline"/>
        </w:rPr>
        <w:t> </w:t>
      </w:r>
      <w:r>
        <w:rPr>
          <w:color w:val="010202"/>
          <w:vertAlign w:val="baseline"/>
        </w:rPr>
        <w:t>persons</w:t>
      </w:r>
      <w:r>
        <w:rPr>
          <w:color w:val="010202"/>
          <w:spacing w:val="-6"/>
          <w:vertAlign w:val="baseline"/>
        </w:rPr>
        <w:t> </w:t>
      </w:r>
      <w:r>
        <w:rPr>
          <w:color w:val="010202"/>
          <w:vertAlign w:val="baseline"/>
        </w:rPr>
        <w:t>with</w:t>
      </w:r>
      <w:r>
        <w:rPr>
          <w:color w:val="010202"/>
          <w:spacing w:val="-7"/>
          <w:vertAlign w:val="baseline"/>
        </w:rPr>
        <w:t> </w:t>
      </w:r>
      <w:r>
        <w:rPr>
          <w:color w:val="010202"/>
          <w:vertAlign w:val="baseline"/>
        </w:rPr>
        <w:t>three</w:t>
      </w:r>
      <w:r>
        <w:rPr>
          <w:color w:val="010202"/>
          <w:spacing w:val="-6"/>
          <w:vertAlign w:val="baseline"/>
        </w:rPr>
        <w:t> </w:t>
      </w:r>
      <w:r>
        <w:rPr>
          <w:color w:val="010202"/>
          <w:vertAlign w:val="baseline"/>
        </w:rPr>
        <w:t>or</w:t>
      </w:r>
      <w:r>
        <w:rPr>
          <w:color w:val="010202"/>
          <w:spacing w:val="-6"/>
          <w:vertAlign w:val="baseline"/>
        </w:rPr>
        <w:t> </w:t>
      </w:r>
      <w:r>
        <w:rPr>
          <w:color w:val="010202"/>
          <w:vertAlign w:val="baseline"/>
        </w:rPr>
        <w:t>more</w:t>
      </w:r>
      <w:r>
        <w:rPr>
          <w:color w:val="010202"/>
          <w:spacing w:val="-6"/>
          <w:vertAlign w:val="baseline"/>
        </w:rPr>
        <w:t> </w:t>
      </w:r>
      <w:r>
        <w:rPr>
          <w:color w:val="010202"/>
          <w:vertAlign w:val="baseline"/>
        </w:rPr>
        <w:t>psychosocial</w:t>
      </w:r>
      <w:r>
        <w:rPr>
          <w:color w:val="010202"/>
          <w:spacing w:val="-6"/>
          <w:vertAlign w:val="baseline"/>
        </w:rPr>
        <w:t> </w:t>
      </w:r>
      <w:r>
        <w:rPr>
          <w:color w:val="010202"/>
          <w:vertAlign w:val="baseline"/>
        </w:rPr>
        <w:t>concerns</w:t>
      </w:r>
      <w:r>
        <w:rPr>
          <w:color w:val="010202"/>
          <w:spacing w:val="-52"/>
          <w:vertAlign w:val="baseline"/>
        </w:rPr>
        <w:t> </w:t>
      </w:r>
      <w:r>
        <w:rPr>
          <w:color w:val="010202"/>
          <w:vertAlign w:val="baseline"/>
        </w:rPr>
        <w:t>were less likely to be adherent to HIV medications and</w:t>
      </w:r>
      <w:r>
        <w:rPr>
          <w:color w:val="010202"/>
          <w:spacing w:val="-52"/>
          <w:vertAlign w:val="baseline"/>
        </w:rPr>
        <w:t> </w:t>
      </w:r>
      <w:r>
        <w:rPr>
          <w:color w:val="010202"/>
          <w:vertAlign w:val="baseline"/>
        </w:rPr>
        <w:t>persons with four or more problems were less likely to</w:t>
      </w:r>
      <w:r>
        <w:rPr>
          <w:color w:val="010202"/>
          <w:spacing w:val="-52"/>
          <w:vertAlign w:val="baseline"/>
        </w:rPr>
        <w:t> </w:t>
      </w:r>
      <w:r>
        <w:rPr>
          <w:color w:val="010202"/>
          <w:vertAlign w:val="baseline"/>
        </w:rPr>
        <w:t>be virally suppressed.</w:t>
      </w:r>
      <w:r>
        <w:rPr>
          <w:color w:val="010202"/>
          <w:vertAlign w:val="superscript"/>
        </w:rPr>
        <w:t>24</w:t>
      </w:r>
      <w:r>
        <w:rPr>
          <w:color w:val="010202"/>
          <w:vertAlign w:val="baseline"/>
        </w:rPr>
        <w:t> People with mental illnesses</w:t>
      </w:r>
      <w:r>
        <w:rPr>
          <w:color w:val="010202"/>
          <w:spacing w:val="1"/>
          <w:vertAlign w:val="baseline"/>
        </w:rPr>
        <w:t> </w:t>
      </w:r>
      <w:r>
        <w:rPr>
          <w:color w:val="010202"/>
          <w:spacing w:val="-1"/>
          <w:vertAlign w:val="baseline"/>
        </w:rPr>
        <w:t>were</w:t>
      </w:r>
      <w:r>
        <w:rPr>
          <w:color w:val="010202"/>
          <w:spacing w:val="-2"/>
          <w:vertAlign w:val="baseline"/>
        </w:rPr>
        <w:t> </w:t>
      </w:r>
      <w:r>
        <w:rPr>
          <w:color w:val="010202"/>
          <w:spacing w:val="-1"/>
          <w:vertAlign w:val="baseline"/>
        </w:rPr>
        <w:t>less</w:t>
      </w:r>
      <w:r>
        <w:rPr>
          <w:color w:val="010202"/>
          <w:vertAlign w:val="baseline"/>
        </w:rPr>
        <w:t> </w:t>
      </w:r>
      <w:r>
        <w:rPr>
          <w:color w:val="010202"/>
          <w:spacing w:val="-1"/>
          <w:vertAlign w:val="baseline"/>
        </w:rPr>
        <w:t>likely </w:t>
      </w:r>
      <w:r>
        <w:rPr>
          <w:color w:val="010202"/>
          <w:vertAlign w:val="baseline"/>
        </w:rPr>
        <w:t>to be</w:t>
      </w:r>
      <w:r>
        <w:rPr>
          <w:color w:val="010202"/>
          <w:spacing w:val="-1"/>
          <w:vertAlign w:val="baseline"/>
        </w:rPr>
        <w:t> </w:t>
      </w:r>
      <w:r>
        <w:rPr>
          <w:color w:val="010202"/>
          <w:vertAlign w:val="baseline"/>
        </w:rPr>
        <w:t>prescribed</w:t>
      </w:r>
      <w:r>
        <w:rPr>
          <w:color w:val="010202"/>
          <w:spacing w:val="-13"/>
          <w:vertAlign w:val="baseline"/>
        </w:rPr>
        <w:t> </w:t>
      </w:r>
      <w:r>
        <w:rPr>
          <w:color w:val="010202"/>
          <w:vertAlign w:val="baseline"/>
        </w:rPr>
        <w:t>ART</w:t>
      </w:r>
      <w:r>
        <w:rPr>
          <w:color w:val="010202"/>
          <w:spacing w:val="-4"/>
          <w:vertAlign w:val="baseline"/>
        </w:rPr>
        <w:t> </w:t>
      </w:r>
      <w:r>
        <w:rPr>
          <w:color w:val="010202"/>
          <w:vertAlign w:val="baseline"/>
        </w:rPr>
        <w:t>and</w:t>
      </w:r>
      <w:r>
        <w:rPr>
          <w:color w:val="010202"/>
          <w:spacing w:val="-1"/>
          <w:vertAlign w:val="baseline"/>
        </w:rPr>
        <w:t> </w:t>
      </w:r>
      <w:r>
        <w:rPr>
          <w:color w:val="010202"/>
          <w:vertAlign w:val="baseline"/>
        </w:rPr>
        <w:t>achieve viral</w:t>
      </w:r>
      <w:r>
        <w:rPr>
          <w:color w:val="010202"/>
          <w:spacing w:val="-52"/>
          <w:vertAlign w:val="baseline"/>
        </w:rPr>
        <w:t> </w:t>
      </w:r>
      <w:r>
        <w:rPr>
          <w:color w:val="010202"/>
          <w:vertAlign w:val="baseline"/>
        </w:rPr>
        <w:t>suppression.</w:t>
      </w:r>
      <w:r>
        <w:rPr>
          <w:color w:val="010202"/>
          <w:vertAlign w:val="superscript"/>
        </w:rPr>
        <w:t>25</w:t>
      </w:r>
    </w:p>
    <w:p>
      <w:pPr>
        <w:pStyle w:val="BodyText"/>
        <w:spacing w:line="266" w:lineRule="auto" w:before="173"/>
        <w:ind w:left="5920" w:right="823"/>
      </w:pPr>
      <w:r>
        <w:rPr>
          <w:color w:val="231F20"/>
        </w:rPr>
        <w:t>Aligning with the EHE key strategy of diagnosing all</w:t>
      </w:r>
      <w:r>
        <w:rPr>
          <w:color w:val="231F20"/>
          <w:spacing w:val="1"/>
        </w:rPr>
        <w:t> </w:t>
      </w:r>
      <w:r>
        <w:rPr>
          <w:color w:val="231F20"/>
        </w:rPr>
        <w:t>individuals with HIV, universal testing in behavioral</w:t>
      </w:r>
      <w:r>
        <w:rPr>
          <w:color w:val="231F20"/>
          <w:spacing w:val="1"/>
        </w:rPr>
        <w:t> </w:t>
      </w:r>
      <w:r>
        <w:rPr>
          <w:color w:val="231F20"/>
        </w:rPr>
        <w:t>health settings can support rapid linkage to preventive</w:t>
      </w:r>
      <w:r>
        <w:rPr>
          <w:color w:val="231F20"/>
          <w:spacing w:val="1"/>
        </w:rPr>
        <w:t> </w:t>
      </w:r>
      <w:r>
        <w:rPr>
          <w:color w:val="231F20"/>
        </w:rPr>
        <w:t>services and HIV care including supportive services to</w:t>
      </w:r>
      <w:r>
        <w:rPr>
          <w:color w:val="231F20"/>
          <w:spacing w:val="1"/>
        </w:rPr>
        <w:t> </w:t>
      </w:r>
      <w:r>
        <w:rPr>
          <w:color w:val="231F20"/>
        </w:rPr>
        <w:t>increase PrEP uptake and adherence, syringe services</w:t>
      </w:r>
      <w:r>
        <w:rPr>
          <w:color w:val="231F20"/>
          <w:spacing w:val="1"/>
        </w:rPr>
        <w:t> </w:t>
      </w:r>
      <w:r>
        <w:rPr>
          <w:color w:val="231F20"/>
        </w:rPr>
        <w:t>programs (SSPs), cognitive behavioral therapy (CBT),</w:t>
      </w:r>
      <w:r>
        <w:rPr>
          <w:color w:val="231F20"/>
          <w:spacing w:val="1"/>
        </w:rPr>
        <w:t> </w:t>
      </w:r>
      <w:r>
        <w:rPr>
          <w:color w:val="231F20"/>
        </w:rPr>
        <w:t>contingency management (CM), and patient navigation</w:t>
      </w:r>
      <w:r>
        <w:rPr>
          <w:color w:val="231F20"/>
          <w:spacing w:val="1"/>
        </w:rPr>
        <w:t> </w:t>
      </w:r>
      <w:r>
        <w:rPr>
          <w:color w:val="231F20"/>
        </w:rPr>
        <w:t>(further</w:t>
      </w:r>
      <w:r>
        <w:rPr>
          <w:color w:val="231F20"/>
          <w:spacing w:val="-5"/>
        </w:rPr>
        <w:t> </w:t>
      </w:r>
      <w:r>
        <w:rPr>
          <w:color w:val="231F20"/>
        </w:rPr>
        <w:t>discussed</w:t>
      </w:r>
      <w:r>
        <w:rPr>
          <w:color w:val="231F20"/>
          <w:spacing w:val="-5"/>
        </w:rPr>
        <w:t> </w:t>
      </w:r>
      <w:r>
        <w:rPr>
          <w:color w:val="231F20"/>
        </w:rPr>
        <w:t>in</w:t>
      </w:r>
      <w:r>
        <w:rPr>
          <w:color w:val="231F20"/>
          <w:spacing w:val="-5"/>
        </w:rPr>
        <w:t> </w:t>
      </w:r>
      <w:r>
        <w:rPr>
          <w:color w:val="231F20"/>
        </w:rPr>
        <w:t>Chapter</w:t>
      </w:r>
      <w:r>
        <w:rPr>
          <w:color w:val="231F20"/>
          <w:spacing w:val="-5"/>
        </w:rPr>
        <w:t> </w:t>
      </w:r>
      <w:r>
        <w:rPr>
          <w:color w:val="231F20"/>
        </w:rPr>
        <w:t>2).</w:t>
      </w:r>
      <w:r>
        <w:rPr>
          <w:color w:val="231F20"/>
          <w:vertAlign w:val="superscript"/>
        </w:rPr>
        <w:t>26</w:t>
      </w:r>
      <w:r>
        <w:rPr>
          <w:color w:val="231F20"/>
          <w:spacing w:val="-8"/>
          <w:vertAlign w:val="baseline"/>
        </w:rPr>
        <w:t> </w:t>
      </w:r>
      <w:r>
        <w:rPr>
          <w:color w:val="010202"/>
          <w:vertAlign w:val="baseline"/>
        </w:rPr>
        <w:t>The</w:t>
      </w:r>
      <w:r>
        <w:rPr>
          <w:color w:val="010202"/>
          <w:spacing w:val="-5"/>
          <w:vertAlign w:val="baseline"/>
        </w:rPr>
        <w:t> </w:t>
      </w:r>
      <w:r>
        <w:rPr>
          <w:color w:val="010202"/>
          <w:vertAlign w:val="baseline"/>
        </w:rPr>
        <w:t>flow</w:t>
      </w:r>
      <w:r>
        <w:rPr>
          <w:color w:val="010202"/>
          <w:spacing w:val="-6"/>
          <w:vertAlign w:val="baseline"/>
        </w:rPr>
        <w:t> </w:t>
      </w:r>
      <w:r>
        <w:rPr>
          <w:color w:val="010202"/>
          <w:vertAlign w:val="baseline"/>
        </w:rPr>
        <w:t>diagram</w:t>
      </w:r>
      <w:r>
        <w:rPr>
          <w:color w:val="010202"/>
          <w:spacing w:val="-5"/>
          <w:vertAlign w:val="baseline"/>
        </w:rPr>
        <w:t> </w:t>
      </w:r>
      <w:r>
        <w:rPr>
          <w:color w:val="010202"/>
          <w:vertAlign w:val="baseline"/>
        </w:rPr>
        <w:t>(on</w:t>
      </w:r>
      <w:r>
        <w:rPr>
          <w:color w:val="010202"/>
          <w:spacing w:val="-52"/>
          <w:vertAlign w:val="baseline"/>
        </w:rPr>
        <w:t> </w:t>
      </w:r>
      <w:r>
        <w:rPr>
          <w:color w:val="010202"/>
          <w:vertAlign w:val="baseline"/>
        </w:rPr>
        <w:t>page 4) shows the role of mental health and substance</w:t>
      </w:r>
      <w:r>
        <w:rPr>
          <w:color w:val="010202"/>
          <w:spacing w:val="1"/>
          <w:vertAlign w:val="baseline"/>
        </w:rPr>
        <w:t> </w:t>
      </w:r>
      <w:r>
        <w:rPr>
          <w:color w:val="010202"/>
          <w:vertAlign w:val="baseline"/>
        </w:rPr>
        <w:t>use providers in caring for clients who are at risk for or</w:t>
      </w:r>
      <w:r>
        <w:rPr>
          <w:color w:val="010202"/>
          <w:spacing w:val="1"/>
          <w:vertAlign w:val="baseline"/>
        </w:rPr>
        <w:t> </w:t>
      </w:r>
      <w:r>
        <w:rPr>
          <w:color w:val="010202"/>
          <w:vertAlign w:val="baseline"/>
        </w:rPr>
        <w:t>have</w:t>
      </w:r>
      <w:r>
        <w:rPr>
          <w:color w:val="010202"/>
          <w:spacing w:val="-1"/>
          <w:vertAlign w:val="baseline"/>
        </w:rPr>
        <w:t> </w:t>
      </w:r>
      <w:r>
        <w:rPr>
          <w:color w:val="010202"/>
          <w:vertAlign w:val="baseline"/>
        </w:rPr>
        <w:t>been</w:t>
      </w:r>
      <w:r>
        <w:rPr>
          <w:color w:val="010202"/>
          <w:spacing w:val="-1"/>
          <w:vertAlign w:val="baseline"/>
        </w:rPr>
        <w:t> </w:t>
      </w:r>
      <w:r>
        <w:rPr>
          <w:color w:val="010202"/>
          <w:vertAlign w:val="baseline"/>
        </w:rPr>
        <w:t>diagnosed</w:t>
      </w:r>
      <w:r>
        <w:rPr>
          <w:color w:val="010202"/>
          <w:spacing w:val="-1"/>
          <w:vertAlign w:val="baseline"/>
        </w:rPr>
        <w:t> </w:t>
      </w:r>
      <w:r>
        <w:rPr>
          <w:color w:val="010202"/>
          <w:vertAlign w:val="baseline"/>
        </w:rPr>
        <w:t>with</w:t>
      </w:r>
      <w:r>
        <w:rPr>
          <w:color w:val="010202"/>
          <w:spacing w:val="-2"/>
          <w:vertAlign w:val="baseline"/>
        </w:rPr>
        <w:t> </w:t>
      </w:r>
      <w:r>
        <w:rPr>
          <w:color w:val="010202"/>
          <w:vertAlign w:val="baseline"/>
        </w:rPr>
        <w:t>HIV.</w:t>
      </w:r>
    </w:p>
    <w:p>
      <w:pPr>
        <w:pStyle w:val="BodyText"/>
        <w:rPr>
          <w:sz w:val="20"/>
        </w:rPr>
      </w:pPr>
    </w:p>
    <w:p>
      <w:pPr>
        <w:pStyle w:val="BodyText"/>
        <w:rPr>
          <w:sz w:val="20"/>
        </w:rPr>
      </w:pPr>
    </w:p>
    <w:p>
      <w:pPr>
        <w:pStyle w:val="BodyText"/>
        <w:rPr>
          <w:sz w:val="20"/>
        </w:rPr>
      </w:pPr>
    </w:p>
    <w:p>
      <w:pPr>
        <w:pStyle w:val="BodyText"/>
        <w:spacing w:before="2"/>
        <w:rPr>
          <w:sz w:val="27"/>
        </w:rPr>
      </w:pPr>
      <w:r>
        <w:rPr/>
        <w:drawing>
          <wp:anchor distT="0" distB="0" distL="0" distR="0" allowOverlap="1" layoutInCell="1" locked="0" behindDoc="0" simplePos="0" relativeHeight="25">
            <wp:simplePos x="0" y="0"/>
            <wp:positionH relativeFrom="page">
              <wp:posOffset>474980</wp:posOffset>
            </wp:positionH>
            <wp:positionV relativeFrom="paragraph">
              <wp:posOffset>213660</wp:posOffset>
            </wp:positionV>
            <wp:extent cx="6864095" cy="4453128"/>
            <wp:effectExtent l="0" t="0" r="0" b="0"/>
            <wp:wrapTopAndBottom/>
            <wp:docPr id="13" name="image9.jpeg" descr="This graphic is a flowchart depicting the role of behavioral health providers throughout the care spectrum. The first step depicted is universal HIV testing.Ž Below, the chart splits, with one column depicting the process of care management if a person does not positive for HIV, and the other column depicting the process of case management if a person is tests positive HIV. If a person does not test positive for HIV, the flowchart depicts the following process: first, clinical reporting, which includes the step behavioral health provider notes test result in EMR.Ž The second step reads care coordination, which includes the steps case managers connect client with primary care and supportive services (e.g. housing, food services, public assistance).Ž The third step is linkage to HIV care for both prevention and treatment, which includes the steps connect clients with supportive services to increase PrEP uptake and adherence,Ž then connect clients with SSPs,Ž and finally connect clients to CBT.Ž The last step is follow-up and monitoring, which includes case managers conduct ongoing follow-up and monitoring of the client.Ž The second column in the graphic, which depicts the process for working with people who do test positive for HIV, includes the following steps: first, under clinical reporting, the step is behavioral health provider notes test result in EMR.Ž Under care coordination, the step reads case managers connect client with primary care and supportive services, (e.g. housing, food services, public assistance).Ž Under linkage to HIV care (prevention and treatment), the steps include link client to HIV care and treatmentŽ and connect client with CBT, CM, and patient navigation.Ž Finally, under follow-up and monitoring, the text reads, case managers conduct ongoing follow-up and monitoring of the client.Ž "/>
            <wp:cNvGraphicFramePr>
              <a:graphicFrameLocks noChangeAspect="1"/>
            </wp:cNvGraphicFramePr>
            <a:graphic>
              <a:graphicData uri="http://schemas.openxmlformats.org/drawingml/2006/picture">
                <pic:pic>
                  <pic:nvPicPr>
                    <pic:cNvPr id="14" name="image9.jpeg"/>
                    <pic:cNvPicPr/>
                  </pic:nvPicPr>
                  <pic:blipFill>
                    <a:blip r:embed="rId32" cstate="print"/>
                    <a:stretch>
                      <a:fillRect/>
                    </a:stretch>
                  </pic:blipFill>
                  <pic:spPr>
                    <a:xfrm>
                      <a:off x="0" y="0"/>
                      <a:ext cx="6864095" cy="4453128"/>
                    </a:xfrm>
                    <a:prstGeom prst="rect">
                      <a:avLst/>
                    </a:prstGeom>
                  </pic:spPr>
                </pic:pic>
              </a:graphicData>
            </a:graphic>
          </wp:anchor>
        </w:drawing>
      </w:r>
    </w:p>
    <w:p>
      <w:pPr>
        <w:spacing w:after="0"/>
        <w:rPr>
          <w:sz w:val="27"/>
        </w:rPr>
        <w:sectPr>
          <w:pgSz w:w="12240" w:h="15840"/>
          <w:pgMar w:header="0" w:footer="666" w:top="380" w:bottom="860" w:left="560" w:right="0"/>
        </w:sectPr>
      </w:pPr>
    </w:p>
    <w:p>
      <w:pPr>
        <w:pStyle w:val="BodyText"/>
        <w:rPr>
          <w:sz w:val="20"/>
        </w:rPr>
      </w:pPr>
    </w:p>
    <w:p>
      <w:pPr>
        <w:pStyle w:val="BodyText"/>
        <w:spacing w:before="6"/>
        <w:rPr>
          <w:sz w:val="27"/>
        </w:rPr>
      </w:pPr>
    </w:p>
    <w:p>
      <w:pPr>
        <w:pStyle w:val="Heading6"/>
        <w:spacing w:before="93"/>
      </w:pPr>
      <w:r>
        <w:rPr/>
        <w:drawing>
          <wp:anchor distT="0" distB="0" distL="0" distR="0" allowOverlap="1" layoutInCell="1" locked="0" behindDoc="0" simplePos="0" relativeHeight="15742976">
            <wp:simplePos x="0" y="0"/>
            <wp:positionH relativeFrom="page">
              <wp:posOffset>4114800</wp:posOffset>
            </wp:positionH>
            <wp:positionV relativeFrom="paragraph">
              <wp:posOffset>59938</wp:posOffset>
            </wp:positionV>
            <wp:extent cx="3200400" cy="4897627"/>
            <wp:effectExtent l="0" t="0" r="0" b="0"/>
            <wp:wrapNone/>
            <wp:docPr id="15" name="image10.png"/>
            <wp:cNvGraphicFramePr>
              <a:graphicFrameLocks noChangeAspect="1"/>
            </wp:cNvGraphicFramePr>
            <a:graphic>
              <a:graphicData uri="http://schemas.openxmlformats.org/drawingml/2006/picture">
                <pic:pic>
                  <pic:nvPicPr>
                    <pic:cNvPr id="16" name="image10.png"/>
                    <pic:cNvPicPr/>
                  </pic:nvPicPr>
                  <pic:blipFill>
                    <a:blip r:embed="rId33" cstate="print"/>
                    <a:stretch>
                      <a:fillRect/>
                    </a:stretch>
                  </pic:blipFill>
                  <pic:spPr>
                    <a:xfrm>
                      <a:off x="0" y="0"/>
                      <a:ext cx="3200400" cy="4897627"/>
                    </a:xfrm>
                    <a:prstGeom prst="rect">
                      <a:avLst/>
                    </a:prstGeom>
                  </pic:spPr>
                </pic:pic>
              </a:graphicData>
            </a:graphic>
          </wp:anchor>
        </w:drawing>
      </w:r>
      <w:bookmarkStart w:name="Substance Use and HIV" w:id="18"/>
      <w:bookmarkEnd w:id="18"/>
      <w:r>
        <w:rPr>
          <w:b w:val="0"/>
        </w:rPr>
      </w:r>
      <w:bookmarkStart w:name="Mental Health and HIV" w:id="19"/>
      <w:bookmarkEnd w:id="19"/>
      <w:r>
        <w:rPr>
          <w:b w:val="0"/>
        </w:rPr>
      </w:r>
      <w:r>
        <w:rPr>
          <w:color w:val="CE372D"/>
        </w:rPr>
        <w:t>Substance</w:t>
      </w:r>
      <w:r>
        <w:rPr>
          <w:color w:val="CE372D"/>
          <w:spacing w:val="-3"/>
        </w:rPr>
        <w:t> </w:t>
      </w:r>
      <w:r>
        <w:rPr>
          <w:color w:val="CE372D"/>
        </w:rPr>
        <w:t>Use</w:t>
      </w:r>
      <w:r>
        <w:rPr>
          <w:color w:val="CE372D"/>
          <w:spacing w:val="-3"/>
        </w:rPr>
        <w:t> </w:t>
      </w:r>
      <w:r>
        <w:rPr>
          <w:color w:val="CE372D"/>
        </w:rPr>
        <w:t>and</w:t>
      </w:r>
      <w:r>
        <w:rPr>
          <w:color w:val="CE372D"/>
          <w:spacing w:val="-3"/>
        </w:rPr>
        <w:t> </w:t>
      </w:r>
      <w:r>
        <w:rPr>
          <w:color w:val="CE372D"/>
        </w:rPr>
        <w:t>HIV</w:t>
      </w:r>
    </w:p>
    <w:p>
      <w:pPr>
        <w:pStyle w:val="BodyText"/>
        <w:spacing w:line="266" w:lineRule="auto" w:before="118"/>
        <w:ind w:left="160" w:right="6487"/>
      </w:pPr>
      <w:r>
        <w:rPr>
          <w:color w:val="231F20"/>
        </w:rPr>
        <w:t>SUD can increase the risk of getting HIV and negatively</w:t>
      </w:r>
      <w:r>
        <w:rPr>
          <w:color w:val="231F20"/>
          <w:spacing w:val="-52"/>
        </w:rPr>
        <w:t> </w:t>
      </w:r>
      <w:r>
        <w:rPr>
          <w:color w:val="231F20"/>
        </w:rPr>
        <w:t>impact</w:t>
      </w:r>
      <w:r>
        <w:rPr>
          <w:color w:val="231F20"/>
          <w:spacing w:val="-3"/>
        </w:rPr>
        <w:t> </w:t>
      </w:r>
      <w:r>
        <w:rPr>
          <w:color w:val="231F20"/>
        </w:rPr>
        <w:t>HIV</w:t>
      </w:r>
      <w:r>
        <w:rPr>
          <w:color w:val="231F20"/>
          <w:spacing w:val="-7"/>
        </w:rPr>
        <w:t> </w:t>
      </w:r>
      <w:r>
        <w:rPr>
          <w:color w:val="231F20"/>
        </w:rPr>
        <w:t>care,</w:t>
      </w:r>
      <w:r>
        <w:rPr>
          <w:color w:val="231F20"/>
          <w:spacing w:val="-2"/>
        </w:rPr>
        <w:t> </w:t>
      </w:r>
      <w:r>
        <w:rPr>
          <w:color w:val="231F20"/>
        </w:rPr>
        <w:t>treatment,</w:t>
      </w:r>
      <w:r>
        <w:rPr>
          <w:color w:val="231F20"/>
          <w:spacing w:val="-2"/>
        </w:rPr>
        <w:t> </w:t>
      </w:r>
      <w:r>
        <w:rPr>
          <w:color w:val="231F20"/>
        </w:rPr>
        <w:t>and</w:t>
      </w:r>
      <w:r>
        <w:rPr>
          <w:color w:val="231F20"/>
          <w:spacing w:val="-2"/>
        </w:rPr>
        <w:t> </w:t>
      </w:r>
      <w:r>
        <w:rPr>
          <w:color w:val="231F20"/>
        </w:rPr>
        <w:t>related</w:t>
      </w:r>
      <w:r>
        <w:rPr>
          <w:color w:val="231F20"/>
          <w:spacing w:val="-2"/>
        </w:rPr>
        <w:t> </w:t>
      </w:r>
      <w:r>
        <w:rPr>
          <w:color w:val="231F20"/>
        </w:rPr>
        <w:t>health</w:t>
      </w:r>
      <w:r>
        <w:rPr>
          <w:color w:val="231F20"/>
          <w:spacing w:val="-2"/>
        </w:rPr>
        <w:t> </w:t>
      </w:r>
      <w:r>
        <w:rPr>
          <w:color w:val="231F20"/>
        </w:rPr>
        <w:t>outcomes.</w:t>
      </w:r>
      <w:r>
        <w:rPr>
          <w:color w:val="231F20"/>
          <w:spacing w:val="-52"/>
        </w:rPr>
        <w:t> </w:t>
      </w:r>
      <w:r>
        <w:rPr>
          <w:color w:val="231F20"/>
        </w:rPr>
        <w:t>The</w:t>
      </w:r>
      <w:r>
        <w:rPr>
          <w:color w:val="231F20"/>
          <w:spacing w:val="7"/>
        </w:rPr>
        <w:t> </w:t>
      </w:r>
      <w:r>
        <w:rPr>
          <w:color w:val="231F20"/>
        </w:rPr>
        <w:t>prevalence</w:t>
      </w:r>
      <w:r>
        <w:rPr>
          <w:color w:val="231F20"/>
          <w:spacing w:val="8"/>
        </w:rPr>
        <w:t> </w:t>
      </w:r>
      <w:r>
        <w:rPr>
          <w:color w:val="231F20"/>
        </w:rPr>
        <w:t>of</w:t>
      </w:r>
      <w:r>
        <w:rPr>
          <w:color w:val="231F20"/>
          <w:spacing w:val="8"/>
        </w:rPr>
        <w:t> </w:t>
      </w:r>
      <w:r>
        <w:rPr>
          <w:color w:val="231F20"/>
        </w:rPr>
        <w:t>substance</w:t>
      </w:r>
      <w:r>
        <w:rPr>
          <w:color w:val="231F20"/>
          <w:spacing w:val="7"/>
        </w:rPr>
        <w:t> </w:t>
      </w:r>
      <w:r>
        <w:rPr>
          <w:color w:val="231F20"/>
        </w:rPr>
        <w:t>use</w:t>
      </w:r>
      <w:r>
        <w:rPr>
          <w:color w:val="231F20"/>
          <w:spacing w:val="8"/>
        </w:rPr>
        <w:t> </w:t>
      </w:r>
      <w:r>
        <w:rPr>
          <w:color w:val="231F20"/>
        </w:rPr>
        <w:t>among</w:t>
      </w:r>
      <w:r>
        <w:rPr>
          <w:color w:val="231F20"/>
          <w:spacing w:val="8"/>
        </w:rPr>
        <w:t> </w:t>
      </w:r>
      <w:r>
        <w:rPr>
          <w:color w:val="231F20"/>
        </w:rPr>
        <w:t>people</w:t>
      </w:r>
      <w:r>
        <w:rPr>
          <w:color w:val="231F20"/>
          <w:spacing w:val="8"/>
        </w:rPr>
        <w:t> </w:t>
      </w:r>
      <w:r>
        <w:rPr>
          <w:color w:val="231F20"/>
        </w:rPr>
        <w:t>with</w:t>
      </w:r>
      <w:r>
        <w:rPr>
          <w:color w:val="231F20"/>
          <w:spacing w:val="1"/>
        </w:rPr>
        <w:t> </w:t>
      </w:r>
      <w:r>
        <w:rPr>
          <w:color w:val="231F20"/>
        </w:rPr>
        <w:t>HIV</w:t>
      </w:r>
      <w:r>
        <w:rPr>
          <w:color w:val="231F20"/>
          <w:spacing w:val="2"/>
        </w:rPr>
        <w:t> </w:t>
      </w:r>
      <w:r>
        <w:rPr>
          <w:color w:val="231F20"/>
        </w:rPr>
        <w:t>is</w:t>
      </w:r>
      <w:r>
        <w:rPr>
          <w:color w:val="231F20"/>
          <w:spacing w:val="6"/>
        </w:rPr>
        <w:t> </w:t>
      </w:r>
      <w:r>
        <w:rPr>
          <w:color w:val="231F20"/>
        </w:rPr>
        <w:t>also</w:t>
      </w:r>
      <w:r>
        <w:rPr>
          <w:color w:val="231F20"/>
          <w:spacing w:val="7"/>
        </w:rPr>
        <w:t> </w:t>
      </w:r>
      <w:r>
        <w:rPr>
          <w:color w:val="231F20"/>
        </w:rPr>
        <w:t>higher</w:t>
      </w:r>
      <w:r>
        <w:rPr>
          <w:color w:val="231F20"/>
          <w:spacing w:val="6"/>
        </w:rPr>
        <w:t> </w:t>
      </w:r>
      <w:r>
        <w:rPr>
          <w:color w:val="231F20"/>
        </w:rPr>
        <w:t>than</w:t>
      </w:r>
      <w:r>
        <w:rPr>
          <w:color w:val="231F20"/>
          <w:spacing w:val="7"/>
        </w:rPr>
        <w:t> </w:t>
      </w:r>
      <w:r>
        <w:rPr>
          <w:color w:val="231F20"/>
        </w:rPr>
        <w:t>among</w:t>
      </w:r>
      <w:r>
        <w:rPr>
          <w:color w:val="231F20"/>
          <w:spacing w:val="6"/>
        </w:rPr>
        <w:t> </w:t>
      </w:r>
      <w:r>
        <w:rPr>
          <w:color w:val="231F20"/>
        </w:rPr>
        <w:t>the</w:t>
      </w:r>
      <w:r>
        <w:rPr>
          <w:color w:val="231F20"/>
          <w:spacing w:val="7"/>
        </w:rPr>
        <w:t> </w:t>
      </w:r>
      <w:r>
        <w:rPr>
          <w:color w:val="231F20"/>
        </w:rPr>
        <w:t>general</w:t>
      </w:r>
      <w:r>
        <w:rPr>
          <w:color w:val="231F20"/>
          <w:spacing w:val="6"/>
        </w:rPr>
        <w:t> </w:t>
      </w:r>
      <w:r>
        <w:rPr>
          <w:color w:val="231F20"/>
        </w:rPr>
        <w:t>population</w:t>
      </w:r>
      <w:r>
        <w:rPr>
          <w:color w:val="231F20"/>
          <w:spacing w:val="1"/>
        </w:rPr>
        <w:t> </w:t>
      </w:r>
      <w:r>
        <w:rPr>
          <w:color w:val="231F20"/>
        </w:rPr>
        <w:t>(as shown in the chart below). People who inject drugs</w:t>
      </w:r>
      <w:r>
        <w:rPr>
          <w:color w:val="231F20"/>
          <w:spacing w:val="1"/>
        </w:rPr>
        <w:t> </w:t>
      </w:r>
      <w:r>
        <w:rPr>
          <w:color w:val="231F20"/>
        </w:rPr>
        <w:t>(PWID) are at increased risk for blood borne pathogens,</w:t>
      </w:r>
      <w:r>
        <w:rPr>
          <w:color w:val="231F20"/>
          <w:spacing w:val="1"/>
        </w:rPr>
        <w:t> </w:t>
      </w:r>
      <w:r>
        <w:rPr>
          <w:color w:val="231F20"/>
        </w:rPr>
        <w:t>such as HIV and hepatitis B and C.</w:t>
      </w:r>
      <w:r>
        <w:rPr>
          <w:color w:val="231F20"/>
          <w:vertAlign w:val="superscript"/>
        </w:rPr>
        <w:t>27</w:t>
      </w:r>
      <w:r>
        <w:rPr>
          <w:color w:val="231F20"/>
          <w:vertAlign w:val="baseline"/>
        </w:rPr>
        <w:t> </w:t>
      </w:r>
      <w:r>
        <w:rPr>
          <w:color w:val="010202"/>
          <w:vertAlign w:val="baseline"/>
        </w:rPr>
        <w:t>In 2017, 9 percent</w:t>
      </w:r>
      <w:r>
        <w:rPr>
          <w:color w:val="010202"/>
          <w:spacing w:val="1"/>
          <w:vertAlign w:val="baseline"/>
        </w:rPr>
        <w:t> </w:t>
      </w:r>
      <w:r>
        <w:rPr>
          <w:color w:val="010202"/>
          <w:vertAlign w:val="baseline"/>
        </w:rPr>
        <w:t>(or 3,641) of the 38,739 new HIV diagnoses in the</w:t>
      </w:r>
      <w:r>
        <w:rPr>
          <w:color w:val="010202"/>
          <w:spacing w:val="1"/>
          <w:vertAlign w:val="baseline"/>
        </w:rPr>
        <w:t> </w:t>
      </w:r>
      <w:r>
        <w:rPr>
          <w:color w:val="010202"/>
          <w:vertAlign w:val="baseline"/>
        </w:rPr>
        <w:t>United</w:t>
      </w:r>
      <w:r>
        <w:rPr>
          <w:color w:val="010202"/>
          <w:spacing w:val="-3"/>
          <w:vertAlign w:val="baseline"/>
        </w:rPr>
        <w:t> </w:t>
      </w:r>
      <w:r>
        <w:rPr>
          <w:color w:val="010202"/>
          <w:vertAlign w:val="baseline"/>
        </w:rPr>
        <w:t>States</w:t>
      </w:r>
      <w:r>
        <w:rPr>
          <w:color w:val="010202"/>
          <w:spacing w:val="-3"/>
          <w:vertAlign w:val="baseline"/>
        </w:rPr>
        <w:t> </w:t>
      </w:r>
      <w:r>
        <w:rPr>
          <w:color w:val="010202"/>
          <w:vertAlign w:val="baseline"/>
        </w:rPr>
        <w:t>and</w:t>
      </w:r>
      <w:r>
        <w:rPr>
          <w:color w:val="010202"/>
          <w:spacing w:val="-2"/>
          <w:vertAlign w:val="baseline"/>
        </w:rPr>
        <w:t> </w:t>
      </w:r>
      <w:r>
        <w:rPr>
          <w:color w:val="010202"/>
          <w:vertAlign w:val="baseline"/>
        </w:rPr>
        <w:t>its</w:t>
      </w:r>
      <w:r>
        <w:rPr>
          <w:color w:val="010202"/>
          <w:spacing w:val="-2"/>
          <w:vertAlign w:val="baseline"/>
        </w:rPr>
        <w:t> </w:t>
      </w:r>
      <w:r>
        <w:rPr>
          <w:color w:val="010202"/>
          <w:vertAlign w:val="baseline"/>
        </w:rPr>
        <w:t>territories</w:t>
      </w:r>
      <w:r>
        <w:rPr>
          <w:color w:val="010202"/>
          <w:spacing w:val="-2"/>
          <w:vertAlign w:val="baseline"/>
        </w:rPr>
        <w:t> </w:t>
      </w:r>
      <w:r>
        <w:rPr>
          <w:color w:val="010202"/>
          <w:vertAlign w:val="baseline"/>
        </w:rPr>
        <w:t>were</w:t>
      </w:r>
      <w:r>
        <w:rPr>
          <w:color w:val="010202"/>
          <w:spacing w:val="-3"/>
          <w:vertAlign w:val="baseline"/>
        </w:rPr>
        <w:t> </w:t>
      </w:r>
      <w:r>
        <w:rPr>
          <w:color w:val="010202"/>
          <w:vertAlign w:val="baseline"/>
        </w:rPr>
        <w:t>among</w:t>
      </w:r>
      <w:r>
        <w:rPr>
          <w:color w:val="010202"/>
          <w:spacing w:val="-2"/>
          <w:vertAlign w:val="baseline"/>
        </w:rPr>
        <w:t> </w:t>
      </w:r>
      <w:r>
        <w:rPr>
          <w:color w:val="010202"/>
          <w:vertAlign w:val="baseline"/>
        </w:rPr>
        <w:t>PWID.</w:t>
      </w:r>
      <w:r>
        <w:rPr>
          <w:color w:val="010202"/>
          <w:vertAlign w:val="superscript"/>
        </w:rPr>
        <w:t>6,</w:t>
      </w:r>
    </w:p>
    <w:p>
      <w:pPr>
        <w:pStyle w:val="BodyText"/>
        <w:spacing w:line="266" w:lineRule="auto"/>
        <w:ind w:left="159" w:right="6604" w:hanging="1"/>
      </w:pPr>
      <w:r>
        <w:rPr>
          <w:color w:val="010202"/>
          <w:vertAlign w:val="superscript"/>
        </w:rPr>
        <w:t>28</w:t>
      </w:r>
      <w:r>
        <w:rPr>
          <w:color w:val="010202"/>
          <w:vertAlign w:val="baseline"/>
        </w:rPr>
        <w:t> Of that population, 2,625 were male and 1,016 were</w:t>
      </w:r>
      <w:r>
        <w:rPr>
          <w:color w:val="010202"/>
          <w:spacing w:val="1"/>
          <w:vertAlign w:val="baseline"/>
        </w:rPr>
        <w:t> </w:t>
      </w:r>
      <w:r>
        <w:rPr>
          <w:color w:val="010202"/>
          <w:vertAlign w:val="baseline"/>
        </w:rPr>
        <w:t>female.</w:t>
      </w:r>
      <w:r>
        <w:rPr>
          <w:color w:val="010202"/>
          <w:vertAlign w:val="superscript"/>
        </w:rPr>
        <w:t>28</w:t>
      </w:r>
      <w:r>
        <w:rPr>
          <w:color w:val="010202"/>
          <w:vertAlign w:val="baseline"/>
        </w:rPr>
        <w:t> Six percent (or 2,389) of new HIV diagnoses</w:t>
      </w:r>
      <w:r>
        <w:rPr>
          <w:color w:val="010202"/>
          <w:spacing w:val="1"/>
          <w:vertAlign w:val="baseline"/>
        </w:rPr>
        <w:t> </w:t>
      </w:r>
      <w:r>
        <w:rPr>
          <w:color w:val="010202"/>
          <w:vertAlign w:val="baseline"/>
        </w:rPr>
        <w:t>in the United States were directly attributed to PWID.</w:t>
      </w:r>
      <w:r>
        <w:rPr>
          <w:color w:val="010202"/>
          <w:vertAlign w:val="superscript"/>
        </w:rPr>
        <w:t>29</w:t>
      </w:r>
      <w:r>
        <w:rPr>
          <w:color w:val="010202"/>
          <w:spacing w:val="-52"/>
          <w:vertAlign w:val="baseline"/>
        </w:rPr>
        <w:t> </w:t>
      </w:r>
      <w:r>
        <w:rPr>
          <w:color w:val="010202"/>
          <w:vertAlign w:val="baseline"/>
        </w:rPr>
        <w:t>New HIV diagnoses are most prevalent among Whites,</w:t>
      </w:r>
      <w:r>
        <w:rPr>
          <w:color w:val="010202"/>
          <w:spacing w:val="-52"/>
          <w:vertAlign w:val="baseline"/>
        </w:rPr>
        <w:t> </w:t>
      </w:r>
      <w:r>
        <w:rPr>
          <w:color w:val="010202"/>
          <w:spacing w:val="-1"/>
          <w:vertAlign w:val="baseline"/>
        </w:rPr>
        <w:t>Blacks/African </w:t>
      </w:r>
      <w:r>
        <w:rPr>
          <w:color w:val="010202"/>
          <w:vertAlign w:val="baseline"/>
        </w:rPr>
        <w:t>Americans, and individuals between the</w:t>
      </w:r>
      <w:r>
        <w:rPr>
          <w:color w:val="010202"/>
          <w:spacing w:val="-52"/>
          <w:vertAlign w:val="baseline"/>
        </w:rPr>
        <w:t> </w:t>
      </w:r>
      <w:r>
        <w:rPr>
          <w:color w:val="010202"/>
          <w:vertAlign w:val="baseline"/>
        </w:rPr>
        <w:t>ages</w:t>
      </w:r>
      <w:r>
        <w:rPr>
          <w:color w:val="010202"/>
          <w:spacing w:val="-1"/>
          <w:vertAlign w:val="baseline"/>
        </w:rPr>
        <w:t> </w:t>
      </w:r>
      <w:r>
        <w:rPr>
          <w:color w:val="010202"/>
          <w:vertAlign w:val="baseline"/>
        </w:rPr>
        <w:t>of 25 and 44.</w:t>
      </w:r>
      <w:r>
        <w:rPr>
          <w:color w:val="010202"/>
          <w:vertAlign w:val="superscript"/>
        </w:rPr>
        <w:t>28</w:t>
      </w:r>
    </w:p>
    <w:p>
      <w:pPr>
        <w:pStyle w:val="BodyText"/>
        <w:spacing w:line="266" w:lineRule="auto" w:before="168"/>
        <w:ind w:left="160" w:right="6643"/>
      </w:pPr>
      <w:r>
        <w:rPr>
          <w:color w:val="231F20"/>
        </w:rPr>
        <w:t>In addition, research suggests that substance use,</w:t>
      </w:r>
      <w:r>
        <w:rPr>
          <w:color w:val="231F20"/>
          <w:spacing w:val="1"/>
        </w:rPr>
        <w:t> </w:t>
      </w:r>
      <w:r>
        <w:rPr>
          <w:color w:val="231F20"/>
          <w:spacing w:val="-1"/>
        </w:rPr>
        <w:t>including alcohol,</w:t>
      </w:r>
      <w:r>
        <w:rPr>
          <w:color w:val="231F20"/>
          <w:spacing w:val="-1"/>
          <w:vertAlign w:val="superscript"/>
        </w:rPr>
        <w:t>30-32</w:t>
      </w:r>
      <w:r>
        <w:rPr>
          <w:color w:val="231F20"/>
          <w:spacing w:val="-1"/>
          <w:vertAlign w:val="baseline"/>
        </w:rPr>
        <w:t> methamphetamine,</w:t>
      </w:r>
      <w:r>
        <w:rPr>
          <w:color w:val="231F20"/>
          <w:spacing w:val="-1"/>
          <w:vertAlign w:val="superscript"/>
        </w:rPr>
        <w:t>33-34</w:t>
      </w:r>
      <w:r>
        <w:rPr>
          <w:color w:val="231F20"/>
          <w:spacing w:val="-1"/>
          <w:vertAlign w:val="baseline"/>
        </w:rPr>
        <w:t> </w:t>
      </w:r>
      <w:r>
        <w:rPr>
          <w:color w:val="231F20"/>
          <w:vertAlign w:val="baseline"/>
        </w:rPr>
        <w:t>cocaine,</w:t>
      </w:r>
      <w:r>
        <w:rPr>
          <w:color w:val="231F20"/>
          <w:vertAlign w:val="superscript"/>
        </w:rPr>
        <w:t>35</w:t>
      </w:r>
      <w:r>
        <w:rPr>
          <w:color w:val="231F20"/>
          <w:spacing w:val="-52"/>
          <w:vertAlign w:val="baseline"/>
        </w:rPr>
        <w:t> </w:t>
      </w:r>
      <w:r>
        <w:rPr>
          <w:color w:val="231F20"/>
          <w:vertAlign w:val="baseline"/>
        </w:rPr>
        <w:t>opioids, and inhalants, increases sexual behaviors that</w:t>
      </w:r>
      <w:r>
        <w:rPr>
          <w:color w:val="231F20"/>
          <w:spacing w:val="1"/>
          <w:vertAlign w:val="baseline"/>
        </w:rPr>
        <w:t> </w:t>
      </w:r>
      <w:r>
        <w:rPr>
          <w:color w:val="231F20"/>
          <w:vertAlign w:val="baseline"/>
        </w:rPr>
        <w:t>are associated with increased likelihood of getting HIV</w:t>
      </w:r>
      <w:r>
        <w:rPr>
          <w:color w:val="231F20"/>
          <w:spacing w:val="-52"/>
          <w:vertAlign w:val="baseline"/>
        </w:rPr>
        <w:t> </w:t>
      </w:r>
      <w:r>
        <w:rPr>
          <w:color w:val="231F20"/>
          <w:w w:val="95"/>
          <w:vertAlign w:val="baseline"/>
        </w:rPr>
        <w:t>(e.g.,</w:t>
      </w:r>
      <w:r>
        <w:rPr>
          <w:color w:val="231F20"/>
          <w:spacing w:val="4"/>
          <w:w w:val="95"/>
          <w:vertAlign w:val="baseline"/>
        </w:rPr>
        <w:t> </w:t>
      </w:r>
      <w:r>
        <w:rPr>
          <w:color w:val="231F20"/>
          <w:w w:val="95"/>
          <w:vertAlign w:val="baseline"/>
        </w:rPr>
        <w:t>condomless</w:t>
      </w:r>
      <w:r>
        <w:rPr>
          <w:color w:val="231F20"/>
          <w:spacing w:val="4"/>
          <w:w w:val="95"/>
          <w:vertAlign w:val="baseline"/>
        </w:rPr>
        <w:t> </w:t>
      </w:r>
      <w:r>
        <w:rPr>
          <w:color w:val="231F20"/>
          <w:w w:val="95"/>
          <w:vertAlign w:val="baseline"/>
        </w:rPr>
        <w:t>sex).</w:t>
      </w:r>
      <w:r>
        <w:rPr>
          <w:color w:val="010202"/>
          <w:w w:val="95"/>
          <w:vertAlign w:val="superscript"/>
        </w:rPr>
        <w:t>28,</w:t>
      </w:r>
      <w:r>
        <w:rPr>
          <w:color w:val="010202"/>
          <w:spacing w:val="-19"/>
          <w:w w:val="95"/>
          <w:vertAlign w:val="baseline"/>
        </w:rPr>
        <w:t> </w:t>
      </w:r>
      <w:r>
        <w:rPr>
          <w:color w:val="231F20"/>
          <w:w w:val="95"/>
          <w:vertAlign w:val="superscript"/>
        </w:rPr>
        <w:t>36-38</w:t>
      </w:r>
    </w:p>
    <w:p>
      <w:pPr>
        <w:pStyle w:val="Heading6"/>
        <w:spacing w:before="175"/>
      </w:pPr>
      <w:r>
        <w:rPr>
          <w:color w:val="CE372D"/>
        </w:rPr>
        <w:t>Mental</w:t>
      </w:r>
      <w:r>
        <w:rPr>
          <w:color w:val="CE372D"/>
          <w:spacing w:val="-3"/>
        </w:rPr>
        <w:t> </w:t>
      </w:r>
      <w:r>
        <w:rPr>
          <w:color w:val="CE372D"/>
        </w:rPr>
        <w:t>Health</w:t>
      </w:r>
      <w:r>
        <w:rPr>
          <w:color w:val="CE372D"/>
          <w:spacing w:val="-3"/>
        </w:rPr>
        <w:t> </w:t>
      </w:r>
      <w:r>
        <w:rPr>
          <w:color w:val="CE372D"/>
        </w:rPr>
        <w:t>and</w:t>
      </w:r>
      <w:r>
        <w:rPr>
          <w:color w:val="CE372D"/>
          <w:spacing w:val="-4"/>
        </w:rPr>
        <w:t> </w:t>
      </w:r>
      <w:r>
        <w:rPr>
          <w:color w:val="CE372D"/>
        </w:rPr>
        <w:t>HIV</w:t>
      </w:r>
    </w:p>
    <w:p>
      <w:pPr>
        <w:pStyle w:val="BodyText"/>
        <w:spacing w:line="266" w:lineRule="auto" w:before="118"/>
        <w:ind w:left="159" w:right="6619"/>
      </w:pPr>
      <w:r>
        <w:rPr>
          <w:color w:val="231F20"/>
        </w:rPr>
        <w:t>Mental illness can interfere with HIV prevention and</w:t>
      </w:r>
      <w:r>
        <w:rPr>
          <w:color w:val="231F20"/>
          <w:spacing w:val="1"/>
        </w:rPr>
        <w:t> </w:t>
      </w:r>
      <w:r>
        <w:rPr>
          <w:color w:val="231F20"/>
          <w:spacing w:val="-1"/>
        </w:rPr>
        <w:t>adherence</w:t>
      </w:r>
      <w:r>
        <w:rPr>
          <w:color w:val="231F20"/>
          <w:spacing w:val="-13"/>
        </w:rPr>
        <w:t> </w:t>
      </w:r>
      <w:r>
        <w:rPr>
          <w:color w:val="231F20"/>
          <w:spacing w:val="-1"/>
        </w:rPr>
        <w:t>to</w:t>
      </w:r>
      <w:r>
        <w:rPr>
          <w:color w:val="231F20"/>
          <w:spacing w:val="-13"/>
        </w:rPr>
        <w:t> </w:t>
      </w:r>
      <w:r>
        <w:rPr>
          <w:color w:val="231F20"/>
          <w:spacing w:val="-1"/>
        </w:rPr>
        <w:t>treatment</w:t>
      </w:r>
      <w:r>
        <w:rPr>
          <w:color w:val="231F20"/>
          <w:spacing w:val="-1"/>
          <w:vertAlign w:val="superscript"/>
        </w:rPr>
        <w:t>48-49</w:t>
      </w:r>
      <w:r>
        <w:rPr>
          <w:color w:val="231F20"/>
          <w:spacing w:val="-13"/>
          <w:vertAlign w:val="baseline"/>
        </w:rPr>
        <w:t> </w:t>
      </w:r>
      <w:r>
        <w:rPr>
          <w:color w:val="231F20"/>
          <w:spacing w:val="-1"/>
          <w:vertAlign w:val="baseline"/>
        </w:rPr>
        <w:t>and</w:t>
      </w:r>
      <w:r>
        <w:rPr>
          <w:color w:val="231F20"/>
          <w:spacing w:val="-12"/>
          <w:vertAlign w:val="baseline"/>
        </w:rPr>
        <w:t> </w:t>
      </w:r>
      <w:r>
        <w:rPr>
          <w:color w:val="231F20"/>
          <w:spacing w:val="-1"/>
          <w:vertAlign w:val="baseline"/>
        </w:rPr>
        <w:t>is</w:t>
      </w:r>
      <w:r>
        <w:rPr>
          <w:color w:val="231F20"/>
          <w:spacing w:val="-13"/>
          <w:vertAlign w:val="baseline"/>
        </w:rPr>
        <w:t> </w:t>
      </w:r>
      <w:r>
        <w:rPr>
          <w:color w:val="231F20"/>
          <w:spacing w:val="-1"/>
          <w:vertAlign w:val="baseline"/>
        </w:rPr>
        <w:t>linked</w:t>
      </w:r>
      <w:r>
        <w:rPr>
          <w:color w:val="231F20"/>
          <w:spacing w:val="-13"/>
          <w:vertAlign w:val="baseline"/>
        </w:rPr>
        <w:t> </w:t>
      </w:r>
      <w:r>
        <w:rPr>
          <w:color w:val="231F20"/>
          <w:spacing w:val="-1"/>
          <w:vertAlign w:val="baseline"/>
        </w:rPr>
        <w:t>to</w:t>
      </w:r>
      <w:r>
        <w:rPr>
          <w:color w:val="231F20"/>
          <w:spacing w:val="-12"/>
          <w:vertAlign w:val="baseline"/>
        </w:rPr>
        <w:t> </w:t>
      </w:r>
      <w:r>
        <w:rPr>
          <w:color w:val="231F20"/>
          <w:spacing w:val="-1"/>
          <w:vertAlign w:val="baseline"/>
        </w:rPr>
        <w:t>behaviors</w:t>
      </w:r>
      <w:r>
        <w:rPr>
          <w:color w:val="231F20"/>
          <w:spacing w:val="-13"/>
          <w:vertAlign w:val="baseline"/>
        </w:rPr>
        <w:t> </w:t>
      </w:r>
      <w:r>
        <w:rPr>
          <w:color w:val="231F20"/>
          <w:vertAlign w:val="baseline"/>
        </w:rPr>
        <w:t>that</w:t>
      </w:r>
      <w:r>
        <w:rPr>
          <w:color w:val="231F20"/>
          <w:spacing w:val="-52"/>
          <w:vertAlign w:val="baseline"/>
        </w:rPr>
        <w:t> </w:t>
      </w:r>
      <w:r>
        <w:rPr>
          <w:color w:val="231F20"/>
          <w:vertAlign w:val="baseline"/>
        </w:rPr>
        <w:t>increase</w:t>
      </w:r>
      <w:r>
        <w:rPr>
          <w:color w:val="231F20"/>
          <w:spacing w:val="-6"/>
          <w:vertAlign w:val="baseline"/>
        </w:rPr>
        <w:t> </w:t>
      </w:r>
      <w:r>
        <w:rPr>
          <w:color w:val="231F20"/>
          <w:vertAlign w:val="baseline"/>
        </w:rPr>
        <w:t>likelihood</w:t>
      </w:r>
      <w:r>
        <w:rPr>
          <w:color w:val="231F20"/>
          <w:spacing w:val="-6"/>
          <w:vertAlign w:val="baseline"/>
        </w:rPr>
        <w:t> </w:t>
      </w:r>
      <w:r>
        <w:rPr>
          <w:color w:val="231F20"/>
          <w:vertAlign w:val="baseline"/>
        </w:rPr>
        <w:t>of</w:t>
      </w:r>
      <w:r>
        <w:rPr>
          <w:color w:val="231F20"/>
          <w:spacing w:val="-6"/>
          <w:vertAlign w:val="baseline"/>
        </w:rPr>
        <w:t> </w:t>
      </w:r>
      <w:r>
        <w:rPr>
          <w:color w:val="231F20"/>
          <w:vertAlign w:val="baseline"/>
        </w:rPr>
        <w:t>getting</w:t>
      </w:r>
      <w:r>
        <w:rPr>
          <w:color w:val="231F20"/>
          <w:spacing w:val="-6"/>
          <w:vertAlign w:val="baseline"/>
        </w:rPr>
        <w:t> </w:t>
      </w:r>
      <w:r>
        <w:rPr>
          <w:color w:val="231F20"/>
          <w:vertAlign w:val="baseline"/>
        </w:rPr>
        <w:t>HIV.</w:t>
      </w:r>
    </w:p>
    <w:p>
      <w:pPr>
        <w:pStyle w:val="BodyText"/>
        <w:rPr>
          <w:sz w:val="20"/>
        </w:rPr>
      </w:pPr>
    </w:p>
    <w:p>
      <w:pPr>
        <w:pStyle w:val="BodyText"/>
        <w:spacing w:before="2"/>
        <w:rPr>
          <w:sz w:val="25"/>
        </w:rPr>
      </w:pPr>
      <w:r>
        <w:rPr/>
        <w:drawing>
          <wp:anchor distT="0" distB="0" distL="0" distR="0" allowOverlap="1" layoutInCell="1" locked="0" behindDoc="0" simplePos="0" relativeHeight="27">
            <wp:simplePos x="0" y="0"/>
            <wp:positionH relativeFrom="page">
              <wp:posOffset>459231</wp:posOffset>
            </wp:positionH>
            <wp:positionV relativeFrom="paragraph">
              <wp:posOffset>199305</wp:posOffset>
            </wp:positionV>
            <wp:extent cx="6676155" cy="3312985"/>
            <wp:effectExtent l="0" t="0" r="0" b="0"/>
            <wp:wrapTopAndBottom/>
            <wp:docPr id="17" name="image11.png" descr="This graphic depicts a bar graph showing percentages of both the general population and people with HIV/AIDS who experience various types of substance use. 7.4% of the general population and 11.1% of those with HIV/AIDS have substance use disorder. 3% of the general population and 7.8% of those with HIV/AIDS report illicit drug use disorder, and 20.8% of the general population and 45.9% of those with HIV/AIDS report illicit drug use. 17.5% of the general population and 41.6% of those with HIV/AIDS report marijuana use. 0.7% of the general population and 11.5% of those with HIV/AIDS report methamphetamine use. 2% of the general population and 8.7% of those with HIV/AIDS report cocaine use.  "/>
            <wp:cNvGraphicFramePr>
              <a:graphicFrameLocks noChangeAspect="1"/>
            </wp:cNvGraphicFramePr>
            <a:graphic>
              <a:graphicData uri="http://schemas.openxmlformats.org/drawingml/2006/picture">
                <pic:pic>
                  <pic:nvPicPr>
                    <pic:cNvPr id="18" name="image11.png"/>
                    <pic:cNvPicPr/>
                  </pic:nvPicPr>
                  <pic:blipFill>
                    <a:blip r:embed="rId34" cstate="print"/>
                    <a:stretch>
                      <a:fillRect/>
                    </a:stretch>
                  </pic:blipFill>
                  <pic:spPr>
                    <a:xfrm>
                      <a:off x="0" y="0"/>
                      <a:ext cx="6676155" cy="3312985"/>
                    </a:xfrm>
                    <a:prstGeom prst="rect">
                      <a:avLst/>
                    </a:prstGeom>
                  </pic:spPr>
                </pic:pic>
              </a:graphicData>
            </a:graphic>
          </wp:anchor>
        </w:drawing>
      </w:r>
    </w:p>
    <w:p>
      <w:pPr>
        <w:spacing w:after="0"/>
        <w:rPr>
          <w:sz w:val="25"/>
        </w:rPr>
        <w:sectPr>
          <w:pgSz w:w="12240" w:h="15840"/>
          <w:pgMar w:header="0" w:footer="666" w:top="380" w:bottom="860" w:left="560" w:right="0"/>
        </w:sectPr>
      </w:pPr>
    </w:p>
    <w:p>
      <w:pPr>
        <w:pStyle w:val="BodyText"/>
        <w:rPr>
          <w:sz w:val="20"/>
        </w:rPr>
      </w:pPr>
    </w:p>
    <w:p>
      <w:pPr>
        <w:pStyle w:val="BodyText"/>
        <w:rPr>
          <w:sz w:val="20"/>
        </w:rPr>
      </w:pPr>
    </w:p>
    <w:p>
      <w:pPr>
        <w:pStyle w:val="BodyText"/>
        <w:spacing w:before="7" w:after="1"/>
        <w:rPr>
          <w:sz w:val="19"/>
        </w:rPr>
      </w:pPr>
    </w:p>
    <w:tbl>
      <w:tblPr>
        <w:tblW w:w="0" w:type="auto"/>
        <w:jc w:val="left"/>
        <w:tblInd w:w="18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3263"/>
        <w:gridCol w:w="7517"/>
      </w:tblGrid>
      <w:tr>
        <w:trPr>
          <w:trHeight w:val="285" w:hRule="atLeast"/>
        </w:trPr>
        <w:tc>
          <w:tcPr>
            <w:tcW w:w="10780" w:type="dxa"/>
            <w:gridSpan w:val="2"/>
            <w:shd w:val="clear" w:color="auto" w:fill="CE384B"/>
          </w:tcPr>
          <w:p>
            <w:pPr>
              <w:pStyle w:val="TableParagraph"/>
              <w:spacing w:before="28"/>
              <w:ind w:left="1474" w:right="1454"/>
              <w:jc w:val="center"/>
              <w:rPr>
                <w:sz w:val="20"/>
              </w:rPr>
            </w:pPr>
            <w:bookmarkStart w:name="Substances and HIV-Related Outcomes" w:id="20"/>
            <w:bookmarkEnd w:id="20"/>
            <w:r>
              <w:rPr/>
            </w:r>
            <w:bookmarkStart w:name="Alcohol" w:id="21"/>
            <w:bookmarkEnd w:id="21"/>
            <w:r>
              <w:rPr/>
            </w:r>
            <w:bookmarkStart w:name="Opioids" w:id="22"/>
            <w:bookmarkEnd w:id="22"/>
            <w:r>
              <w:rPr/>
            </w:r>
            <w:bookmarkStart w:name="Methamphetamine" w:id="23"/>
            <w:bookmarkEnd w:id="23"/>
            <w:r>
              <w:rPr/>
            </w:r>
            <w:bookmarkStart w:name="“Club drugs”" w:id="24"/>
            <w:bookmarkEnd w:id="24"/>
            <w:r>
              <w:rPr/>
            </w:r>
            <w:r>
              <w:rPr>
                <w:color w:val="FFFFFF"/>
                <w:sz w:val="20"/>
              </w:rPr>
              <w:t>Substances</w:t>
            </w:r>
            <w:r>
              <w:rPr>
                <w:color w:val="FFFFFF"/>
                <w:spacing w:val="-6"/>
                <w:sz w:val="20"/>
              </w:rPr>
              <w:t> </w:t>
            </w:r>
            <w:r>
              <w:rPr>
                <w:color w:val="FFFFFF"/>
                <w:sz w:val="20"/>
              </w:rPr>
              <w:t>and</w:t>
            </w:r>
            <w:r>
              <w:rPr>
                <w:color w:val="FFFFFF"/>
                <w:spacing w:val="-5"/>
                <w:sz w:val="20"/>
              </w:rPr>
              <w:t> </w:t>
            </w:r>
            <w:r>
              <w:rPr>
                <w:color w:val="FFFFFF"/>
                <w:sz w:val="20"/>
              </w:rPr>
              <w:t>HIV-Related</w:t>
            </w:r>
            <w:r>
              <w:rPr>
                <w:color w:val="FFFFFF"/>
                <w:spacing w:val="-5"/>
                <w:sz w:val="20"/>
              </w:rPr>
              <w:t> </w:t>
            </w:r>
            <w:r>
              <w:rPr>
                <w:color w:val="FFFFFF"/>
                <w:sz w:val="20"/>
              </w:rPr>
              <w:t>Outcomes</w:t>
            </w:r>
          </w:p>
        </w:tc>
      </w:tr>
      <w:tr>
        <w:trPr>
          <w:trHeight w:val="902" w:hRule="atLeast"/>
        </w:trPr>
        <w:tc>
          <w:tcPr>
            <w:tcW w:w="3263" w:type="dxa"/>
          </w:tcPr>
          <w:p>
            <w:pPr>
              <w:pStyle w:val="TableParagraph"/>
              <w:spacing w:before="28"/>
              <w:ind w:left="79"/>
              <w:rPr>
                <w:b/>
                <w:sz w:val="20"/>
              </w:rPr>
            </w:pPr>
            <w:r>
              <w:rPr>
                <w:b/>
                <w:color w:val="010202"/>
                <w:sz w:val="20"/>
              </w:rPr>
              <w:t>Alcohol</w:t>
            </w:r>
          </w:p>
        </w:tc>
        <w:tc>
          <w:tcPr>
            <w:tcW w:w="7517" w:type="dxa"/>
          </w:tcPr>
          <w:p>
            <w:pPr>
              <w:pStyle w:val="TableParagraph"/>
              <w:spacing w:line="249" w:lineRule="auto" w:before="28"/>
              <w:ind w:left="79" w:right="172"/>
              <w:rPr>
                <w:sz w:val="11"/>
              </w:rPr>
            </w:pPr>
            <w:r>
              <w:rPr>
                <w:color w:val="231F20"/>
                <w:sz w:val="20"/>
              </w:rPr>
              <w:t>Heavy alcohol consumption is linked to sexual behaviors that increase likelihood</w:t>
            </w:r>
            <w:r>
              <w:rPr>
                <w:color w:val="231F20"/>
                <w:spacing w:val="1"/>
                <w:sz w:val="20"/>
              </w:rPr>
              <w:t> </w:t>
            </w:r>
            <w:r>
              <w:rPr>
                <w:color w:val="231F20"/>
                <w:sz w:val="20"/>
              </w:rPr>
              <w:t>of</w:t>
            </w:r>
            <w:r>
              <w:rPr>
                <w:color w:val="231F20"/>
                <w:spacing w:val="-5"/>
                <w:sz w:val="20"/>
              </w:rPr>
              <w:t> </w:t>
            </w:r>
            <w:r>
              <w:rPr>
                <w:color w:val="231F20"/>
                <w:sz w:val="20"/>
              </w:rPr>
              <w:t>getting</w:t>
            </w:r>
            <w:r>
              <w:rPr>
                <w:color w:val="231F20"/>
                <w:spacing w:val="-4"/>
                <w:sz w:val="20"/>
              </w:rPr>
              <w:t> </w:t>
            </w:r>
            <w:r>
              <w:rPr>
                <w:color w:val="231F20"/>
                <w:sz w:val="20"/>
              </w:rPr>
              <w:t>HIV</w:t>
            </w:r>
            <w:r>
              <w:rPr>
                <w:color w:val="231F20"/>
                <w:spacing w:val="-5"/>
                <w:sz w:val="20"/>
              </w:rPr>
              <w:t> </w:t>
            </w:r>
            <w:r>
              <w:rPr>
                <w:color w:val="231F20"/>
                <w:sz w:val="20"/>
              </w:rPr>
              <w:t>and</w:t>
            </w:r>
            <w:r>
              <w:rPr>
                <w:color w:val="231F20"/>
                <w:spacing w:val="-4"/>
                <w:sz w:val="20"/>
              </w:rPr>
              <w:t> </w:t>
            </w:r>
            <w:r>
              <w:rPr>
                <w:color w:val="231F20"/>
                <w:sz w:val="20"/>
              </w:rPr>
              <w:t>associated</w:t>
            </w:r>
            <w:r>
              <w:rPr>
                <w:color w:val="231F20"/>
                <w:spacing w:val="-4"/>
                <w:sz w:val="20"/>
              </w:rPr>
              <w:t> </w:t>
            </w:r>
            <w:r>
              <w:rPr>
                <w:color w:val="231F20"/>
                <w:sz w:val="20"/>
              </w:rPr>
              <w:t>with</w:t>
            </w:r>
            <w:r>
              <w:rPr>
                <w:color w:val="231F20"/>
                <w:spacing w:val="-5"/>
                <w:sz w:val="20"/>
              </w:rPr>
              <w:t> </w:t>
            </w:r>
            <w:r>
              <w:rPr>
                <w:color w:val="231F20"/>
                <w:sz w:val="20"/>
              </w:rPr>
              <w:t>delays</w:t>
            </w:r>
            <w:r>
              <w:rPr>
                <w:color w:val="231F20"/>
                <w:spacing w:val="-4"/>
                <w:sz w:val="20"/>
              </w:rPr>
              <w:t> </w:t>
            </w:r>
            <w:r>
              <w:rPr>
                <w:color w:val="231F20"/>
                <w:sz w:val="20"/>
              </w:rPr>
              <w:t>in</w:t>
            </w:r>
            <w:r>
              <w:rPr>
                <w:color w:val="231F20"/>
                <w:spacing w:val="-4"/>
                <w:sz w:val="20"/>
              </w:rPr>
              <w:t> </w:t>
            </w:r>
            <w:r>
              <w:rPr>
                <w:color w:val="231F20"/>
                <w:sz w:val="20"/>
              </w:rPr>
              <w:t>HIV</w:t>
            </w:r>
            <w:r>
              <w:rPr>
                <w:color w:val="231F20"/>
                <w:spacing w:val="-5"/>
                <w:sz w:val="20"/>
              </w:rPr>
              <w:t> </w:t>
            </w:r>
            <w:r>
              <w:rPr>
                <w:color w:val="231F20"/>
                <w:sz w:val="20"/>
              </w:rPr>
              <w:t>diagnosis</w:t>
            </w:r>
            <w:r>
              <w:rPr>
                <w:color w:val="231F20"/>
                <w:spacing w:val="-4"/>
                <w:sz w:val="20"/>
              </w:rPr>
              <w:t> </w:t>
            </w:r>
            <w:r>
              <w:rPr>
                <w:color w:val="231F20"/>
                <w:sz w:val="20"/>
              </w:rPr>
              <w:t>and</w:t>
            </w:r>
            <w:r>
              <w:rPr>
                <w:color w:val="231F20"/>
                <w:spacing w:val="-4"/>
                <w:sz w:val="20"/>
              </w:rPr>
              <w:t> </w:t>
            </w:r>
            <w:r>
              <w:rPr>
                <w:color w:val="231F20"/>
                <w:sz w:val="20"/>
              </w:rPr>
              <w:t>lower</w:t>
            </w:r>
            <w:r>
              <w:rPr>
                <w:color w:val="231F20"/>
                <w:spacing w:val="-5"/>
                <w:sz w:val="20"/>
              </w:rPr>
              <w:t> </w:t>
            </w:r>
            <w:r>
              <w:rPr>
                <w:color w:val="231F20"/>
                <w:sz w:val="20"/>
              </w:rPr>
              <w:t>rates</w:t>
            </w:r>
            <w:r>
              <w:rPr>
                <w:color w:val="231F20"/>
                <w:spacing w:val="-3"/>
                <w:sz w:val="20"/>
              </w:rPr>
              <w:t> </w:t>
            </w:r>
            <w:r>
              <w:rPr>
                <w:color w:val="231F20"/>
                <w:sz w:val="20"/>
              </w:rPr>
              <w:t>of</w:t>
            </w:r>
            <w:r>
              <w:rPr>
                <w:color w:val="231F20"/>
                <w:spacing w:val="-14"/>
                <w:sz w:val="20"/>
              </w:rPr>
              <w:t> </w:t>
            </w:r>
            <w:r>
              <w:rPr>
                <w:color w:val="231F20"/>
                <w:sz w:val="20"/>
              </w:rPr>
              <w:t>ART</w:t>
            </w:r>
            <w:r>
              <w:rPr>
                <w:color w:val="231F20"/>
                <w:spacing w:val="1"/>
                <w:sz w:val="20"/>
              </w:rPr>
              <w:t> </w:t>
            </w:r>
            <w:r>
              <w:rPr>
                <w:color w:val="231F20"/>
                <w:sz w:val="20"/>
              </w:rPr>
              <w:t>receipt and</w:t>
            </w:r>
            <w:r>
              <w:rPr>
                <w:color w:val="231F20"/>
                <w:spacing w:val="-1"/>
                <w:sz w:val="20"/>
              </w:rPr>
              <w:t> </w:t>
            </w:r>
            <w:r>
              <w:rPr>
                <w:color w:val="231F20"/>
                <w:sz w:val="20"/>
              </w:rPr>
              <w:t>adherence.</w:t>
            </w:r>
            <w:r>
              <w:rPr>
                <w:color w:val="231F20"/>
                <w:position w:val="7"/>
                <w:sz w:val="11"/>
              </w:rPr>
              <w:t>39-40</w:t>
            </w:r>
          </w:p>
        </w:tc>
      </w:tr>
      <w:tr>
        <w:trPr>
          <w:trHeight w:val="2032" w:hRule="atLeast"/>
        </w:trPr>
        <w:tc>
          <w:tcPr>
            <w:tcW w:w="3263" w:type="dxa"/>
          </w:tcPr>
          <w:p>
            <w:pPr>
              <w:pStyle w:val="TableParagraph"/>
              <w:spacing w:before="28"/>
              <w:ind w:left="79"/>
              <w:rPr>
                <w:b/>
                <w:sz w:val="20"/>
              </w:rPr>
            </w:pPr>
            <w:r>
              <w:rPr>
                <w:b/>
                <w:color w:val="231F20"/>
                <w:sz w:val="20"/>
              </w:rPr>
              <w:t>Opioids</w:t>
            </w:r>
          </w:p>
        </w:tc>
        <w:tc>
          <w:tcPr>
            <w:tcW w:w="7517" w:type="dxa"/>
          </w:tcPr>
          <w:p>
            <w:pPr>
              <w:pStyle w:val="TableParagraph"/>
              <w:spacing w:line="249" w:lineRule="auto" w:before="28"/>
              <w:ind w:left="79" w:right="121"/>
              <w:rPr>
                <w:sz w:val="11"/>
              </w:rPr>
            </w:pPr>
            <w:r>
              <w:rPr>
                <w:color w:val="231F20"/>
                <w:spacing w:val="-4"/>
                <w:sz w:val="20"/>
              </w:rPr>
              <w:t>Opioid use is associated with injection drug </w:t>
            </w:r>
            <w:r>
              <w:rPr>
                <w:color w:val="231F20"/>
                <w:spacing w:val="-3"/>
                <w:sz w:val="20"/>
              </w:rPr>
              <w:t>use equipment sharing and sexual</w:t>
            </w:r>
            <w:r>
              <w:rPr>
                <w:color w:val="231F20"/>
                <w:spacing w:val="-2"/>
                <w:sz w:val="20"/>
              </w:rPr>
              <w:t> </w:t>
            </w:r>
            <w:r>
              <w:rPr>
                <w:color w:val="231F20"/>
                <w:spacing w:val="-4"/>
                <w:sz w:val="20"/>
              </w:rPr>
              <w:t>behaviors that increase likelihood of getting HIV.</w:t>
            </w:r>
            <w:r>
              <w:rPr>
                <w:color w:val="231F20"/>
                <w:spacing w:val="-4"/>
                <w:position w:val="7"/>
                <w:sz w:val="11"/>
              </w:rPr>
              <w:t>41-42 </w:t>
            </w:r>
            <w:r>
              <w:rPr>
                <w:color w:val="231F20"/>
                <w:spacing w:val="-4"/>
                <w:sz w:val="20"/>
              </w:rPr>
              <w:t>Injection </w:t>
            </w:r>
            <w:r>
              <w:rPr>
                <w:color w:val="231F20"/>
                <w:spacing w:val="-3"/>
                <w:sz w:val="20"/>
              </w:rPr>
              <w:t>drug use presents</w:t>
            </w:r>
            <w:r>
              <w:rPr>
                <w:color w:val="231F20"/>
                <w:spacing w:val="-2"/>
                <w:sz w:val="20"/>
              </w:rPr>
              <w:t> </w:t>
            </w:r>
            <w:r>
              <w:rPr>
                <w:color w:val="231F20"/>
                <w:spacing w:val="-4"/>
                <w:sz w:val="20"/>
              </w:rPr>
              <w:t>increased likelihood for HIV transmission, </w:t>
            </w:r>
            <w:r>
              <w:rPr>
                <w:color w:val="231F20"/>
                <w:spacing w:val="-3"/>
                <w:sz w:val="20"/>
              </w:rPr>
              <w:t>because the virus can survive in a used</w:t>
            </w:r>
            <w:r>
              <w:rPr>
                <w:color w:val="231F20"/>
                <w:spacing w:val="-2"/>
                <w:sz w:val="20"/>
              </w:rPr>
              <w:t> </w:t>
            </w:r>
            <w:r>
              <w:rPr>
                <w:color w:val="231F20"/>
                <w:spacing w:val="-4"/>
                <w:sz w:val="20"/>
              </w:rPr>
              <w:t>syringe for up to 42 days. A person </w:t>
            </w:r>
            <w:r>
              <w:rPr>
                <w:color w:val="231F20"/>
                <w:spacing w:val="-3"/>
                <w:sz w:val="20"/>
              </w:rPr>
              <w:t>without HIV has a 1 in 160 chance of getting HIV</w:t>
            </w:r>
            <w:r>
              <w:rPr>
                <w:color w:val="231F20"/>
                <w:spacing w:val="-2"/>
                <w:sz w:val="20"/>
              </w:rPr>
              <w:t> </w:t>
            </w:r>
            <w:r>
              <w:rPr>
                <w:color w:val="231F20"/>
                <w:spacing w:val="-4"/>
                <w:sz w:val="20"/>
              </w:rPr>
              <w:t>when using a syringe previously used by someone who has HIV.</w:t>
            </w:r>
            <w:r>
              <w:rPr>
                <w:color w:val="231F20"/>
                <w:spacing w:val="-4"/>
                <w:position w:val="7"/>
                <w:sz w:val="11"/>
              </w:rPr>
              <w:t>38 </w:t>
            </w:r>
            <w:r>
              <w:rPr>
                <w:color w:val="231F20"/>
                <w:spacing w:val="-3"/>
                <w:sz w:val="20"/>
              </w:rPr>
              <w:t>Emerging evidence</w:t>
            </w:r>
            <w:r>
              <w:rPr>
                <w:color w:val="231F20"/>
                <w:spacing w:val="-53"/>
                <w:sz w:val="20"/>
              </w:rPr>
              <w:t> </w:t>
            </w:r>
            <w:r>
              <w:rPr>
                <w:color w:val="231F20"/>
                <w:spacing w:val="-4"/>
                <w:sz w:val="20"/>
              </w:rPr>
              <w:t>suggests that individuals who misuse prescription opioids </w:t>
            </w:r>
            <w:r>
              <w:rPr>
                <w:color w:val="231F20"/>
                <w:spacing w:val="-3"/>
                <w:sz w:val="20"/>
              </w:rPr>
              <w:t>are engaging in sexual</w:t>
            </w:r>
            <w:r>
              <w:rPr>
                <w:color w:val="231F20"/>
                <w:spacing w:val="-2"/>
                <w:sz w:val="20"/>
              </w:rPr>
              <w:t> </w:t>
            </w:r>
            <w:r>
              <w:rPr>
                <w:color w:val="231F20"/>
                <w:spacing w:val="-4"/>
                <w:sz w:val="20"/>
              </w:rPr>
              <w:t>behaviors that increase likelihood of getting HIV </w:t>
            </w:r>
            <w:r>
              <w:rPr>
                <w:color w:val="231F20"/>
                <w:spacing w:val="-3"/>
                <w:sz w:val="20"/>
              </w:rPr>
              <w:t>(e.g., condomless sex, sex with</w:t>
            </w:r>
            <w:r>
              <w:rPr>
                <w:color w:val="231F20"/>
                <w:spacing w:val="-2"/>
                <w:sz w:val="20"/>
              </w:rPr>
              <w:t> </w:t>
            </w:r>
            <w:r>
              <w:rPr>
                <w:color w:val="231F20"/>
                <w:sz w:val="20"/>
              </w:rPr>
              <w:t>multiple</w:t>
            </w:r>
            <w:r>
              <w:rPr>
                <w:color w:val="231F20"/>
                <w:spacing w:val="-9"/>
                <w:sz w:val="20"/>
              </w:rPr>
              <w:t> </w:t>
            </w:r>
            <w:r>
              <w:rPr>
                <w:color w:val="231F20"/>
                <w:sz w:val="20"/>
              </w:rPr>
              <w:t>partners).</w:t>
            </w:r>
            <w:r>
              <w:rPr>
                <w:color w:val="231F20"/>
                <w:position w:val="7"/>
                <w:sz w:val="11"/>
              </w:rPr>
              <w:t>42-43</w:t>
            </w:r>
          </w:p>
        </w:tc>
      </w:tr>
      <w:tr>
        <w:trPr>
          <w:trHeight w:val="1074" w:hRule="atLeast"/>
        </w:trPr>
        <w:tc>
          <w:tcPr>
            <w:tcW w:w="3263" w:type="dxa"/>
          </w:tcPr>
          <w:p>
            <w:pPr>
              <w:pStyle w:val="TableParagraph"/>
              <w:spacing w:before="28"/>
              <w:ind w:left="80"/>
              <w:rPr>
                <w:b/>
                <w:sz w:val="20"/>
              </w:rPr>
            </w:pPr>
            <w:r>
              <w:rPr>
                <w:b/>
                <w:color w:val="231F20"/>
                <w:sz w:val="20"/>
              </w:rPr>
              <w:t>Methamphetamine</w:t>
            </w:r>
          </w:p>
        </w:tc>
        <w:tc>
          <w:tcPr>
            <w:tcW w:w="7517" w:type="dxa"/>
          </w:tcPr>
          <w:p>
            <w:pPr>
              <w:pStyle w:val="TableParagraph"/>
              <w:spacing w:line="249" w:lineRule="auto" w:before="28"/>
              <w:ind w:left="80" w:right="107"/>
              <w:rPr>
                <w:sz w:val="11"/>
              </w:rPr>
            </w:pPr>
            <w:r>
              <w:rPr>
                <w:color w:val="231F20"/>
                <w:sz w:val="20"/>
              </w:rPr>
              <w:t>Methamphetamine use is associated with injection drug use equipment sharing</w:t>
            </w:r>
            <w:r>
              <w:rPr>
                <w:color w:val="231F20"/>
                <w:spacing w:val="1"/>
                <w:sz w:val="20"/>
              </w:rPr>
              <w:t> </w:t>
            </w:r>
            <w:r>
              <w:rPr>
                <w:color w:val="231F20"/>
                <w:sz w:val="20"/>
              </w:rPr>
              <w:t>and sexual behaviors that increase likelihood of getting HIV. People who actively</w:t>
            </w:r>
            <w:r>
              <w:rPr>
                <w:color w:val="231F20"/>
                <w:spacing w:val="1"/>
                <w:sz w:val="20"/>
              </w:rPr>
              <w:t> </w:t>
            </w:r>
            <w:r>
              <w:rPr>
                <w:color w:val="231F20"/>
                <w:sz w:val="20"/>
              </w:rPr>
              <w:t>use</w:t>
            </w:r>
            <w:r>
              <w:rPr>
                <w:color w:val="231F20"/>
                <w:spacing w:val="-4"/>
                <w:sz w:val="20"/>
              </w:rPr>
              <w:t> </w:t>
            </w:r>
            <w:r>
              <w:rPr>
                <w:color w:val="231F20"/>
                <w:sz w:val="20"/>
              </w:rPr>
              <w:t>methamphetamines</w:t>
            </w:r>
            <w:r>
              <w:rPr>
                <w:color w:val="231F20"/>
                <w:spacing w:val="-2"/>
                <w:sz w:val="20"/>
              </w:rPr>
              <w:t> </w:t>
            </w:r>
            <w:r>
              <w:rPr>
                <w:color w:val="231F20"/>
                <w:sz w:val="20"/>
              </w:rPr>
              <w:t>have</w:t>
            </w:r>
            <w:r>
              <w:rPr>
                <w:color w:val="231F20"/>
                <w:spacing w:val="-3"/>
                <w:sz w:val="20"/>
              </w:rPr>
              <w:t> </w:t>
            </w:r>
            <w:r>
              <w:rPr>
                <w:color w:val="231F20"/>
                <w:sz w:val="20"/>
              </w:rPr>
              <w:t>lower</w:t>
            </w:r>
            <w:r>
              <w:rPr>
                <w:color w:val="231F20"/>
                <w:spacing w:val="-3"/>
                <w:sz w:val="20"/>
              </w:rPr>
              <w:t> </w:t>
            </w:r>
            <w:r>
              <w:rPr>
                <w:color w:val="231F20"/>
                <w:sz w:val="20"/>
              </w:rPr>
              <w:t>rates</w:t>
            </w:r>
            <w:r>
              <w:rPr>
                <w:color w:val="231F20"/>
                <w:spacing w:val="-2"/>
                <w:sz w:val="20"/>
              </w:rPr>
              <w:t> </w:t>
            </w:r>
            <w:r>
              <w:rPr>
                <w:color w:val="231F20"/>
                <w:sz w:val="20"/>
              </w:rPr>
              <w:t>of</w:t>
            </w:r>
            <w:r>
              <w:rPr>
                <w:color w:val="231F20"/>
                <w:spacing w:val="-3"/>
                <w:sz w:val="20"/>
              </w:rPr>
              <w:t> </w:t>
            </w:r>
            <w:r>
              <w:rPr>
                <w:color w:val="231F20"/>
                <w:sz w:val="20"/>
              </w:rPr>
              <w:t>adherence</w:t>
            </w:r>
            <w:r>
              <w:rPr>
                <w:color w:val="231F20"/>
                <w:spacing w:val="-3"/>
                <w:sz w:val="20"/>
              </w:rPr>
              <w:t> </w:t>
            </w:r>
            <w:r>
              <w:rPr>
                <w:color w:val="231F20"/>
                <w:sz w:val="20"/>
              </w:rPr>
              <w:t>to</w:t>
            </w:r>
            <w:r>
              <w:rPr>
                <w:color w:val="231F20"/>
                <w:spacing w:val="-13"/>
                <w:sz w:val="20"/>
              </w:rPr>
              <w:t> </w:t>
            </w:r>
            <w:r>
              <w:rPr>
                <w:color w:val="231F20"/>
                <w:sz w:val="20"/>
              </w:rPr>
              <w:t>ART</w:t>
            </w:r>
            <w:r>
              <w:rPr>
                <w:color w:val="231F20"/>
                <w:spacing w:val="-6"/>
                <w:sz w:val="20"/>
              </w:rPr>
              <w:t> </w:t>
            </w:r>
            <w:r>
              <w:rPr>
                <w:color w:val="231F20"/>
                <w:sz w:val="20"/>
              </w:rPr>
              <w:t>and</w:t>
            </w:r>
            <w:r>
              <w:rPr>
                <w:color w:val="231F20"/>
                <w:spacing w:val="-3"/>
                <w:sz w:val="20"/>
              </w:rPr>
              <w:t> </w:t>
            </w:r>
            <w:r>
              <w:rPr>
                <w:color w:val="231F20"/>
                <w:sz w:val="20"/>
              </w:rPr>
              <w:t>medical</w:t>
            </w:r>
            <w:r>
              <w:rPr>
                <w:color w:val="231F20"/>
                <w:spacing w:val="-2"/>
                <w:sz w:val="20"/>
              </w:rPr>
              <w:t> </w:t>
            </w:r>
            <w:r>
              <w:rPr>
                <w:color w:val="231F20"/>
                <w:sz w:val="20"/>
              </w:rPr>
              <w:t>follow-</w:t>
            </w:r>
            <w:r>
              <w:rPr>
                <w:color w:val="231F20"/>
                <w:spacing w:val="-53"/>
                <w:sz w:val="20"/>
              </w:rPr>
              <w:t> </w:t>
            </w:r>
            <w:r>
              <w:rPr>
                <w:color w:val="231F20"/>
                <w:sz w:val="20"/>
              </w:rPr>
              <w:t>up</w:t>
            </w:r>
            <w:r>
              <w:rPr>
                <w:color w:val="231F20"/>
                <w:spacing w:val="-2"/>
                <w:sz w:val="20"/>
              </w:rPr>
              <w:t> </w:t>
            </w:r>
            <w:r>
              <w:rPr>
                <w:color w:val="231F20"/>
                <w:sz w:val="20"/>
              </w:rPr>
              <w:t>(impacting both</w:t>
            </w:r>
            <w:r>
              <w:rPr>
                <w:color w:val="231F20"/>
                <w:spacing w:val="-1"/>
                <w:sz w:val="20"/>
              </w:rPr>
              <w:t> </w:t>
            </w:r>
            <w:r>
              <w:rPr>
                <w:color w:val="231F20"/>
                <w:sz w:val="20"/>
              </w:rPr>
              <w:t>prevention</w:t>
            </w:r>
            <w:r>
              <w:rPr>
                <w:color w:val="231F20"/>
                <w:spacing w:val="-1"/>
                <w:sz w:val="20"/>
              </w:rPr>
              <w:t> </w:t>
            </w:r>
            <w:r>
              <w:rPr>
                <w:color w:val="231F20"/>
                <w:sz w:val="20"/>
              </w:rPr>
              <w:t>and</w:t>
            </w:r>
            <w:r>
              <w:rPr>
                <w:color w:val="231F20"/>
                <w:spacing w:val="-1"/>
                <w:sz w:val="20"/>
              </w:rPr>
              <w:t> </w:t>
            </w:r>
            <w:r>
              <w:rPr>
                <w:color w:val="231F20"/>
                <w:sz w:val="20"/>
              </w:rPr>
              <w:t>treatment).</w:t>
            </w:r>
            <w:r>
              <w:rPr>
                <w:color w:val="231F20"/>
                <w:position w:val="7"/>
                <w:sz w:val="11"/>
              </w:rPr>
              <w:t>44-45</w:t>
            </w:r>
          </w:p>
        </w:tc>
      </w:tr>
      <w:tr>
        <w:trPr>
          <w:trHeight w:val="1776" w:hRule="atLeast"/>
        </w:trPr>
        <w:tc>
          <w:tcPr>
            <w:tcW w:w="3263" w:type="dxa"/>
          </w:tcPr>
          <w:p>
            <w:pPr>
              <w:pStyle w:val="TableParagraph"/>
              <w:spacing w:line="249" w:lineRule="auto" w:before="28"/>
              <w:ind w:left="79" w:right="115"/>
              <w:rPr>
                <w:sz w:val="11"/>
              </w:rPr>
            </w:pPr>
            <w:r>
              <w:rPr>
                <w:b/>
                <w:color w:val="231F20"/>
                <w:sz w:val="20"/>
              </w:rPr>
              <w:t>“Club drugs” </w:t>
            </w:r>
            <w:r>
              <w:rPr>
                <w:color w:val="010202"/>
                <w:sz w:val="20"/>
              </w:rPr>
              <w:t>[e.g., 3,4-</w:t>
            </w:r>
            <w:r>
              <w:rPr>
                <w:color w:val="010202"/>
                <w:spacing w:val="1"/>
                <w:sz w:val="20"/>
              </w:rPr>
              <w:t> </w:t>
            </w:r>
            <w:r>
              <w:rPr>
                <w:color w:val="010202"/>
                <w:sz w:val="20"/>
              </w:rPr>
              <w:t>methylenedioxymethamphetamine</w:t>
            </w:r>
            <w:r>
              <w:rPr>
                <w:color w:val="010202"/>
                <w:spacing w:val="-54"/>
                <w:sz w:val="20"/>
              </w:rPr>
              <w:t> </w:t>
            </w:r>
            <w:r>
              <w:rPr>
                <w:color w:val="010202"/>
                <w:sz w:val="20"/>
              </w:rPr>
              <w:t>(MDMA,</w:t>
            </w:r>
            <w:r>
              <w:rPr>
                <w:color w:val="010202"/>
                <w:spacing w:val="7"/>
                <w:sz w:val="20"/>
              </w:rPr>
              <w:t> </w:t>
            </w:r>
            <w:r>
              <w:rPr>
                <w:color w:val="010202"/>
                <w:sz w:val="20"/>
              </w:rPr>
              <w:t>Ecstasy,</w:t>
            </w:r>
            <w:r>
              <w:rPr>
                <w:color w:val="010202"/>
                <w:spacing w:val="8"/>
                <w:sz w:val="20"/>
              </w:rPr>
              <w:t> </w:t>
            </w:r>
            <w:r>
              <w:rPr>
                <w:color w:val="010202"/>
                <w:sz w:val="20"/>
              </w:rPr>
              <w:t>Molly),</w:t>
            </w:r>
            <w:r>
              <w:rPr>
                <w:color w:val="010202"/>
                <w:spacing w:val="1"/>
                <w:sz w:val="20"/>
              </w:rPr>
              <w:t> </w:t>
            </w:r>
            <w:r>
              <w:rPr>
                <w:color w:val="010202"/>
                <w:sz w:val="20"/>
              </w:rPr>
              <w:t>Ketamine (Special K), Gamma</w:t>
            </w:r>
            <w:r>
              <w:rPr>
                <w:color w:val="010202"/>
                <w:spacing w:val="1"/>
                <w:sz w:val="20"/>
              </w:rPr>
              <w:t> </w:t>
            </w:r>
            <w:r>
              <w:rPr>
                <w:color w:val="010202"/>
                <w:spacing w:val="-1"/>
                <w:sz w:val="20"/>
              </w:rPr>
              <w:t>Hydroxybutyric </w:t>
            </w:r>
            <w:r>
              <w:rPr>
                <w:color w:val="010202"/>
                <w:sz w:val="20"/>
              </w:rPr>
              <w:t>Acid (GHB, Liquid</w:t>
            </w:r>
            <w:r>
              <w:rPr>
                <w:color w:val="010202"/>
                <w:spacing w:val="1"/>
                <w:sz w:val="20"/>
              </w:rPr>
              <w:t> </w:t>
            </w:r>
            <w:r>
              <w:rPr>
                <w:color w:val="010202"/>
                <w:sz w:val="20"/>
              </w:rPr>
              <w:t>Ecstasy), alkyl nitrites (Poppers,</w:t>
            </w:r>
            <w:r>
              <w:rPr>
                <w:color w:val="010202"/>
                <w:spacing w:val="1"/>
                <w:sz w:val="20"/>
              </w:rPr>
              <w:t> </w:t>
            </w:r>
            <w:r>
              <w:rPr>
                <w:color w:val="010202"/>
                <w:sz w:val="20"/>
              </w:rPr>
              <w:t>TNT)]</w:t>
            </w:r>
            <w:r>
              <w:rPr>
                <w:color w:val="010202"/>
                <w:position w:val="7"/>
                <w:sz w:val="11"/>
              </w:rPr>
              <w:t>46</w:t>
            </w:r>
          </w:p>
        </w:tc>
        <w:tc>
          <w:tcPr>
            <w:tcW w:w="7517" w:type="dxa"/>
          </w:tcPr>
          <w:p>
            <w:pPr>
              <w:pStyle w:val="TableParagraph"/>
              <w:spacing w:line="249" w:lineRule="auto" w:before="28"/>
              <w:ind w:left="79" w:right="121"/>
              <w:rPr>
                <w:sz w:val="11"/>
              </w:rPr>
            </w:pPr>
            <w:r>
              <w:rPr>
                <w:color w:val="231F20"/>
                <w:sz w:val="20"/>
              </w:rPr>
              <w:t>“Club drugs” have been linked to sexual behaviors that increase likelihood of</w:t>
            </w:r>
            <w:r>
              <w:rPr>
                <w:color w:val="231F20"/>
                <w:spacing w:val="1"/>
                <w:sz w:val="20"/>
              </w:rPr>
              <w:t> </w:t>
            </w:r>
            <w:r>
              <w:rPr>
                <w:color w:val="231F20"/>
                <w:sz w:val="20"/>
              </w:rPr>
              <w:t>getting</w:t>
            </w:r>
            <w:r>
              <w:rPr>
                <w:color w:val="231F20"/>
                <w:spacing w:val="-6"/>
                <w:sz w:val="20"/>
              </w:rPr>
              <w:t> </w:t>
            </w:r>
            <w:r>
              <w:rPr>
                <w:color w:val="231F20"/>
                <w:sz w:val="20"/>
              </w:rPr>
              <w:t>HIV.</w:t>
            </w:r>
            <w:r>
              <w:rPr>
                <w:color w:val="231F20"/>
                <w:spacing w:val="-5"/>
                <w:sz w:val="20"/>
              </w:rPr>
              <w:t> </w:t>
            </w:r>
            <w:r>
              <w:rPr>
                <w:color w:val="231F20"/>
                <w:sz w:val="20"/>
              </w:rPr>
              <w:t>However,</w:t>
            </w:r>
            <w:r>
              <w:rPr>
                <w:color w:val="231F20"/>
                <w:spacing w:val="-4"/>
                <w:sz w:val="20"/>
              </w:rPr>
              <w:t> </w:t>
            </w:r>
            <w:r>
              <w:rPr>
                <w:color w:val="231F20"/>
                <w:sz w:val="20"/>
              </w:rPr>
              <w:t>studies</w:t>
            </w:r>
            <w:r>
              <w:rPr>
                <w:color w:val="231F20"/>
                <w:spacing w:val="-5"/>
                <w:sz w:val="20"/>
              </w:rPr>
              <w:t> </w:t>
            </w:r>
            <w:r>
              <w:rPr>
                <w:color w:val="231F20"/>
                <w:sz w:val="20"/>
              </w:rPr>
              <w:t>on</w:t>
            </w:r>
            <w:r>
              <w:rPr>
                <w:color w:val="231F20"/>
                <w:spacing w:val="-5"/>
                <w:sz w:val="20"/>
              </w:rPr>
              <w:t> </w:t>
            </w:r>
            <w:r>
              <w:rPr>
                <w:color w:val="231F20"/>
                <w:sz w:val="20"/>
              </w:rPr>
              <w:t>these</w:t>
            </w:r>
            <w:r>
              <w:rPr>
                <w:color w:val="231F20"/>
                <w:spacing w:val="-5"/>
                <w:sz w:val="20"/>
              </w:rPr>
              <w:t> </w:t>
            </w:r>
            <w:r>
              <w:rPr>
                <w:color w:val="231F20"/>
                <w:sz w:val="20"/>
              </w:rPr>
              <w:t>drugs</w:t>
            </w:r>
            <w:r>
              <w:rPr>
                <w:color w:val="231F20"/>
                <w:spacing w:val="-6"/>
                <w:sz w:val="20"/>
              </w:rPr>
              <w:t> </w:t>
            </w:r>
            <w:r>
              <w:rPr>
                <w:color w:val="231F20"/>
                <w:sz w:val="20"/>
              </w:rPr>
              <w:t>are</w:t>
            </w:r>
            <w:r>
              <w:rPr>
                <w:color w:val="231F20"/>
                <w:spacing w:val="-5"/>
                <w:sz w:val="20"/>
              </w:rPr>
              <w:t> </w:t>
            </w:r>
            <w:r>
              <w:rPr>
                <w:color w:val="231F20"/>
                <w:sz w:val="20"/>
              </w:rPr>
              <w:t>complicated,</w:t>
            </w:r>
            <w:r>
              <w:rPr>
                <w:color w:val="231F20"/>
                <w:spacing w:val="-5"/>
                <w:sz w:val="20"/>
              </w:rPr>
              <w:t> </w:t>
            </w:r>
            <w:r>
              <w:rPr>
                <w:color w:val="231F20"/>
                <w:sz w:val="20"/>
              </w:rPr>
              <w:t>as</w:t>
            </w:r>
            <w:r>
              <w:rPr>
                <w:color w:val="231F20"/>
                <w:spacing w:val="-5"/>
                <w:sz w:val="20"/>
              </w:rPr>
              <w:t> </w:t>
            </w:r>
            <w:r>
              <w:rPr>
                <w:color w:val="231F20"/>
                <w:sz w:val="20"/>
              </w:rPr>
              <w:t>it</w:t>
            </w:r>
            <w:r>
              <w:rPr>
                <w:color w:val="231F20"/>
                <w:spacing w:val="-6"/>
                <w:sz w:val="20"/>
              </w:rPr>
              <w:t> </w:t>
            </w:r>
            <w:r>
              <w:rPr>
                <w:color w:val="231F20"/>
                <w:sz w:val="20"/>
              </w:rPr>
              <w:t>can</w:t>
            </w:r>
            <w:r>
              <w:rPr>
                <w:color w:val="231F20"/>
                <w:spacing w:val="-5"/>
                <w:sz w:val="20"/>
              </w:rPr>
              <w:t> </w:t>
            </w:r>
            <w:r>
              <w:rPr>
                <w:color w:val="231F20"/>
                <w:sz w:val="20"/>
              </w:rPr>
              <w:t>be</w:t>
            </w:r>
            <w:r>
              <w:rPr>
                <w:color w:val="231F20"/>
                <w:spacing w:val="-5"/>
                <w:sz w:val="20"/>
              </w:rPr>
              <w:t> </w:t>
            </w:r>
            <w:r>
              <w:rPr>
                <w:color w:val="231F20"/>
                <w:sz w:val="20"/>
              </w:rPr>
              <w:t>difficult</w:t>
            </w:r>
            <w:r>
              <w:rPr>
                <w:color w:val="231F20"/>
                <w:spacing w:val="-53"/>
                <w:sz w:val="20"/>
              </w:rPr>
              <w:t> </w:t>
            </w:r>
            <w:r>
              <w:rPr>
                <w:color w:val="231F20"/>
                <w:sz w:val="20"/>
              </w:rPr>
              <w:t>to determine the timing of drug use and sexual behavior. Poly-drug use is also</w:t>
            </w:r>
            <w:r>
              <w:rPr>
                <w:color w:val="231F20"/>
                <w:spacing w:val="1"/>
                <w:sz w:val="20"/>
              </w:rPr>
              <w:t> </w:t>
            </w:r>
            <w:r>
              <w:rPr>
                <w:color w:val="231F20"/>
                <w:sz w:val="20"/>
              </w:rPr>
              <w:t>common</w:t>
            </w:r>
            <w:r>
              <w:rPr>
                <w:color w:val="231F20"/>
                <w:spacing w:val="-1"/>
                <w:sz w:val="20"/>
              </w:rPr>
              <w:t> </w:t>
            </w:r>
            <w:r>
              <w:rPr>
                <w:color w:val="231F20"/>
                <w:sz w:val="20"/>
              </w:rPr>
              <w:t>among</w:t>
            </w:r>
            <w:r>
              <w:rPr>
                <w:color w:val="231F20"/>
                <w:spacing w:val="-1"/>
                <w:sz w:val="20"/>
              </w:rPr>
              <w:t> </w:t>
            </w:r>
            <w:r>
              <w:rPr>
                <w:color w:val="231F20"/>
                <w:sz w:val="20"/>
              </w:rPr>
              <w:t>users</w:t>
            </w:r>
            <w:r>
              <w:rPr>
                <w:color w:val="231F20"/>
                <w:spacing w:val="-2"/>
                <w:sz w:val="20"/>
              </w:rPr>
              <w:t> </w:t>
            </w:r>
            <w:r>
              <w:rPr>
                <w:color w:val="231F20"/>
                <w:sz w:val="20"/>
              </w:rPr>
              <w:t>of</w:t>
            </w:r>
            <w:r>
              <w:rPr>
                <w:color w:val="231F20"/>
                <w:spacing w:val="-1"/>
                <w:sz w:val="20"/>
              </w:rPr>
              <w:t> </w:t>
            </w:r>
            <w:r>
              <w:rPr>
                <w:color w:val="231F20"/>
                <w:sz w:val="20"/>
              </w:rPr>
              <w:t>club drugs,</w:t>
            </w:r>
            <w:r>
              <w:rPr>
                <w:color w:val="231F20"/>
                <w:spacing w:val="-2"/>
                <w:sz w:val="20"/>
              </w:rPr>
              <w:t> </w:t>
            </w:r>
            <w:r>
              <w:rPr>
                <w:color w:val="231F20"/>
                <w:sz w:val="20"/>
              </w:rPr>
              <w:t>complicating analyses.</w:t>
            </w:r>
            <w:r>
              <w:rPr>
                <w:color w:val="231F20"/>
                <w:position w:val="7"/>
                <w:sz w:val="11"/>
              </w:rPr>
              <w:t>47</w:t>
            </w:r>
          </w:p>
        </w:tc>
      </w:tr>
    </w:tbl>
    <w:p>
      <w:pPr>
        <w:pStyle w:val="BodyText"/>
        <w:spacing w:before="3"/>
        <w:rPr>
          <w:sz w:val="15"/>
        </w:rPr>
      </w:pPr>
    </w:p>
    <w:p>
      <w:pPr>
        <w:spacing w:after="0"/>
        <w:rPr>
          <w:sz w:val="15"/>
        </w:rPr>
        <w:sectPr>
          <w:pgSz w:w="12240" w:h="15840"/>
          <w:pgMar w:header="0" w:footer="666" w:top="380" w:bottom="860" w:left="560" w:right="0"/>
        </w:sectPr>
      </w:pPr>
    </w:p>
    <w:p>
      <w:pPr>
        <w:pStyle w:val="BodyText"/>
        <w:spacing w:line="266" w:lineRule="auto" w:before="91"/>
        <w:ind w:left="160" w:right="25"/>
      </w:pPr>
      <w:r>
        <w:rPr>
          <w:color w:val="231F20"/>
          <w:spacing w:val="-3"/>
        </w:rPr>
        <w:t>The prevalence of mental illness among people </w:t>
      </w:r>
      <w:r>
        <w:rPr>
          <w:color w:val="231F20"/>
          <w:spacing w:val="-2"/>
        </w:rPr>
        <w:t>with HIV</w:t>
      </w:r>
      <w:r>
        <w:rPr>
          <w:color w:val="231F20"/>
          <w:spacing w:val="-1"/>
        </w:rPr>
        <w:t> </w:t>
      </w:r>
      <w:r>
        <w:rPr>
          <w:color w:val="231F20"/>
          <w:spacing w:val="-4"/>
        </w:rPr>
        <w:t>is</w:t>
      </w:r>
      <w:r>
        <w:rPr>
          <w:color w:val="231F20"/>
          <w:spacing w:val="-10"/>
        </w:rPr>
        <w:t> </w:t>
      </w:r>
      <w:r>
        <w:rPr>
          <w:color w:val="231F20"/>
          <w:spacing w:val="-4"/>
        </w:rPr>
        <w:t>also</w:t>
      </w:r>
      <w:r>
        <w:rPr>
          <w:color w:val="231F20"/>
          <w:spacing w:val="-10"/>
        </w:rPr>
        <w:t> </w:t>
      </w:r>
      <w:r>
        <w:rPr>
          <w:color w:val="231F20"/>
          <w:spacing w:val="-4"/>
        </w:rPr>
        <w:t>higher</w:t>
      </w:r>
      <w:r>
        <w:rPr>
          <w:color w:val="231F20"/>
          <w:spacing w:val="-9"/>
        </w:rPr>
        <w:t> </w:t>
      </w:r>
      <w:r>
        <w:rPr>
          <w:color w:val="231F20"/>
          <w:spacing w:val="-3"/>
        </w:rPr>
        <w:t>than</w:t>
      </w:r>
      <w:r>
        <w:rPr>
          <w:color w:val="231F20"/>
          <w:spacing w:val="-10"/>
        </w:rPr>
        <w:t> </w:t>
      </w:r>
      <w:r>
        <w:rPr>
          <w:color w:val="231F20"/>
          <w:spacing w:val="-3"/>
        </w:rPr>
        <w:t>among</w:t>
      </w:r>
      <w:r>
        <w:rPr>
          <w:color w:val="231F20"/>
          <w:spacing w:val="-10"/>
        </w:rPr>
        <w:t> </w:t>
      </w:r>
      <w:r>
        <w:rPr>
          <w:color w:val="231F20"/>
          <w:spacing w:val="-3"/>
        </w:rPr>
        <w:t>the</w:t>
      </w:r>
      <w:r>
        <w:rPr>
          <w:color w:val="231F20"/>
          <w:spacing w:val="-9"/>
        </w:rPr>
        <w:t> </w:t>
      </w:r>
      <w:r>
        <w:rPr>
          <w:color w:val="231F20"/>
          <w:spacing w:val="-3"/>
        </w:rPr>
        <w:t>general</w:t>
      </w:r>
      <w:r>
        <w:rPr>
          <w:color w:val="231F20"/>
          <w:spacing w:val="-10"/>
        </w:rPr>
        <w:t> </w:t>
      </w:r>
      <w:r>
        <w:rPr>
          <w:color w:val="231F20"/>
          <w:spacing w:val="-3"/>
        </w:rPr>
        <w:t>population</w:t>
      </w:r>
      <w:r>
        <w:rPr>
          <w:color w:val="231F20"/>
          <w:spacing w:val="-10"/>
        </w:rPr>
        <w:t> </w:t>
      </w:r>
      <w:r>
        <w:rPr>
          <w:color w:val="231F20"/>
          <w:spacing w:val="-3"/>
        </w:rPr>
        <w:t>(as</w:t>
      </w:r>
      <w:r>
        <w:rPr>
          <w:color w:val="231F20"/>
          <w:spacing w:val="-9"/>
        </w:rPr>
        <w:t> </w:t>
      </w:r>
      <w:r>
        <w:rPr>
          <w:color w:val="231F20"/>
          <w:spacing w:val="-3"/>
        </w:rPr>
        <w:t>shown</w:t>
      </w:r>
      <w:r>
        <w:rPr>
          <w:color w:val="231F20"/>
          <w:spacing w:val="-52"/>
        </w:rPr>
        <w:t> </w:t>
      </w:r>
      <w:r>
        <w:rPr>
          <w:color w:val="231F20"/>
          <w:spacing w:val="-4"/>
        </w:rPr>
        <w:t>in</w:t>
      </w:r>
      <w:r>
        <w:rPr>
          <w:color w:val="231F20"/>
          <w:spacing w:val="-8"/>
        </w:rPr>
        <w:t> </w:t>
      </w:r>
      <w:r>
        <w:rPr>
          <w:color w:val="231F20"/>
          <w:spacing w:val="-4"/>
        </w:rPr>
        <w:t>the</w:t>
      </w:r>
      <w:r>
        <w:rPr>
          <w:color w:val="231F20"/>
          <w:spacing w:val="-8"/>
        </w:rPr>
        <w:t> </w:t>
      </w:r>
      <w:r>
        <w:rPr>
          <w:color w:val="231F20"/>
          <w:spacing w:val="-4"/>
        </w:rPr>
        <w:t>chart</w:t>
      </w:r>
      <w:r>
        <w:rPr>
          <w:color w:val="231F20"/>
          <w:spacing w:val="-8"/>
        </w:rPr>
        <w:t> </w:t>
      </w:r>
      <w:r>
        <w:rPr>
          <w:color w:val="231F20"/>
          <w:spacing w:val="-4"/>
        </w:rPr>
        <w:t>below).</w:t>
      </w:r>
      <w:r>
        <w:rPr>
          <w:color w:val="231F20"/>
          <w:spacing w:val="-8"/>
        </w:rPr>
        <w:t> </w:t>
      </w:r>
      <w:r>
        <w:rPr>
          <w:color w:val="231F20"/>
          <w:spacing w:val="-4"/>
        </w:rPr>
        <w:t>People</w:t>
      </w:r>
      <w:r>
        <w:rPr>
          <w:color w:val="231F20"/>
          <w:spacing w:val="-7"/>
        </w:rPr>
        <w:t> </w:t>
      </w:r>
      <w:r>
        <w:rPr>
          <w:color w:val="231F20"/>
          <w:spacing w:val="-3"/>
        </w:rPr>
        <w:t>with</w:t>
      </w:r>
      <w:r>
        <w:rPr>
          <w:color w:val="231F20"/>
          <w:spacing w:val="-8"/>
        </w:rPr>
        <w:t> </w:t>
      </w:r>
      <w:r>
        <w:rPr>
          <w:color w:val="231F20"/>
          <w:spacing w:val="-3"/>
        </w:rPr>
        <w:t>HIV</w:t>
      </w:r>
      <w:r>
        <w:rPr>
          <w:color w:val="231F20"/>
          <w:spacing w:val="-12"/>
        </w:rPr>
        <w:t> </w:t>
      </w:r>
      <w:r>
        <w:rPr>
          <w:color w:val="231F20"/>
          <w:spacing w:val="-3"/>
        </w:rPr>
        <w:t>may</w:t>
      </w:r>
      <w:r>
        <w:rPr>
          <w:color w:val="231F20"/>
          <w:spacing w:val="-8"/>
        </w:rPr>
        <w:t> </w:t>
      </w:r>
      <w:r>
        <w:rPr>
          <w:color w:val="231F20"/>
          <w:spacing w:val="-3"/>
        </w:rPr>
        <w:t>experience</w:t>
      </w:r>
    </w:p>
    <w:p>
      <w:pPr>
        <w:pStyle w:val="BodyText"/>
        <w:spacing w:line="266" w:lineRule="auto"/>
        <w:ind w:left="159" w:right="188"/>
      </w:pPr>
      <w:r>
        <w:rPr>
          <w:color w:val="231F20"/>
          <w:spacing w:val="-4"/>
        </w:rPr>
        <w:t>high</w:t>
      </w:r>
      <w:r>
        <w:rPr>
          <w:color w:val="231F20"/>
          <w:spacing w:val="-10"/>
        </w:rPr>
        <w:t> </w:t>
      </w:r>
      <w:r>
        <w:rPr>
          <w:color w:val="231F20"/>
          <w:spacing w:val="-4"/>
        </w:rPr>
        <w:t>rates</w:t>
      </w:r>
      <w:r>
        <w:rPr>
          <w:color w:val="231F20"/>
          <w:spacing w:val="-9"/>
        </w:rPr>
        <w:t> </w:t>
      </w:r>
      <w:r>
        <w:rPr>
          <w:color w:val="231F20"/>
          <w:spacing w:val="-4"/>
        </w:rPr>
        <w:t>of</w:t>
      </w:r>
      <w:r>
        <w:rPr>
          <w:color w:val="231F20"/>
          <w:spacing w:val="-9"/>
        </w:rPr>
        <w:t> </w:t>
      </w:r>
      <w:r>
        <w:rPr>
          <w:color w:val="231F20"/>
          <w:spacing w:val="-4"/>
        </w:rPr>
        <w:t>depression,</w:t>
      </w:r>
      <w:r>
        <w:rPr>
          <w:color w:val="231F20"/>
          <w:spacing w:val="-10"/>
        </w:rPr>
        <w:t> </w:t>
      </w:r>
      <w:r>
        <w:rPr>
          <w:color w:val="231F20"/>
          <w:spacing w:val="-4"/>
        </w:rPr>
        <w:t>mood</w:t>
      </w:r>
      <w:r>
        <w:rPr>
          <w:color w:val="231F20"/>
          <w:spacing w:val="-9"/>
        </w:rPr>
        <w:t> </w:t>
      </w:r>
      <w:r>
        <w:rPr>
          <w:color w:val="231F20"/>
          <w:spacing w:val="-3"/>
        </w:rPr>
        <w:t>disorders,</w:t>
      </w:r>
      <w:r>
        <w:rPr>
          <w:color w:val="231F20"/>
          <w:spacing w:val="-9"/>
        </w:rPr>
        <w:t> </w:t>
      </w:r>
      <w:r>
        <w:rPr>
          <w:color w:val="231F20"/>
          <w:spacing w:val="-3"/>
        </w:rPr>
        <w:t>and</w:t>
      </w:r>
      <w:r>
        <w:rPr>
          <w:color w:val="231F20"/>
          <w:spacing w:val="-9"/>
        </w:rPr>
        <w:t> </w:t>
      </w:r>
      <w:r>
        <w:rPr>
          <w:color w:val="231F20"/>
          <w:spacing w:val="-3"/>
        </w:rPr>
        <w:t>generalized</w:t>
      </w:r>
      <w:r>
        <w:rPr>
          <w:color w:val="231F20"/>
          <w:spacing w:val="-52"/>
        </w:rPr>
        <w:t> </w:t>
      </w:r>
      <w:r>
        <w:rPr>
          <w:color w:val="231F20"/>
          <w:w w:val="95"/>
        </w:rPr>
        <w:t>anxiety disorder.</w:t>
      </w:r>
      <w:r>
        <w:rPr>
          <w:color w:val="231F20"/>
          <w:w w:val="95"/>
          <w:vertAlign w:val="superscript"/>
        </w:rPr>
        <w:t>50-55</w:t>
      </w:r>
      <w:r>
        <w:rPr>
          <w:color w:val="231F20"/>
          <w:w w:val="95"/>
          <w:vertAlign w:val="baseline"/>
        </w:rPr>
        <w:t> An </w:t>
      </w:r>
      <w:r>
        <w:rPr>
          <w:color w:val="010202"/>
          <w:w w:val="95"/>
          <w:vertAlign w:val="baseline"/>
        </w:rPr>
        <w:t>estimated 10 to 28 percent of</w:t>
      </w:r>
      <w:r>
        <w:rPr>
          <w:color w:val="010202"/>
          <w:spacing w:val="1"/>
          <w:w w:val="95"/>
          <w:vertAlign w:val="baseline"/>
        </w:rPr>
        <w:t> </w:t>
      </w:r>
      <w:r>
        <w:rPr>
          <w:color w:val="010202"/>
          <w:spacing w:val="-3"/>
          <w:vertAlign w:val="baseline"/>
        </w:rPr>
        <w:t>people</w:t>
      </w:r>
      <w:r>
        <w:rPr>
          <w:color w:val="010202"/>
          <w:spacing w:val="-8"/>
          <w:vertAlign w:val="baseline"/>
        </w:rPr>
        <w:t> </w:t>
      </w:r>
      <w:r>
        <w:rPr>
          <w:color w:val="010202"/>
          <w:spacing w:val="-3"/>
          <w:vertAlign w:val="baseline"/>
        </w:rPr>
        <w:t>with</w:t>
      </w:r>
      <w:r>
        <w:rPr>
          <w:color w:val="010202"/>
          <w:spacing w:val="-7"/>
          <w:vertAlign w:val="baseline"/>
        </w:rPr>
        <w:t> </w:t>
      </w:r>
      <w:r>
        <w:rPr>
          <w:color w:val="010202"/>
          <w:spacing w:val="-3"/>
          <w:vertAlign w:val="baseline"/>
        </w:rPr>
        <w:t>HIV</w:t>
      </w:r>
      <w:r>
        <w:rPr>
          <w:color w:val="010202"/>
          <w:spacing w:val="-12"/>
          <w:vertAlign w:val="baseline"/>
        </w:rPr>
        <w:t> </w:t>
      </w:r>
      <w:r>
        <w:rPr>
          <w:color w:val="010202"/>
          <w:spacing w:val="-3"/>
          <w:vertAlign w:val="baseline"/>
        </w:rPr>
        <w:t>have</w:t>
      </w:r>
      <w:r>
        <w:rPr>
          <w:color w:val="010202"/>
          <w:spacing w:val="-7"/>
          <w:vertAlign w:val="baseline"/>
        </w:rPr>
        <w:t> </w:t>
      </w:r>
      <w:r>
        <w:rPr>
          <w:color w:val="010202"/>
          <w:spacing w:val="-3"/>
          <w:vertAlign w:val="baseline"/>
        </w:rPr>
        <w:t>co-occurring</w:t>
      </w:r>
      <w:r>
        <w:rPr>
          <w:color w:val="010202"/>
          <w:spacing w:val="-8"/>
          <w:vertAlign w:val="baseline"/>
        </w:rPr>
        <w:t> </w:t>
      </w:r>
      <w:r>
        <w:rPr>
          <w:color w:val="231F20"/>
          <w:spacing w:val="-3"/>
          <w:vertAlign w:val="baseline"/>
        </w:rPr>
        <w:t>mental illness</w:t>
      </w:r>
      <w:r>
        <w:rPr>
          <w:color w:val="231F20"/>
          <w:spacing w:val="-4"/>
          <w:vertAlign w:val="baseline"/>
        </w:rPr>
        <w:t> </w:t>
      </w:r>
      <w:r>
        <w:rPr>
          <w:color w:val="231F20"/>
          <w:spacing w:val="-2"/>
          <w:vertAlign w:val="baseline"/>
        </w:rPr>
        <w:t>and/or</w:t>
      </w:r>
      <w:r>
        <w:rPr>
          <w:color w:val="231F20"/>
          <w:spacing w:val="-52"/>
          <w:vertAlign w:val="baseline"/>
        </w:rPr>
        <w:t> </w:t>
      </w:r>
      <w:r>
        <w:rPr>
          <w:color w:val="231F20"/>
          <w:spacing w:val="-4"/>
          <w:vertAlign w:val="baseline"/>
        </w:rPr>
        <w:t>SUD</w:t>
      </w:r>
      <w:r>
        <w:rPr>
          <w:color w:val="010202"/>
          <w:spacing w:val="-4"/>
          <w:vertAlign w:val="baseline"/>
        </w:rPr>
        <w:t>.</w:t>
      </w:r>
      <w:r>
        <w:rPr>
          <w:color w:val="010202"/>
          <w:spacing w:val="-4"/>
          <w:vertAlign w:val="superscript"/>
        </w:rPr>
        <w:t>56</w:t>
      </w:r>
      <w:r>
        <w:rPr>
          <w:color w:val="010202"/>
          <w:spacing w:val="-4"/>
          <w:vertAlign w:val="baseline"/>
        </w:rPr>
        <w:t> People with HIV who also experience depression</w:t>
      </w:r>
      <w:r>
        <w:rPr>
          <w:color w:val="010202"/>
          <w:spacing w:val="-52"/>
          <w:vertAlign w:val="baseline"/>
        </w:rPr>
        <w:t> </w:t>
      </w:r>
      <w:r>
        <w:rPr>
          <w:color w:val="010202"/>
          <w:spacing w:val="-3"/>
          <w:vertAlign w:val="baseline"/>
        </w:rPr>
        <w:t>report higher rates of other co-occurring </w:t>
      </w:r>
      <w:r>
        <w:rPr>
          <w:color w:val="010202"/>
          <w:spacing w:val="-2"/>
          <w:vertAlign w:val="baseline"/>
        </w:rPr>
        <w:t>mental health</w:t>
      </w:r>
      <w:r>
        <w:rPr>
          <w:color w:val="010202"/>
          <w:spacing w:val="-1"/>
          <w:vertAlign w:val="baseline"/>
        </w:rPr>
        <w:t> </w:t>
      </w:r>
      <w:r>
        <w:rPr>
          <w:color w:val="010202"/>
          <w:spacing w:val="-2"/>
          <w:vertAlign w:val="baseline"/>
        </w:rPr>
        <w:t>concerns</w:t>
      </w:r>
      <w:r>
        <w:rPr>
          <w:color w:val="010202"/>
          <w:spacing w:val="-12"/>
          <w:vertAlign w:val="baseline"/>
        </w:rPr>
        <w:t> </w:t>
      </w:r>
      <w:r>
        <w:rPr>
          <w:color w:val="010202"/>
          <w:spacing w:val="-2"/>
          <w:vertAlign w:val="baseline"/>
        </w:rPr>
        <w:t>such</w:t>
      </w:r>
      <w:r>
        <w:rPr>
          <w:color w:val="010202"/>
          <w:spacing w:val="-12"/>
          <w:vertAlign w:val="baseline"/>
        </w:rPr>
        <w:t> </w:t>
      </w:r>
      <w:r>
        <w:rPr>
          <w:color w:val="010202"/>
          <w:spacing w:val="-2"/>
          <w:vertAlign w:val="baseline"/>
        </w:rPr>
        <w:t>as</w:t>
      </w:r>
      <w:r>
        <w:rPr>
          <w:color w:val="010202"/>
          <w:spacing w:val="-12"/>
          <w:vertAlign w:val="baseline"/>
        </w:rPr>
        <w:t> </w:t>
      </w:r>
      <w:r>
        <w:rPr>
          <w:color w:val="010202"/>
          <w:spacing w:val="-2"/>
          <w:vertAlign w:val="baseline"/>
        </w:rPr>
        <w:t>anxiety</w:t>
      </w:r>
      <w:r>
        <w:rPr>
          <w:color w:val="010202"/>
          <w:spacing w:val="-11"/>
          <w:vertAlign w:val="baseline"/>
        </w:rPr>
        <w:t> </w:t>
      </w:r>
      <w:r>
        <w:rPr>
          <w:color w:val="010202"/>
          <w:spacing w:val="-2"/>
          <w:vertAlign w:val="baseline"/>
        </w:rPr>
        <w:t>disorders</w:t>
      </w:r>
      <w:r>
        <w:rPr>
          <w:color w:val="010202"/>
          <w:spacing w:val="-12"/>
          <w:vertAlign w:val="baseline"/>
        </w:rPr>
        <w:t> </w:t>
      </w:r>
      <w:r>
        <w:rPr>
          <w:color w:val="010202"/>
          <w:spacing w:val="-2"/>
          <w:vertAlign w:val="baseline"/>
        </w:rPr>
        <w:t>(78</w:t>
      </w:r>
      <w:r>
        <w:rPr>
          <w:color w:val="010202"/>
          <w:spacing w:val="-12"/>
          <w:vertAlign w:val="baseline"/>
        </w:rPr>
        <w:t> </w:t>
      </w:r>
      <w:r>
        <w:rPr>
          <w:color w:val="010202"/>
          <w:spacing w:val="-2"/>
          <w:vertAlign w:val="baseline"/>
        </w:rPr>
        <w:t>percent)</w:t>
      </w:r>
      <w:r>
        <w:rPr>
          <w:color w:val="010202"/>
          <w:spacing w:val="-11"/>
          <w:vertAlign w:val="baseline"/>
        </w:rPr>
        <w:t> </w:t>
      </w:r>
      <w:r>
        <w:rPr>
          <w:color w:val="010202"/>
          <w:spacing w:val="-1"/>
          <w:vertAlign w:val="baseline"/>
        </w:rPr>
        <w:t>and</w:t>
      </w:r>
    </w:p>
    <w:p>
      <w:pPr>
        <w:pStyle w:val="BodyText"/>
        <w:spacing w:line="248" w:lineRule="exact"/>
        <w:ind w:left="159"/>
      </w:pPr>
      <w:r>
        <w:rPr>
          <w:color w:val="010202"/>
          <w:w w:val="95"/>
        </w:rPr>
        <w:t>SUD</w:t>
      </w:r>
      <w:r>
        <w:rPr>
          <w:color w:val="010202"/>
          <w:spacing w:val="-5"/>
          <w:w w:val="95"/>
        </w:rPr>
        <w:t> </w:t>
      </w:r>
      <w:r>
        <w:rPr>
          <w:color w:val="010202"/>
          <w:w w:val="95"/>
        </w:rPr>
        <w:t>(61</w:t>
      </w:r>
      <w:r>
        <w:rPr>
          <w:color w:val="010202"/>
          <w:spacing w:val="-4"/>
          <w:w w:val="95"/>
        </w:rPr>
        <w:t> </w:t>
      </w:r>
      <w:r>
        <w:rPr>
          <w:color w:val="010202"/>
          <w:w w:val="95"/>
        </w:rPr>
        <w:t>percent),</w:t>
      </w:r>
      <w:r>
        <w:rPr>
          <w:color w:val="010202"/>
          <w:spacing w:val="-4"/>
          <w:w w:val="95"/>
        </w:rPr>
        <w:t> </w:t>
      </w:r>
      <w:r>
        <w:rPr>
          <w:color w:val="010202"/>
          <w:w w:val="95"/>
        </w:rPr>
        <w:t>as</w:t>
      </w:r>
      <w:r>
        <w:rPr>
          <w:color w:val="010202"/>
          <w:spacing w:val="-4"/>
          <w:w w:val="95"/>
        </w:rPr>
        <w:t> </w:t>
      </w:r>
      <w:r>
        <w:rPr>
          <w:color w:val="010202"/>
          <w:w w:val="95"/>
        </w:rPr>
        <w:t>well</w:t>
      </w:r>
      <w:r>
        <w:rPr>
          <w:color w:val="010202"/>
          <w:spacing w:val="-5"/>
          <w:w w:val="95"/>
        </w:rPr>
        <w:t> </w:t>
      </w:r>
      <w:r>
        <w:rPr>
          <w:color w:val="010202"/>
          <w:w w:val="95"/>
        </w:rPr>
        <w:t>as</w:t>
      </w:r>
      <w:r>
        <w:rPr>
          <w:color w:val="010202"/>
          <w:spacing w:val="-4"/>
          <w:w w:val="95"/>
        </w:rPr>
        <w:t> </w:t>
      </w:r>
      <w:r>
        <w:rPr>
          <w:color w:val="010202"/>
          <w:w w:val="95"/>
        </w:rPr>
        <w:t>increased</w:t>
      </w:r>
      <w:r>
        <w:rPr>
          <w:color w:val="010202"/>
          <w:spacing w:val="-4"/>
          <w:w w:val="95"/>
        </w:rPr>
        <w:t> </w:t>
      </w:r>
      <w:r>
        <w:rPr>
          <w:color w:val="010202"/>
          <w:w w:val="95"/>
        </w:rPr>
        <w:t>viral</w:t>
      </w:r>
      <w:r>
        <w:rPr>
          <w:color w:val="010202"/>
          <w:spacing w:val="-4"/>
          <w:w w:val="95"/>
        </w:rPr>
        <w:t> </w:t>
      </w:r>
      <w:r>
        <w:rPr>
          <w:color w:val="010202"/>
          <w:w w:val="95"/>
        </w:rPr>
        <w:t>loads.</w:t>
      </w:r>
      <w:r>
        <w:rPr>
          <w:color w:val="010202"/>
          <w:w w:val="95"/>
          <w:vertAlign w:val="superscript"/>
        </w:rPr>
        <w:t>54,</w:t>
      </w:r>
      <w:r>
        <w:rPr>
          <w:color w:val="010202"/>
          <w:spacing w:val="-25"/>
          <w:w w:val="95"/>
          <w:vertAlign w:val="baseline"/>
        </w:rPr>
        <w:t> </w:t>
      </w:r>
      <w:r>
        <w:rPr>
          <w:color w:val="010202"/>
          <w:w w:val="95"/>
          <w:vertAlign w:val="superscript"/>
        </w:rPr>
        <w:t>57-58</w:t>
      </w:r>
    </w:p>
    <w:p>
      <w:pPr>
        <w:pStyle w:val="BodyText"/>
        <w:spacing w:before="25"/>
        <w:ind w:left="160"/>
      </w:pPr>
      <w:r>
        <w:rPr>
          <w:color w:val="231F20"/>
          <w:spacing w:val="-4"/>
        </w:rPr>
        <w:t>Depression</w:t>
      </w:r>
      <w:r>
        <w:rPr>
          <w:color w:val="231F20"/>
          <w:spacing w:val="-7"/>
        </w:rPr>
        <w:t> </w:t>
      </w:r>
      <w:r>
        <w:rPr>
          <w:color w:val="231F20"/>
          <w:spacing w:val="-4"/>
        </w:rPr>
        <w:t>in</w:t>
      </w:r>
      <w:r>
        <w:rPr>
          <w:color w:val="231F20"/>
          <w:spacing w:val="-7"/>
        </w:rPr>
        <w:t> </w:t>
      </w:r>
      <w:r>
        <w:rPr>
          <w:color w:val="231F20"/>
          <w:spacing w:val="-4"/>
        </w:rPr>
        <w:t>people</w:t>
      </w:r>
      <w:r>
        <w:rPr>
          <w:color w:val="231F20"/>
          <w:spacing w:val="-7"/>
        </w:rPr>
        <w:t> </w:t>
      </w:r>
      <w:r>
        <w:rPr>
          <w:color w:val="231F20"/>
          <w:spacing w:val="-4"/>
        </w:rPr>
        <w:t>with</w:t>
      </w:r>
      <w:r>
        <w:rPr>
          <w:color w:val="231F20"/>
          <w:spacing w:val="-7"/>
        </w:rPr>
        <w:t> </w:t>
      </w:r>
      <w:r>
        <w:rPr>
          <w:color w:val="231F20"/>
          <w:spacing w:val="-4"/>
        </w:rPr>
        <w:t>HIV</w:t>
      </w:r>
      <w:r>
        <w:rPr>
          <w:color w:val="231F20"/>
          <w:spacing w:val="-11"/>
        </w:rPr>
        <w:t> </w:t>
      </w:r>
      <w:r>
        <w:rPr>
          <w:color w:val="231F20"/>
          <w:spacing w:val="-4"/>
        </w:rPr>
        <w:t>can</w:t>
      </w:r>
      <w:r>
        <w:rPr>
          <w:color w:val="231F20"/>
          <w:spacing w:val="-7"/>
        </w:rPr>
        <w:t> </w:t>
      </w:r>
      <w:r>
        <w:rPr>
          <w:color w:val="231F20"/>
          <w:spacing w:val="-4"/>
        </w:rPr>
        <w:t>also</w:t>
      </w:r>
      <w:r>
        <w:rPr>
          <w:color w:val="231F20"/>
          <w:spacing w:val="-7"/>
        </w:rPr>
        <w:t> </w:t>
      </w:r>
      <w:r>
        <w:rPr>
          <w:color w:val="231F20"/>
          <w:spacing w:val="-4"/>
        </w:rPr>
        <w:t>negatively</w:t>
      </w:r>
      <w:r>
        <w:rPr>
          <w:color w:val="231F20"/>
          <w:spacing w:val="-7"/>
        </w:rPr>
        <w:t> </w:t>
      </w:r>
      <w:r>
        <w:rPr>
          <w:color w:val="231F20"/>
          <w:spacing w:val="-3"/>
        </w:rPr>
        <w:t>affect</w:t>
      </w:r>
    </w:p>
    <w:p>
      <w:pPr>
        <w:pStyle w:val="BodyText"/>
        <w:spacing w:line="266" w:lineRule="auto" w:before="91"/>
        <w:ind w:left="159" w:right="977"/>
      </w:pPr>
      <w:r>
        <w:rPr/>
        <w:br w:type="column"/>
      </w:r>
      <w:r>
        <w:rPr>
          <w:color w:val="231F20"/>
          <w:spacing w:val="-4"/>
        </w:rPr>
        <w:t>HIV</w:t>
      </w:r>
      <w:r>
        <w:rPr>
          <w:color w:val="231F20"/>
          <w:spacing w:val="-12"/>
        </w:rPr>
        <w:t> </w:t>
      </w:r>
      <w:r>
        <w:rPr>
          <w:color w:val="231F20"/>
          <w:spacing w:val="-4"/>
        </w:rPr>
        <w:t>treatment,</w:t>
      </w:r>
      <w:r>
        <w:rPr>
          <w:color w:val="231F20"/>
          <w:spacing w:val="-7"/>
        </w:rPr>
        <w:t> </w:t>
      </w:r>
      <w:r>
        <w:rPr>
          <w:color w:val="231F20"/>
          <w:spacing w:val="-4"/>
        </w:rPr>
        <w:t>as</w:t>
      </w:r>
      <w:r>
        <w:rPr>
          <w:color w:val="231F20"/>
          <w:spacing w:val="-7"/>
        </w:rPr>
        <w:t> </w:t>
      </w:r>
      <w:r>
        <w:rPr>
          <w:color w:val="231F20"/>
          <w:spacing w:val="-4"/>
        </w:rPr>
        <w:t>it</w:t>
      </w:r>
      <w:r>
        <w:rPr>
          <w:color w:val="231F20"/>
          <w:spacing w:val="-7"/>
        </w:rPr>
        <w:t> </w:t>
      </w:r>
      <w:r>
        <w:rPr>
          <w:color w:val="231F20"/>
          <w:spacing w:val="-4"/>
        </w:rPr>
        <w:t>is</w:t>
      </w:r>
      <w:r>
        <w:rPr>
          <w:color w:val="231F20"/>
          <w:spacing w:val="-7"/>
        </w:rPr>
        <w:t> </w:t>
      </w:r>
      <w:r>
        <w:rPr>
          <w:color w:val="231F20"/>
          <w:spacing w:val="-4"/>
        </w:rPr>
        <w:t>associated</w:t>
      </w:r>
      <w:r>
        <w:rPr>
          <w:color w:val="231F20"/>
          <w:spacing w:val="-7"/>
        </w:rPr>
        <w:t> </w:t>
      </w:r>
      <w:r>
        <w:rPr>
          <w:color w:val="231F20"/>
          <w:spacing w:val="-3"/>
        </w:rPr>
        <w:t>with</w:t>
      </w:r>
      <w:r>
        <w:rPr>
          <w:color w:val="231F20"/>
          <w:spacing w:val="-7"/>
        </w:rPr>
        <w:t> </w:t>
      </w:r>
      <w:r>
        <w:rPr>
          <w:color w:val="231F20"/>
          <w:spacing w:val="-3"/>
        </w:rPr>
        <w:t>discontinuation</w:t>
      </w:r>
      <w:r>
        <w:rPr>
          <w:color w:val="231F20"/>
          <w:spacing w:val="-7"/>
        </w:rPr>
        <w:t> </w:t>
      </w:r>
      <w:r>
        <w:rPr>
          <w:color w:val="231F20"/>
          <w:spacing w:val="-3"/>
        </w:rPr>
        <w:t>of</w:t>
      </w:r>
      <w:r>
        <w:rPr>
          <w:color w:val="231F20"/>
          <w:spacing w:val="-52"/>
        </w:rPr>
        <w:t> </w:t>
      </w:r>
      <w:r>
        <w:rPr>
          <w:color w:val="231F20"/>
          <w:spacing w:val="-1"/>
          <w:w w:val="95"/>
        </w:rPr>
        <w:t>and</w:t>
      </w:r>
      <w:r>
        <w:rPr>
          <w:color w:val="231F20"/>
          <w:spacing w:val="-6"/>
          <w:w w:val="95"/>
        </w:rPr>
        <w:t> </w:t>
      </w:r>
      <w:r>
        <w:rPr>
          <w:color w:val="231F20"/>
          <w:spacing w:val="-1"/>
          <w:w w:val="95"/>
        </w:rPr>
        <w:t>non-adherence</w:t>
      </w:r>
      <w:r>
        <w:rPr>
          <w:color w:val="231F20"/>
          <w:spacing w:val="-5"/>
          <w:w w:val="95"/>
        </w:rPr>
        <w:t> </w:t>
      </w:r>
      <w:r>
        <w:rPr>
          <w:color w:val="231F20"/>
          <w:spacing w:val="-1"/>
          <w:w w:val="95"/>
        </w:rPr>
        <w:t>to</w:t>
      </w:r>
      <w:r>
        <w:rPr>
          <w:color w:val="231F20"/>
          <w:spacing w:val="-17"/>
          <w:w w:val="95"/>
        </w:rPr>
        <w:t> </w:t>
      </w:r>
      <w:r>
        <w:rPr>
          <w:color w:val="231F20"/>
          <w:spacing w:val="-1"/>
          <w:w w:val="95"/>
        </w:rPr>
        <w:t>ART.</w:t>
      </w:r>
      <w:r>
        <w:rPr>
          <w:color w:val="231F20"/>
          <w:spacing w:val="-1"/>
          <w:w w:val="95"/>
          <w:vertAlign w:val="superscript"/>
        </w:rPr>
        <w:t>59-60</w:t>
      </w:r>
    </w:p>
    <w:p>
      <w:pPr>
        <w:pStyle w:val="BodyText"/>
        <w:spacing w:line="266" w:lineRule="auto" w:before="179"/>
        <w:ind w:left="159" w:right="916"/>
      </w:pPr>
      <w:r>
        <w:rPr>
          <w:color w:val="231F20"/>
        </w:rPr>
        <w:t>In</w:t>
      </w:r>
      <w:r>
        <w:rPr>
          <w:color w:val="231F20"/>
          <w:spacing w:val="-13"/>
        </w:rPr>
        <w:t> </w:t>
      </w:r>
      <w:r>
        <w:rPr>
          <w:color w:val="231F20"/>
        </w:rPr>
        <w:t>addition</w:t>
      </w:r>
      <w:r>
        <w:rPr>
          <w:color w:val="231F20"/>
          <w:spacing w:val="-13"/>
        </w:rPr>
        <w:t> </w:t>
      </w:r>
      <w:r>
        <w:rPr>
          <w:color w:val="231F20"/>
        </w:rPr>
        <w:t>to</w:t>
      </w:r>
      <w:r>
        <w:rPr>
          <w:color w:val="231F20"/>
          <w:spacing w:val="-13"/>
        </w:rPr>
        <w:t> </w:t>
      </w:r>
      <w:r>
        <w:rPr>
          <w:color w:val="231F20"/>
        </w:rPr>
        <w:t>depression</w:t>
      </w:r>
      <w:r>
        <w:rPr>
          <w:color w:val="231F20"/>
          <w:spacing w:val="-13"/>
        </w:rPr>
        <w:t> </w:t>
      </w:r>
      <w:r>
        <w:rPr>
          <w:color w:val="231F20"/>
        </w:rPr>
        <w:t>and</w:t>
      </w:r>
      <w:r>
        <w:rPr>
          <w:color w:val="231F20"/>
          <w:spacing w:val="-13"/>
        </w:rPr>
        <w:t> </w:t>
      </w:r>
      <w:r>
        <w:rPr>
          <w:color w:val="231F20"/>
        </w:rPr>
        <w:t>anxiety,</w:t>
      </w:r>
      <w:r>
        <w:rPr>
          <w:color w:val="231F20"/>
          <w:spacing w:val="-13"/>
        </w:rPr>
        <w:t> </w:t>
      </w:r>
      <w:r>
        <w:rPr>
          <w:color w:val="231F20"/>
        </w:rPr>
        <w:t>trauma</w:t>
      </w:r>
      <w:r>
        <w:rPr>
          <w:color w:val="231F20"/>
          <w:spacing w:val="-13"/>
        </w:rPr>
        <w:t> </w:t>
      </w:r>
      <w:r>
        <w:rPr>
          <w:color w:val="231F20"/>
        </w:rPr>
        <w:t>and</w:t>
      </w:r>
      <w:r>
        <w:rPr>
          <w:color w:val="231F20"/>
          <w:spacing w:val="-13"/>
        </w:rPr>
        <w:t> </w:t>
      </w:r>
      <w:r>
        <w:rPr>
          <w:color w:val="231F20"/>
        </w:rPr>
        <w:t>post-</w:t>
      </w:r>
      <w:r>
        <w:rPr>
          <w:color w:val="231F20"/>
          <w:spacing w:val="1"/>
        </w:rPr>
        <w:t> </w:t>
      </w:r>
      <w:r>
        <w:rPr>
          <w:color w:val="231F20"/>
          <w:spacing w:val="-1"/>
        </w:rPr>
        <w:t>traumatic</w:t>
      </w:r>
      <w:r>
        <w:rPr>
          <w:color w:val="231F20"/>
          <w:spacing w:val="-12"/>
        </w:rPr>
        <w:t> </w:t>
      </w:r>
      <w:r>
        <w:rPr>
          <w:color w:val="231F20"/>
          <w:spacing w:val="-1"/>
        </w:rPr>
        <w:t>stress</w:t>
      </w:r>
      <w:r>
        <w:rPr>
          <w:color w:val="231F20"/>
          <w:spacing w:val="-13"/>
        </w:rPr>
        <w:t> </w:t>
      </w:r>
      <w:r>
        <w:rPr>
          <w:color w:val="231F20"/>
          <w:spacing w:val="-1"/>
        </w:rPr>
        <w:t>disorder</w:t>
      </w:r>
      <w:r>
        <w:rPr>
          <w:color w:val="231F20"/>
          <w:spacing w:val="-12"/>
        </w:rPr>
        <w:t> </w:t>
      </w:r>
      <w:r>
        <w:rPr>
          <w:color w:val="231F20"/>
          <w:spacing w:val="-1"/>
        </w:rPr>
        <w:t>(PTSD)</w:t>
      </w:r>
      <w:r>
        <w:rPr>
          <w:color w:val="231F20"/>
          <w:spacing w:val="-12"/>
        </w:rPr>
        <w:t> </w:t>
      </w:r>
      <w:r>
        <w:rPr>
          <w:color w:val="231F20"/>
          <w:spacing w:val="-1"/>
        </w:rPr>
        <w:t>are</w:t>
      </w:r>
      <w:r>
        <w:rPr>
          <w:color w:val="231F20"/>
          <w:spacing w:val="-12"/>
        </w:rPr>
        <w:t> </w:t>
      </w:r>
      <w:r>
        <w:rPr>
          <w:color w:val="231F20"/>
          <w:spacing w:val="-1"/>
        </w:rPr>
        <w:t>strongly</w:t>
      </w:r>
      <w:r>
        <w:rPr>
          <w:color w:val="231F20"/>
          <w:spacing w:val="-13"/>
        </w:rPr>
        <w:t> </w:t>
      </w:r>
      <w:r>
        <w:rPr>
          <w:color w:val="231F20"/>
          <w:spacing w:val="-1"/>
        </w:rPr>
        <w:t>associated</w:t>
      </w:r>
      <w:r>
        <w:rPr>
          <w:color w:val="231F20"/>
          <w:spacing w:val="-52"/>
        </w:rPr>
        <w:t> </w:t>
      </w:r>
      <w:r>
        <w:rPr>
          <w:color w:val="231F20"/>
        </w:rPr>
        <w:t>with HIV. Experiences of trauma among people with</w:t>
      </w:r>
      <w:r>
        <w:rPr>
          <w:color w:val="231F20"/>
          <w:spacing w:val="1"/>
        </w:rPr>
        <w:t> </w:t>
      </w:r>
      <w:r>
        <w:rPr>
          <w:color w:val="231F20"/>
        </w:rPr>
        <w:t>HIV can lead to behavior that increases likelihood of</w:t>
      </w:r>
      <w:r>
        <w:rPr>
          <w:color w:val="231F20"/>
          <w:spacing w:val="1"/>
        </w:rPr>
        <w:t> </w:t>
      </w:r>
      <w:r>
        <w:rPr>
          <w:color w:val="231F20"/>
          <w:spacing w:val="-1"/>
        </w:rPr>
        <w:t>transmitting </w:t>
      </w:r>
      <w:r>
        <w:rPr>
          <w:color w:val="231F20"/>
        </w:rPr>
        <w:t>HIV, lower adherence to HIV care and</w:t>
      </w:r>
      <w:r>
        <w:rPr>
          <w:color w:val="231F20"/>
          <w:spacing w:val="1"/>
        </w:rPr>
        <w:t> </w:t>
      </w:r>
      <w:r>
        <w:rPr>
          <w:color w:val="231F20"/>
          <w:spacing w:val="-4"/>
        </w:rPr>
        <w:t>ART, and higher </w:t>
      </w:r>
      <w:r>
        <w:rPr>
          <w:color w:val="231F20"/>
          <w:spacing w:val="-3"/>
        </w:rPr>
        <w:t>likelihood</w:t>
      </w:r>
      <w:r>
        <w:rPr>
          <w:color w:val="231F20"/>
          <w:spacing w:val="-4"/>
        </w:rPr>
        <w:t> </w:t>
      </w:r>
      <w:r>
        <w:rPr>
          <w:color w:val="231F20"/>
          <w:spacing w:val="-3"/>
        </w:rPr>
        <w:t>of</w:t>
      </w:r>
      <w:r>
        <w:rPr>
          <w:color w:val="231F20"/>
          <w:spacing w:val="-16"/>
        </w:rPr>
        <w:t> </w:t>
      </w:r>
      <w:r>
        <w:rPr>
          <w:color w:val="231F20"/>
          <w:spacing w:val="-3"/>
        </w:rPr>
        <w:t>AIDS-related</w:t>
      </w:r>
      <w:r>
        <w:rPr>
          <w:color w:val="231F20"/>
          <w:spacing w:val="-5"/>
        </w:rPr>
        <w:t> </w:t>
      </w:r>
      <w:r>
        <w:rPr>
          <w:color w:val="231F20"/>
          <w:spacing w:val="-3"/>
        </w:rPr>
        <w:t>mortality.</w:t>
      </w:r>
      <w:r>
        <w:rPr>
          <w:color w:val="231F20"/>
          <w:spacing w:val="-3"/>
          <w:vertAlign w:val="superscript"/>
        </w:rPr>
        <w:t>61</w:t>
      </w:r>
    </w:p>
    <w:p>
      <w:pPr>
        <w:pStyle w:val="BodyText"/>
        <w:spacing w:line="248" w:lineRule="exact"/>
        <w:ind w:left="159"/>
      </w:pPr>
      <w:r>
        <w:rPr>
          <w:color w:val="231F20"/>
          <w:spacing w:val="-1"/>
        </w:rPr>
        <w:t>Among</w:t>
      </w:r>
      <w:r>
        <w:rPr>
          <w:color w:val="231F20"/>
          <w:spacing w:val="-13"/>
        </w:rPr>
        <w:t> </w:t>
      </w:r>
      <w:r>
        <w:rPr>
          <w:color w:val="231F20"/>
          <w:spacing w:val="-1"/>
        </w:rPr>
        <w:t>women</w:t>
      </w:r>
      <w:r>
        <w:rPr>
          <w:color w:val="231F20"/>
          <w:spacing w:val="-12"/>
        </w:rPr>
        <w:t> </w:t>
      </w:r>
      <w:r>
        <w:rPr>
          <w:color w:val="231F20"/>
          <w:spacing w:val="-1"/>
        </w:rPr>
        <w:t>in</w:t>
      </w:r>
      <w:r>
        <w:rPr>
          <w:color w:val="231F20"/>
          <w:spacing w:val="-12"/>
        </w:rPr>
        <w:t> </w:t>
      </w:r>
      <w:r>
        <w:rPr>
          <w:color w:val="231F20"/>
          <w:spacing w:val="-1"/>
        </w:rPr>
        <w:t>the</w:t>
      </w:r>
      <w:r>
        <w:rPr>
          <w:color w:val="231F20"/>
          <w:spacing w:val="-11"/>
        </w:rPr>
        <w:t> </w:t>
      </w:r>
      <w:r>
        <w:rPr>
          <w:color w:val="231F20"/>
          <w:spacing w:val="-1"/>
        </w:rPr>
        <w:t>United</w:t>
      </w:r>
      <w:r>
        <w:rPr>
          <w:color w:val="231F20"/>
          <w:spacing w:val="-13"/>
        </w:rPr>
        <w:t> </w:t>
      </w:r>
      <w:r>
        <w:rPr>
          <w:color w:val="231F20"/>
          <w:spacing w:val="-1"/>
        </w:rPr>
        <w:t>States</w:t>
      </w:r>
      <w:r>
        <w:rPr>
          <w:color w:val="231F20"/>
          <w:spacing w:val="-12"/>
        </w:rPr>
        <w:t> </w:t>
      </w:r>
      <w:r>
        <w:rPr>
          <w:color w:val="231F20"/>
          <w:spacing w:val="-1"/>
        </w:rPr>
        <w:t>with</w:t>
      </w:r>
      <w:r>
        <w:rPr>
          <w:color w:val="231F20"/>
          <w:spacing w:val="-13"/>
        </w:rPr>
        <w:t> </w:t>
      </w:r>
      <w:r>
        <w:rPr>
          <w:color w:val="231F20"/>
          <w:spacing w:val="-1"/>
        </w:rPr>
        <w:t>HIV,</w:t>
      </w:r>
      <w:r>
        <w:rPr>
          <w:color w:val="231F20"/>
          <w:spacing w:val="-11"/>
        </w:rPr>
        <w:t> </w:t>
      </w:r>
      <w:r>
        <w:rPr>
          <w:color w:val="231F20"/>
          <w:spacing w:val="-1"/>
        </w:rPr>
        <w:t>30</w:t>
      </w:r>
      <w:r>
        <w:rPr>
          <w:color w:val="231F20"/>
          <w:spacing w:val="-12"/>
        </w:rPr>
        <w:t> </w:t>
      </w:r>
      <w:r>
        <w:rPr>
          <w:color w:val="231F20"/>
          <w:spacing w:val="-1"/>
        </w:rPr>
        <w:t>percent</w:t>
      </w:r>
    </w:p>
    <w:p>
      <w:pPr>
        <w:pStyle w:val="BodyText"/>
        <w:spacing w:before="27"/>
        <w:ind w:left="159"/>
      </w:pPr>
      <w:r>
        <w:rPr>
          <w:color w:val="231F20"/>
          <w:spacing w:val="-1"/>
        </w:rPr>
        <w:t>have</w:t>
      </w:r>
      <w:r>
        <w:rPr>
          <w:color w:val="231F20"/>
          <w:spacing w:val="-12"/>
        </w:rPr>
        <w:t> </w:t>
      </w:r>
      <w:r>
        <w:rPr>
          <w:color w:val="231F20"/>
          <w:spacing w:val="-1"/>
        </w:rPr>
        <w:t>PTSD</w:t>
      </w:r>
      <w:r>
        <w:rPr>
          <w:color w:val="231F20"/>
          <w:spacing w:val="-13"/>
        </w:rPr>
        <w:t> </w:t>
      </w:r>
      <w:r>
        <w:rPr>
          <w:color w:val="231F20"/>
          <w:spacing w:val="-1"/>
        </w:rPr>
        <w:t>(five</w:t>
      </w:r>
      <w:r>
        <w:rPr>
          <w:color w:val="231F20"/>
          <w:spacing w:val="-11"/>
        </w:rPr>
        <w:t> </w:t>
      </w:r>
      <w:r>
        <w:rPr>
          <w:color w:val="231F20"/>
          <w:spacing w:val="-1"/>
        </w:rPr>
        <w:t>times</w:t>
      </w:r>
      <w:r>
        <w:rPr>
          <w:color w:val="231F20"/>
          <w:spacing w:val="-12"/>
        </w:rPr>
        <w:t> </w:t>
      </w:r>
      <w:r>
        <w:rPr>
          <w:color w:val="231F20"/>
          <w:spacing w:val="-1"/>
        </w:rPr>
        <w:t>the</w:t>
      </w:r>
      <w:r>
        <w:rPr>
          <w:color w:val="231F20"/>
          <w:spacing w:val="-12"/>
        </w:rPr>
        <w:t> </w:t>
      </w:r>
      <w:r>
        <w:rPr>
          <w:color w:val="231F20"/>
          <w:spacing w:val="-1"/>
        </w:rPr>
        <w:t>national</w:t>
      </w:r>
      <w:r>
        <w:rPr>
          <w:color w:val="231F20"/>
          <w:spacing w:val="-12"/>
        </w:rPr>
        <w:t> </w:t>
      </w:r>
      <w:r>
        <w:rPr>
          <w:color w:val="231F20"/>
          <w:spacing w:val="-1"/>
        </w:rPr>
        <w:t>rate</w:t>
      </w:r>
      <w:r>
        <w:rPr>
          <w:color w:val="231F20"/>
          <w:spacing w:val="-11"/>
        </w:rPr>
        <w:t> </w:t>
      </w:r>
      <w:r>
        <w:rPr>
          <w:color w:val="231F20"/>
          <w:spacing w:val="-1"/>
        </w:rPr>
        <w:t>for</w:t>
      </w:r>
      <w:r>
        <w:rPr>
          <w:color w:val="231F20"/>
          <w:spacing w:val="-12"/>
        </w:rPr>
        <w:t> </w:t>
      </w:r>
      <w:r>
        <w:rPr>
          <w:color w:val="231F20"/>
        </w:rPr>
        <w:t>women).</w:t>
      </w:r>
      <w:r>
        <w:rPr>
          <w:color w:val="231F20"/>
          <w:vertAlign w:val="superscript"/>
        </w:rPr>
        <w:t>62</w:t>
      </w:r>
    </w:p>
    <w:p>
      <w:pPr>
        <w:spacing w:after="0"/>
        <w:sectPr>
          <w:type w:val="continuous"/>
          <w:pgSz w:w="12240" w:h="15840"/>
          <w:pgMar w:header="0" w:footer="666" w:top="1500" w:bottom="0" w:left="560" w:right="0"/>
          <w:cols w:num="2" w:equalWidth="0">
            <w:col w:w="5196" w:space="564"/>
            <w:col w:w="5920"/>
          </w:cols>
        </w:sectPr>
      </w:pPr>
    </w:p>
    <w:p>
      <w:pPr>
        <w:pStyle w:val="BodyText"/>
        <w:spacing w:before="9"/>
        <w:rPr>
          <w:sz w:val="26"/>
        </w:rPr>
      </w:pPr>
    </w:p>
    <w:p>
      <w:pPr>
        <w:pStyle w:val="BodyText"/>
        <w:ind w:left="133"/>
        <w:rPr>
          <w:sz w:val="20"/>
        </w:rPr>
      </w:pPr>
      <w:r>
        <w:rPr>
          <w:sz w:val="20"/>
        </w:rPr>
        <w:drawing>
          <wp:inline distT="0" distB="0" distL="0" distR="0">
            <wp:extent cx="6676156" cy="2249995"/>
            <wp:effectExtent l="0" t="0" r="0" b="0"/>
            <wp:docPr id="19" name="image12.png" descr="This graphic depicts a bar graph showing percentages of both the general population and people with HIV/AIDS who experience various types of mental illness. 20.6% of the general population and 40.4% of those with HIV/AIDS experience any type of mental illness. 5.2% of the general population and 13.1% of those with HIV/AIDS experience serious mental illness. 7.8% of the general population and 14.7% of those with HIV/AIDS experience major depressive episodes. 3.8% of the general population and 9.7% of those with HIV/AIDS experience co-occurring disorders. "/>
            <wp:cNvGraphicFramePr>
              <a:graphicFrameLocks noChangeAspect="1"/>
            </wp:cNvGraphicFramePr>
            <a:graphic>
              <a:graphicData uri="http://schemas.openxmlformats.org/drawingml/2006/picture">
                <pic:pic>
                  <pic:nvPicPr>
                    <pic:cNvPr id="20" name="image12.png"/>
                    <pic:cNvPicPr/>
                  </pic:nvPicPr>
                  <pic:blipFill>
                    <a:blip r:embed="rId35" cstate="print"/>
                    <a:stretch>
                      <a:fillRect/>
                    </a:stretch>
                  </pic:blipFill>
                  <pic:spPr>
                    <a:xfrm>
                      <a:off x="0" y="0"/>
                      <a:ext cx="6676156" cy="2249995"/>
                    </a:xfrm>
                    <a:prstGeom prst="rect">
                      <a:avLst/>
                    </a:prstGeom>
                  </pic:spPr>
                </pic:pic>
              </a:graphicData>
            </a:graphic>
          </wp:inline>
        </w:drawing>
      </w:r>
      <w:r>
        <w:rPr>
          <w:sz w:val="20"/>
        </w:rPr>
      </w:r>
    </w:p>
    <w:p>
      <w:pPr>
        <w:spacing w:after="0"/>
        <w:rPr>
          <w:sz w:val="20"/>
        </w:rPr>
        <w:sectPr>
          <w:type w:val="continuous"/>
          <w:pgSz w:w="12240" w:h="15840"/>
          <w:pgMar w:header="0" w:footer="666" w:top="1500" w:bottom="0" w:left="560" w:right="0"/>
        </w:sectPr>
      </w:pPr>
    </w:p>
    <w:p>
      <w:pPr>
        <w:pStyle w:val="BodyText"/>
        <w:rPr>
          <w:sz w:val="20"/>
        </w:rPr>
      </w:pPr>
    </w:p>
    <w:p>
      <w:pPr>
        <w:pStyle w:val="BodyText"/>
        <w:rPr>
          <w:sz w:val="20"/>
        </w:rPr>
      </w:pPr>
    </w:p>
    <w:p>
      <w:pPr>
        <w:pStyle w:val="BodyText"/>
        <w:spacing w:before="6"/>
        <w:rPr>
          <w:sz w:val="19"/>
        </w:rPr>
      </w:pPr>
    </w:p>
    <w:p>
      <w:pPr>
        <w:pStyle w:val="BodyText"/>
        <w:ind w:left="156"/>
        <w:rPr>
          <w:sz w:val="20"/>
        </w:rPr>
      </w:pPr>
      <w:r>
        <w:rPr>
          <w:sz w:val="20"/>
        </w:rPr>
        <w:drawing>
          <wp:inline distT="0" distB="0" distL="0" distR="0">
            <wp:extent cx="6900672" cy="2462783"/>
            <wp:effectExtent l="0" t="0" r="0" b="0"/>
            <wp:docPr id="21" name="image13.jpeg" descr="This graphic depicts 6 bubbles, each of which are labeled with a factor that impacts HIV prevention and treatment efforts. The bubbles read, from left to right: stigma, social marginalization, and discriminationŽ; access to appropriate, tailored, and skilled careŽ; care coordinationŽ; viral hepatitisŽ; medical co-morbiditiesŽ; and incarceration.Ž "/>
            <wp:cNvGraphicFramePr>
              <a:graphicFrameLocks noChangeAspect="1"/>
            </wp:cNvGraphicFramePr>
            <a:graphic>
              <a:graphicData uri="http://schemas.openxmlformats.org/drawingml/2006/picture">
                <pic:pic>
                  <pic:nvPicPr>
                    <pic:cNvPr id="22" name="image13.jpeg"/>
                    <pic:cNvPicPr/>
                  </pic:nvPicPr>
                  <pic:blipFill>
                    <a:blip r:embed="rId36" cstate="print"/>
                    <a:stretch>
                      <a:fillRect/>
                    </a:stretch>
                  </pic:blipFill>
                  <pic:spPr>
                    <a:xfrm>
                      <a:off x="0" y="0"/>
                      <a:ext cx="6900672" cy="2462783"/>
                    </a:xfrm>
                    <a:prstGeom prst="rect">
                      <a:avLst/>
                    </a:prstGeom>
                  </pic:spPr>
                </pic:pic>
              </a:graphicData>
            </a:graphic>
          </wp:inline>
        </w:drawing>
      </w:r>
      <w:r>
        <w:rPr>
          <w:sz w:val="20"/>
        </w:rPr>
      </w:r>
    </w:p>
    <w:p>
      <w:pPr>
        <w:pStyle w:val="BodyText"/>
        <w:spacing w:before="1"/>
        <w:rPr>
          <w:sz w:val="15"/>
        </w:rPr>
      </w:pPr>
    </w:p>
    <w:p>
      <w:pPr>
        <w:spacing w:after="0"/>
        <w:rPr>
          <w:sz w:val="15"/>
        </w:rPr>
        <w:sectPr>
          <w:pgSz w:w="12240" w:h="15840"/>
          <w:pgMar w:header="0" w:footer="666" w:top="380" w:bottom="860" w:left="560" w:right="0"/>
        </w:sectPr>
      </w:pPr>
    </w:p>
    <w:p>
      <w:pPr>
        <w:pStyle w:val="BodyText"/>
        <w:spacing w:line="266" w:lineRule="auto" w:before="90"/>
        <w:ind w:left="160" w:right="221"/>
      </w:pPr>
      <w:bookmarkStart w:name="Interrelated Factors that Impact HIV Pre" w:id="25"/>
      <w:bookmarkEnd w:id="25"/>
      <w:r>
        <w:rPr/>
      </w:r>
      <w:bookmarkStart w:name="Stigma, social marginalization, and disc" w:id="26"/>
      <w:bookmarkEnd w:id="26"/>
      <w:r>
        <w:rPr/>
      </w:r>
      <w:bookmarkStart w:name="Access to appropriate, tailored, and ski" w:id="27"/>
      <w:bookmarkEnd w:id="27"/>
      <w:r>
        <w:rPr/>
      </w:r>
      <w:bookmarkStart w:name="Care coordination" w:id="28"/>
      <w:bookmarkEnd w:id="28"/>
      <w:r>
        <w:rPr/>
      </w:r>
      <w:r>
        <w:rPr>
          <w:color w:val="231F20"/>
        </w:rPr>
        <w:t>Furthermore, women from low-income, high-HIV</w:t>
      </w:r>
      <w:r>
        <w:rPr>
          <w:color w:val="231F20"/>
          <w:spacing w:val="1"/>
        </w:rPr>
        <w:t> </w:t>
      </w:r>
      <w:r>
        <w:rPr>
          <w:color w:val="231F20"/>
          <w:spacing w:val="-1"/>
        </w:rPr>
        <w:t>prevalence communities experience </w:t>
      </w:r>
      <w:r>
        <w:rPr>
          <w:color w:val="231F20"/>
        </w:rPr>
        <w:t>stressors that lead</w:t>
      </w:r>
      <w:r>
        <w:rPr>
          <w:color w:val="231F20"/>
          <w:spacing w:val="1"/>
        </w:rPr>
        <w:t> </w:t>
      </w:r>
      <w:r>
        <w:rPr>
          <w:color w:val="231F20"/>
        </w:rPr>
        <w:t>to</w:t>
      </w:r>
      <w:r>
        <w:rPr>
          <w:color w:val="231F20"/>
          <w:spacing w:val="-12"/>
        </w:rPr>
        <w:t> </w:t>
      </w:r>
      <w:r>
        <w:rPr>
          <w:color w:val="231F20"/>
        </w:rPr>
        <w:t>the</w:t>
      </w:r>
      <w:r>
        <w:rPr>
          <w:color w:val="231F20"/>
          <w:spacing w:val="-12"/>
        </w:rPr>
        <w:t> </w:t>
      </w:r>
      <w:r>
        <w:rPr>
          <w:color w:val="231F20"/>
        </w:rPr>
        <w:t>development</w:t>
      </w:r>
      <w:r>
        <w:rPr>
          <w:color w:val="231F20"/>
          <w:spacing w:val="-11"/>
        </w:rPr>
        <w:t> </w:t>
      </w:r>
      <w:r>
        <w:rPr>
          <w:color w:val="231F20"/>
        </w:rPr>
        <w:t>of</w:t>
      </w:r>
      <w:r>
        <w:rPr>
          <w:color w:val="231F20"/>
          <w:spacing w:val="-12"/>
        </w:rPr>
        <w:t> </w:t>
      </w:r>
      <w:r>
        <w:rPr>
          <w:color w:val="231F20"/>
        </w:rPr>
        <w:t>PTSD,</w:t>
      </w:r>
      <w:r>
        <w:rPr>
          <w:color w:val="231F20"/>
          <w:spacing w:val="-12"/>
        </w:rPr>
        <w:t> </w:t>
      </w:r>
      <w:r>
        <w:rPr>
          <w:color w:val="231F20"/>
        </w:rPr>
        <w:t>such</w:t>
      </w:r>
      <w:r>
        <w:rPr>
          <w:color w:val="231F20"/>
          <w:spacing w:val="-12"/>
        </w:rPr>
        <w:t> </w:t>
      </w:r>
      <w:r>
        <w:rPr>
          <w:color w:val="231F20"/>
        </w:rPr>
        <w:t>as</w:t>
      </w:r>
      <w:r>
        <w:rPr>
          <w:color w:val="231F20"/>
          <w:spacing w:val="-12"/>
        </w:rPr>
        <w:t> </w:t>
      </w:r>
      <w:r>
        <w:rPr>
          <w:color w:val="231F20"/>
        </w:rPr>
        <w:t>high</w:t>
      </w:r>
      <w:r>
        <w:rPr>
          <w:color w:val="231F20"/>
          <w:spacing w:val="-12"/>
        </w:rPr>
        <w:t> </w:t>
      </w:r>
      <w:r>
        <w:rPr>
          <w:color w:val="231F20"/>
        </w:rPr>
        <w:t>rates</w:t>
      </w:r>
      <w:r>
        <w:rPr>
          <w:color w:val="231F20"/>
          <w:spacing w:val="-11"/>
        </w:rPr>
        <w:t> </w:t>
      </w:r>
      <w:r>
        <w:rPr>
          <w:color w:val="231F20"/>
        </w:rPr>
        <w:t>of</w:t>
      </w:r>
      <w:r>
        <w:rPr>
          <w:color w:val="231F20"/>
          <w:spacing w:val="-12"/>
        </w:rPr>
        <w:t> </w:t>
      </w:r>
      <w:r>
        <w:rPr>
          <w:color w:val="231F20"/>
        </w:rPr>
        <w:t>child</w:t>
      </w:r>
    </w:p>
    <w:p>
      <w:pPr>
        <w:pStyle w:val="BodyText"/>
        <w:spacing w:line="251" w:lineRule="exact"/>
        <w:ind w:left="160"/>
      </w:pPr>
      <w:r>
        <w:rPr>
          <w:color w:val="231F20"/>
          <w:spacing w:val="-2"/>
        </w:rPr>
        <w:t>maltreatment</w:t>
      </w:r>
      <w:r>
        <w:rPr>
          <w:color w:val="231F20"/>
          <w:spacing w:val="-11"/>
        </w:rPr>
        <w:t> </w:t>
      </w:r>
      <w:r>
        <w:rPr>
          <w:color w:val="231F20"/>
          <w:spacing w:val="-1"/>
        </w:rPr>
        <w:t>and</w:t>
      </w:r>
      <w:r>
        <w:rPr>
          <w:color w:val="231F20"/>
          <w:spacing w:val="-10"/>
        </w:rPr>
        <w:t> </w:t>
      </w:r>
      <w:r>
        <w:rPr>
          <w:color w:val="231F20"/>
          <w:spacing w:val="-1"/>
        </w:rPr>
        <w:t>physical,</w:t>
      </w:r>
      <w:r>
        <w:rPr>
          <w:color w:val="231F20"/>
          <w:spacing w:val="-11"/>
        </w:rPr>
        <w:t> </w:t>
      </w:r>
      <w:r>
        <w:rPr>
          <w:color w:val="231F20"/>
          <w:spacing w:val="-1"/>
        </w:rPr>
        <w:t>emotional,</w:t>
      </w:r>
      <w:r>
        <w:rPr>
          <w:color w:val="231F20"/>
          <w:spacing w:val="-10"/>
        </w:rPr>
        <w:t> </w:t>
      </w:r>
      <w:r>
        <w:rPr>
          <w:color w:val="231F20"/>
          <w:spacing w:val="-1"/>
        </w:rPr>
        <w:t>and</w:t>
      </w:r>
      <w:r>
        <w:rPr>
          <w:color w:val="231F20"/>
          <w:spacing w:val="-11"/>
        </w:rPr>
        <w:t> </w:t>
      </w:r>
      <w:r>
        <w:rPr>
          <w:color w:val="231F20"/>
          <w:spacing w:val="-1"/>
        </w:rPr>
        <w:t>sexual</w:t>
      </w:r>
      <w:r>
        <w:rPr>
          <w:color w:val="231F20"/>
          <w:spacing w:val="-11"/>
        </w:rPr>
        <w:t> </w:t>
      </w:r>
      <w:r>
        <w:rPr>
          <w:color w:val="231F20"/>
          <w:spacing w:val="-1"/>
        </w:rPr>
        <w:t>abuse.</w:t>
      </w:r>
      <w:r>
        <w:rPr>
          <w:color w:val="231F20"/>
          <w:spacing w:val="-1"/>
          <w:vertAlign w:val="superscript"/>
        </w:rPr>
        <w:t>63</w:t>
      </w:r>
    </w:p>
    <w:p>
      <w:pPr>
        <w:pStyle w:val="BodyText"/>
        <w:spacing w:before="9"/>
        <w:rPr>
          <w:sz w:val="18"/>
        </w:rPr>
      </w:pPr>
    </w:p>
    <w:p>
      <w:pPr>
        <w:pStyle w:val="Heading6"/>
        <w:spacing w:line="228" w:lineRule="auto" w:before="1"/>
        <w:ind w:left="159" w:right="108"/>
      </w:pPr>
      <w:r>
        <w:rPr>
          <w:color w:val="CE372D"/>
        </w:rPr>
        <w:t>Interrelated Factors that Impact HIV Prevention</w:t>
      </w:r>
      <w:r>
        <w:rPr>
          <w:color w:val="CE372D"/>
          <w:spacing w:val="-59"/>
        </w:rPr>
        <w:t> </w:t>
      </w:r>
      <w:r>
        <w:rPr>
          <w:color w:val="CE372D"/>
        </w:rPr>
        <w:t>and</w:t>
      </w:r>
      <w:r>
        <w:rPr>
          <w:color w:val="CE372D"/>
          <w:spacing w:val="-2"/>
        </w:rPr>
        <w:t> </w:t>
      </w:r>
      <w:r>
        <w:rPr>
          <w:color w:val="CE372D"/>
        </w:rPr>
        <w:t>Treatment</w:t>
      </w:r>
      <w:r>
        <w:rPr>
          <w:color w:val="CE372D"/>
          <w:spacing w:val="-1"/>
        </w:rPr>
        <w:t> </w:t>
      </w:r>
      <w:r>
        <w:rPr>
          <w:color w:val="CE372D"/>
        </w:rPr>
        <w:t>Efforts</w:t>
      </w:r>
    </w:p>
    <w:p>
      <w:pPr>
        <w:pStyle w:val="BodyText"/>
        <w:spacing w:line="266" w:lineRule="auto" w:before="120"/>
        <w:ind w:left="159" w:right="48"/>
      </w:pPr>
      <w:r>
        <w:rPr>
          <w:color w:val="231F20"/>
          <w:spacing w:val="-1"/>
        </w:rPr>
        <w:t>Understanding the complex relationship </w:t>
      </w:r>
      <w:r>
        <w:rPr>
          <w:color w:val="231F20"/>
        </w:rPr>
        <w:t>between social</w:t>
      </w:r>
      <w:r>
        <w:rPr>
          <w:color w:val="231F20"/>
          <w:spacing w:val="1"/>
        </w:rPr>
        <w:t> </w:t>
      </w:r>
      <w:r>
        <w:rPr>
          <w:color w:val="231F20"/>
          <w:spacing w:val="-2"/>
        </w:rPr>
        <w:t>determinants</w:t>
      </w:r>
      <w:r>
        <w:rPr>
          <w:color w:val="231F20"/>
          <w:spacing w:val="-11"/>
        </w:rPr>
        <w:t> </w:t>
      </w:r>
      <w:r>
        <w:rPr>
          <w:color w:val="231F20"/>
          <w:spacing w:val="-2"/>
        </w:rPr>
        <w:t>of</w:t>
      </w:r>
      <w:r>
        <w:rPr>
          <w:color w:val="231F20"/>
          <w:spacing w:val="-11"/>
        </w:rPr>
        <w:t> </w:t>
      </w:r>
      <w:r>
        <w:rPr>
          <w:color w:val="231F20"/>
          <w:spacing w:val="-2"/>
        </w:rPr>
        <w:t>health,</w:t>
      </w:r>
      <w:r>
        <w:rPr>
          <w:color w:val="231F20"/>
          <w:spacing w:val="-11"/>
        </w:rPr>
        <w:t> </w:t>
      </w:r>
      <w:r>
        <w:rPr>
          <w:color w:val="231F20"/>
          <w:spacing w:val="-1"/>
        </w:rPr>
        <w:t>unmet</w:t>
      </w:r>
      <w:r>
        <w:rPr>
          <w:color w:val="231F20"/>
          <w:spacing w:val="-11"/>
        </w:rPr>
        <w:t> </w:t>
      </w:r>
      <w:r>
        <w:rPr>
          <w:color w:val="231F20"/>
          <w:spacing w:val="-1"/>
        </w:rPr>
        <w:t>needs,</w:t>
      </w:r>
      <w:r>
        <w:rPr>
          <w:color w:val="231F20"/>
          <w:spacing w:val="-11"/>
        </w:rPr>
        <w:t> </w:t>
      </w:r>
      <w:r>
        <w:rPr>
          <w:color w:val="231F20"/>
          <w:spacing w:val="-1"/>
        </w:rPr>
        <w:t>and</w:t>
      </w:r>
      <w:r>
        <w:rPr>
          <w:color w:val="231F20"/>
          <w:spacing w:val="-10"/>
        </w:rPr>
        <w:t> </w:t>
      </w:r>
      <w:r>
        <w:rPr>
          <w:color w:val="231F20"/>
          <w:spacing w:val="-1"/>
        </w:rPr>
        <w:t>HIV-related</w:t>
      </w:r>
      <w:r>
        <w:rPr>
          <w:color w:val="231F20"/>
          <w:spacing w:val="-11"/>
        </w:rPr>
        <w:t> </w:t>
      </w:r>
      <w:r>
        <w:rPr>
          <w:color w:val="231F20"/>
          <w:spacing w:val="-1"/>
        </w:rPr>
        <w:t>risk</w:t>
      </w:r>
      <w:r>
        <w:rPr>
          <w:color w:val="231F20"/>
          <w:spacing w:val="-52"/>
        </w:rPr>
        <w:t> </w:t>
      </w:r>
      <w:r>
        <w:rPr>
          <w:color w:val="231F20"/>
        </w:rPr>
        <w:t>factors is key to addressing HIV and mental illness and/</w:t>
      </w:r>
      <w:r>
        <w:rPr>
          <w:color w:val="231F20"/>
          <w:spacing w:val="1"/>
        </w:rPr>
        <w:t> </w:t>
      </w:r>
      <w:r>
        <w:rPr>
          <w:color w:val="231F20"/>
        </w:rPr>
        <w:t>or</w:t>
      </w:r>
      <w:r>
        <w:rPr>
          <w:color w:val="231F20"/>
          <w:spacing w:val="-13"/>
        </w:rPr>
        <w:t> </w:t>
      </w:r>
      <w:r>
        <w:rPr>
          <w:color w:val="231F20"/>
        </w:rPr>
        <w:t>SUD</w:t>
      </w:r>
      <w:r>
        <w:rPr>
          <w:color w:val="010202"/>
        </w:rPr>
        <w:t>.</w:t>
      </w:r>
      <w:r>
        <w:rPr>
          <w:color w:val="010202"/>
          <w:vertAlign w:val="superscript"/>
        </w:rPr>
        <w:t>64</w:t>
      </w:r>
      <w:r>
        <w:rPr>
          <w:color w:val="010202"/>
          <w:spacing w:val="-13"/>
          <w:vertAlign w:val="baseline"/>
        </w:rPr>
        <w:t> </w:t>
      </w:r>
      <w:r>
        <w:rPr>
          <w:color w:val="231F20"/>
          <w:vertAlign w:val="baseline"/>
        </w:rPr>
        <w:t>For</w:t>
      </w:r>
      <w:r>
        <w:rPr>
          <w:color w:val="231F20"/>
          <w:spacing w:val="-13"/>
          <w:vertAlign w:val="baseline"/>
        </w:rPr>
        <w:t> </w:t>
      </w:r>
      <w:r>
        <w:rPr>
          <w:color w:val="231F20"/>
          <w:vertAlign w:val="baseline"/>
        </w:rPr>
        <w:t>example,</w:t>
      </w:r>
      <w:r>
        <w:rPr>
          <w:color w:val="231F20"/>
          <w:spacing w:val="-12"/>
          <w:vertAlign w:val="baseline"/>
        </w:rPr>
        <w:t> </w:t>
      </w:r>
      <w:r>
        <w:rPr>
          <w:color w:val="231F20"/>
          <w:vertAlign w:val="baseline"/>
        </w:rPr>
        <w:t>it</w:t>
      </w:r>
      <w:r>
        <w:rPr>
          <w:color w:val="231F20"/>
          <w:spacing w:val="-13"/>
          <w:vertAlign w:val="baseline"/>
        </w:rPr>
        <w:t> </w:t>
      </w:r>
      <w:r>
        <w:rPr>
          <w:color w:val="231F20"/>
          <w:vertAlign w:val="baseline"/>
        </w:rPr>
        <w:t>is</w:t>
      </w:r>
      <w:r>
        <w:rPr>
          <w:color w:val="231F20"/>
          <w:spacing w:val="-12"/>
          <w:vertAlign w:val="baseline"/>
        </w:rPr>
        <w:t> </w:t>
      </w:r>
      <w:r>
        <w:rPr>
          <w:color w:val="231F20"/>
          <w:vertAlign w:val="baseline"/>
        </w:rPr>
        <w:t>difficult</w:t>
      </w:r>
      <w:r>
        <w:rPr>
          <w:color w:val="231F20"/>
          <w:spacing w:val="-13"/>
          <w:vertAlign w:val="baseline"/>
        </w:rPr>
        <w:t> </w:t>
      </w:r>
      <w:r>
        <w:rPr>
          <w:color w:val="231F20"/>
          <w:vertAlign w:val="baseline"/>
        </w:rPr>
        <w:t>to</w:t>
      </w:r>
      <w:r>
        <w:rPr>
          <w:color w:val="231F20"/>
          <w:spacing w:val="-13"/>
          <w:vertAlign w:val="baseline"/>
        </w:rPr>
        <w:t> </w:t>
      </w:r>
      <w:r>
        <w:rPr>
          <w:color w:val="231F20"/>
          <w:vertAlign w:val="baseline"/>
        </w:rPr>
        <w:t>engage</w:t>
      </w:r>
      <w:r>
        <w:rPr>
          <w:color w:val="231F20"/>
          <w:spacing w:val="-12"/>
          <w:vertAlign w:val="baseline"/>
        </w:rPr>
        <w:t> </w:t>
      </w:r>
      <w:r>
        <w:rPr>
          <w:color w:val="231F20"/>
          <w:vertAlign w:val="baseline"/>
        </w:rPr>
        <w:t>people</w:t>
      </w:r>
      <w:r>
        <w:rPr>
          <w:color w:val="231F20"/>
          <w:spacing w:val="-13"/>
          <w:vertAlign w:val="baseline"/>
        </w:rPr>
        <w:t> </w:t>
      </w:r>
      <w:r>
        <w:rPr>
          <w:color w:val="231F20"/>
          <w:vertAlign w:val="baseline"/>
        </w:rPr>
        <w:t>in</w:t>
      </w:r>
      <w:r>
        <w:rPr>
          <w:color w:val="231F20"/>
          <w:spacing w:val="1"/>
          <w:vertAlign w:val="baseline"/>
        </w:rPr>
        <w:t> </w:t>
      </w:r>
      <w:r>
        <w:rPr>
          <w:color w:val="231F20"/>
          <w:spacing w:val="-1"/>
          <w:vertAlign w:val="baseline"/>
        </w:rPr>
        <w:t>HIV prevention or treatment programs </w:t>
      </w:r>
      <w:r>
        <w:rPr>
          <w:color w:val="231F20"/>
          <w:vertAlign w:val="baseline"/>
        </w:rPr>
        <w:t>when their basic</w:t>
      </w:r>
      <w:r>
        <w:rPr>
          <w:color w:val="231F20"/>
          <w:spacing w:val="1"/>
          <w:vertAlign w:val="baseline"/>
        </w:rPr>
        <w:t> </w:t>
      </w:r>
      <w:r>
        <w:rPr>
          <w:color w:val="231F20"/>
          <w:spacing w:val="-1"/>
          <w:vertAlign w:val="baseline"/>
        </w:rPr>
        <w:t>ancillary needs </w:t>
      </w:r>
      <w:r>
        <w:rPr>
          <w:color w:val="231F20"/>
          <w:vertAlign w:val="baseline"/>
        </w:rPr>
        <w:t>(e.g., housing, child care, transportation,</w:t>
      </w:r>
      <w:r>
        <w:rPr>
          <w:color w:val="231F20"/>
          <w:spacing w:val="1"/>
          <w:vertAlign w:val="baseline"/>
        </w:rPr>
        <w:t> </w:t>
      </w:r>
      <w:r>
        <w:rPr>
          <w:color w:val="231F20"/>
          <w:spacing w:val="-1"/>
          <w:vertAlign w:val="baseline"/>
        </w:rPr>
        <w:t>food, employment, health </w:t>
      </w:r>
      <w:r>
        <w:rPr>
          <w:color w:val="231F20"/>
          <w:vertAlign w:val="baseline"/>
        </w:rPr>
        <w:t>insurance) are not met.</w:t>
      </w:r>
      <w:r>
        <w:rPr>
          <w:color w:val="231F20"/>
          <w:vertAlign w:val="superscript"/>
        </w:rPr>
        <w:t>65-68</w:t>
      </w:r>
      <w:r>
        <w:rPr>
          <w:color w:val="231F20"/>
          <w:vertAlign w:val="baseline"/>
        </w:rPr>
        <w:t> In</w:t>
      </w:r>
      <w:r>
        <w:rPr>
          <w:color w:val="231F20"/>
          <w:spacing w:val="1"/>
          <w:vertAlign w:val="baseline"/>
        </w:rPr>
        <w:t> </w:t>
      </w:r>
      <w:r>
        <w:rPr>
          <w:color w:val="231F20"/>
          <w:spacing w:val="-1"/>
          <w:vertAlign w:val="baseline"/>
        </w:rPr>
        <w:t>urban, high-poverty areas, higher </w:t>
      </w:r>
      <w:r>
        <w:rPr>
          <w:color w:val="231F20"/>
          <w:vertAlign w:val="baseline"/>
        </w:rPr>
        <w:t>HIV prevalence tends</w:t>
      </w:r>
      <w:r>
        <w:rPr>
          <w:color w:val="231F20"/>
          <w:spacing w:val="1"/>
          <w:vertAlign w:val="baseline"/>
        </w:rPr>
        <w:t> </w:t>
      </w:r>
      <w:r>
        <w:rPr>
          <w:color w:val="231F20"/>
          <w:vertAlign w:val="baseline"/>
        </w:rPr>
        <w:t>to be associated with socioeconomic status, including</w:t>
      </w:r>
      <w:r>
        <w:rPr>
          <w:color w:val="231F20"/>
          <w:spacing w:val="1"/>
          <w:vertAlign w:val="baseline"/>
        </w:rPr>
        <w:t> </w:t>
      </w:r>
      <w:r>
        <w:rPr>
          <w:color w:val="231F20"/>
          <w:spacing w:val="-1"/>
          <w:vertAlign w:val="baseline"/>
        </w:rPr>
        <w:t>educational attainment, household </w:t>
      </w:r>
      <w:r>
        <w:rPr>
          <w:color w:val="231F20"/>
          <w:vertAlign w:val="baseline"/>
        </w:rPr>
        <w:t>income, employment</w:t>
      </w:r>
      <w:r>
        <w:rPr>
          <w:color w:val="231F20"/>
          <w:spacing w:val="1"/>
          <w:vertAlign w:val="baseline"/>
        </w:rPr>
        <w:t> </w:t>
      </w:r>
      <w:r>
        <w:rPr>
          <w:color w:val="231F20"/>
          <w:spacing w:val="-3"/>
          <w:vertAlign w:val="baseline"/>
        </w:rPr>
        <w:t>status, </w:t>
      </w:r>
      <w:r>
        <w:rPr>
          <w:color w:val="231F20"/>
          <w:spacing w:val="-2"/>
          <w:vertAlign w:val="baseline"/>
        </w:rPr>
        <w:t>structural racism, and housing status.</w:t>
      </w:r>
      <w:r>
        <w:rPr>
          <w:color w:val="231F20"/>
          <w:spacing w:val="-2"/>
          <w:vertAlign w:val="superscript"/>
        </w:rPr>
        <w:t>69-70</w:t>
      </w:r>
      <w:r>
        <w:rPr>
          <w:color w:val="231F20"/>
          <w:spacing w:val="-2"/>
          <w:vertAlign w:val="baseline"/>
        </w:rPr>
        <w:t> There are</w:t>
      </w:r>
      <w:r>
        <w:rPr>
          <w:color w:val="231F20"/>
          <w:spacing w:val="-52"/>
          <w:vertAlign w:val="baseline"/>
        </w:rPr>
        <w:t> </w:t>
      </w:r>
      <w:r>
        <w:rPr>
          <w:color w:val="231F20"/>
          <w:spacing w:val="-1"/>
          <w:vertAlign w:val="baseline"/>
        </w:rPr>
        <w:t>six key interrelated factors (identified </w:t>
      </w:r>
      <w:r>
        <w:rPr>
          <w:color w:val="231F20"/>
          <w:vertAlign w:val="baseline"/>
        </w:rPr>
        <w:t>below) that impact</w:t>
      </w:r>
      <w:r>
        <w:rPr>
          <w:color w:val="231F20"/>
          <w:spacing w:val="-52"/>
          <w:vertAlign w:val="baseline"/>
        </w:rPr>
        <w:t> </w:t>
      </w:r>
      <w:r>
        <w:rPr>
          <w:color w:val="231F20"/>
          <w:spacing w:val="-1"/>
          <w:vertAlign w:val="baseline"/>
        </w:rPr>
        <w:t>HIV prevention and treatment efforts addressed through</w:t>
      </w:r>
      <w:r>
        <w:rPr>
          <w:color w:val="231F20"/>
          <w:vertAlign w:val="baseline"/>
        </w:rPr>
        <w:t> the</w:t>
      </w:r>
      <w:r>
        <w:rPr>
          <w:color w:val="231F20"/>
          <w:spacing w:val="-6"/>
          <w:vertAlign w:val="baseline"/>
        </w:rPr>
        <w:t> </w:t>
      </w:r>
      <w:r>
        <w:rPr>
          <w:color w:val="231F20"/>
          <w:vertAlign w:val="baseline"/>
        </w:rPr>
        <w:t>practices</w:t>
      </w:r>
      <w:r>
        <w:rPr>
          <w:color w:val="231F20"/>
          <w:spacing w:val="-6"/>
          <w:vertAlign w:val="baseline"/>
        </w:rPr>
        <w:t> </w:t>
      </w:r>
      <w:r>
        <w:rPr>
          <w:color w:val="231F20"/>
          <w:vertAlign w:val="baseline"/>
        </w:rPr>
        <w:t>highlighted</w:t>
      </w:r>
      <w:r>
        <w:rPr>
          <w:color w:val="231F20"/>
          <w:spacing w:val="-5"/>
          <w:vertAlign w:val="baseline"/>
        </w:rPr>
        <w:t> </w:t>
      </w:r>
      <w:r>
        <w:rPr>
          <w:color w:val="231F20"/>
          <w:vertAlign w:val="baseline"/>
        </w:rPr>
        <w:t>in</w:t>
      </w:r>
      <w:r>
        <w:rPr>
          <w:color w:val="231F20"/>
          <w:spacing w:val="-6"/>
          <w:vertAlign w:val="baseline"/>
        </w:rPr>
        <w:t> </w:t>
      </w:r>
      <w:r>
        <w:rPr>
          <w:color w:val="231F20"/>
          <w:vertAlign w:val="baseline"/>
        </w:rPr>
        <w:t>this</w:t>
      </w:r>
      <w:r>
        <w:rPr>
          <w:color w:val="231F20"/>
          <w:spacing w:val="-5"/>
          <w:vertAlign w:val="baseline"/>
        </w:rPr>
        <w:t> </w:t>
      </w:r>
      <w:r>
        <w:rPr>
          <w:color w:val="231F20"/>
          <w:vertAlign w:val="baseline"/>
        </w:rPr>
        <w:t>guide.</w:t>
      </w:r>
    </w:p>
    <w:p>
      <w:pPr>
        <w:pStyle w:val="Heading5"/>
        <w:spacing w:before="157"/>
        <w:ind w:left="159"/>
        <w:rPr>
          <w:i/>
        </w:rPr>
      </w:pPr>
      <w:r>
        <w:rPr>
          <w:i/>
          <w:color w:val="1C384B"/>
          <w:spacing w:val="-5"/>
        </w:rPr>
        <w:t>Stigma,</w:t>
      </w:r>
      <w:r>
        <w:rPr>
          <w:i/>
          <w:color w:val="1C384B"/>
          <w:spacing w:val="-10"/>
        </w:rPr>
        <w:t> </w:t>
      </w:r>
      <w:r>
        <w:rPr>
          <w:i/>
          <w:color w:val="1C384B"/>
          <w:spacing w:val="-5"/>
        </w:rPr>
        <w:t>social</w:t>
      </w:r>
      <w:r>
        <w:rPr>
          <w:i/>
          <w:color w:val="1C384B"/>
          <w:spacing w:val="-9"/>
        </w:rPr>
        <w:t> </w:t>
      </w:r>
      <w:r>
        <w:rPr>
          <w:i/>
          <w:color w:val="1C384B"/>
          <w:spacing w:val="-5"/>
        </w:rPr>
        <w:t>marginalization,</w:t>
      </w:r>
      <w:r>
        <w:rPr>
          <w:i/>
          <w:color w:val="1C384B"/>
          <w:spacing w:val="-10"/>
        </w:rPr>
        <w:t> </w:t>
      </w:r>
      <w:r>
        <w:rPr>
          <w:i/>
          <w:color w:val="1C384B"/>
          <w:spacing w:val="-4"/>
        </w:rPr>
        <w:t>and</w:t>
      </w:r>
      <w:r>
        <w:rPr>
          <w:i/>
          <w:color w:val="1C384B"/>
          <w:spacing w:val="-9"/>
        </w:rPr>
        <w:t> </w:t>
      </w:r>
      <w:r>
        <w:rPr>
          <w:i/>
          <w:color w:val="1C384B"/>
          <w:spacing w:val="-4"/>
        </w:rPr>
        <w:t>discrimination</w:t>
      </w:r>
    </w:p>
    <w:p>
      <w:pPr>
        <w:pStyle w:val="BodyText"/>
        <w:spacing w:line="266" w:lineRule="auto" w:before="183"/>
        <w:ind w:left="159" w:right="426"/>
      </w:pPr>
      <w:r>
        <w:rPr>
          <w:color w:val="231F20"/>
        </w:rPr>
        <w:t>Stigma is a “perennial problem,”</w:t>
      </w:r>
      <w:r>
        <w:rPr>
          <w:color w:val="231F20"/>
          <w:vertAlign w:val="superscript"/>
        </w:rPr>
        <w:t>71</w:t>
      </w:r>
      <w:r>
        <w:rPr>
          <w:color w:val="231F20"/>
          <w:vertAlign w:val="baseline"/>
        </w:rPr>
        <w:t> contributing to</w:t>
      </w:r>
      <w:r>
        <w:rPr>
          <w:color w:val="231F20"/>
          <w:spacing w:val="1"/>
          <w:vertAlign w:val="baseline"/>
        </w:rPr>
        <w:t> </w:t>
      </w:r>
      <w:r>
        <w:rPr>
          <w:color w:val="231F20"/>
          <w:spacing w:val="-3"/>
          <w:vertAlign w:val="baseline"/>
        </w:rPr>
        <w:t>poor</w:t>
      </w:r>
      <w:r>
        <w:rPr>
          <w:color w:val="231F20"/>
          <w:spacing w:val="-12"/>
          <w:vertAlign w:val="baseline"/>
        </w:rPr>
        <w:t> </w:t>
      </w:r>
      <w:r>
        <w:rPr>
          <w:color w:val="231F20"/>
          <w:spacing w:val="-3"/>
          <w:vertAlign w:val="baseline"/>
        </w:rPr>
        <w:t>ART</w:t>
      </w:r>
      <w:r>
        <w:rPr>
          <w:color w:val="231F20"/>
          <w:spacing w:val="-2"/>
          <w:vertAlign w:val="baseline"/>
        </w:rPr>
        <w:t> </w:t>
      </w:r>
      <w:r>
        <w:rPr>
          <w:color w:val="231F20"/>
          <w:spacing w:val="-3"/>
          <w:vertAlign w:val="baseline"/>
        </w:rPr>
        <w:t>adherence,</w:t>
      </w:r>
      <w:r>
        <w:rPr>
          <w:color w:val="231F20"/>
          <w:spacing w:val="2"/>
          <w:vertAlign w:val="baseline"/>
        </w:rPr>
        <w:t> </w:t>
      </w:r>
      <w:r>
        <w:rPr>
          <w:color w:val="231F20"/>
          <w:spacing w:val="-3"/>
          <w:vertAlign w:val="baseline"/>
        </w:rPr>
        <w:t>higher</w:t>
      </w:r>
      <w:r>
        <w:rPr>
          <w:color w:val="231F20"/>
          <w:spacing w:val="3"/>
          <w:vertAlign w:val="baseline"/>
        </w:rPr>
        <w:t> </w:t>
      </w:r>
      <w:r>
        <w:rPr>
          <w:color w:val="231F20"/>
          <w:spacing w:val="-2"/>
          <w:vertAlign w:val="baseline"/>
        </w:rPr>
        <w:t>rates</w:t>
      </w:r>
      <w:r>
        <w:rPr>
          <w:color w:val="231F20"/>
          <w:spacing w:val="2"/>
          <w:vertAlign w:val="baseline"/>
        </w:rPr>
        <w:t> </w:t>
      </w:r>
      <w:r>
        <w:rPr>
          <w:color w:val="231F20"/>
          <w:spacing w:val="-2"/>
          <w:vertAlign w:val="baseline"/>
        </w:rPr>
        <w:t>of</w:t>
      </w:r>
      <w:r>
        <w:rPr>
          <w:color w:val="231F20"/>
          <w:spacing w:val="2"/>
          <w:vertAlign w:val="baseline"/>
        </w:rPr>
        <w:t> </w:t>
      </w:r>
      <w:r>
        <w:rPr>
          <w:color w:val="231F20"/>
          <w:spacing w:val="-2"/>
          <w:vertAlign w:val="baseline"/>
        </w:rPr>
        <w:t>depression,</w:t>
      </w:r>
      <w:r>
        <w:rPr>
          <w:color w:val="231F20"/>
          <w:spacing w:val="-2"/>
          <w:vertAlign w:val="superscript"/>
        </w:rPr>
        <w:t>72</w:t>
      </w:r>
      <w:r>
        <w:rPr>
          <w:color w:val="231F20"/>
          <w:spacing w:val="-1"/>
          <w:vertAlign w:val="baseline"/>
        </w:rPr>
        <w:t> and challenges </w:t>
      </w:r>
      <w:r>
        <w:rPr>
          <w:color w:val="231F20"/>
          <w:vertAlign w:val="baseline"/>
        </w:rPr>
        <w:t>related to HIV prevention (e.g., fear</w:t>
      </w:r>
      <w:r>
        <w:rPr>
          <w:color w:val="231F20"/>
          <w:spacing w:val="1"/>
          <w:vertAlign w:val="baseline"/>
        </w:rPr>
        <w:t> </w:t>
      </w:r>
      <w:r>
        <w:rPr>
          <w:color w:val="231F20"/>
          <w:spacing w:val="-2"/>
          <w:vertAlign w:val="baseline"/>
        </w:rPr>
        <w:t>of</w:t>
      </w:r>
      <w:r>
        <w:rPr>
          <w:color w:val="231F20"/>
          <w:spacing w:val="-12"/>
          <w:vertAlign w:val="baseline"/>
        </w:rPr>
        <w:t> </w:t>
      </w:r>
      <w:r>
        <w:rPr>
          <w:color w:val="231F20"/>
          <w:spacing w:val="-2"/>
          <w:vertAlign w:val="baseline"/>
        </w:rPr>
        <w:t>disclosure</w:t>
      </w:r>
      <w:r>
        <w:rPr>
          <w:color w:val="231F20"/>
          <w:spacing w:val="-12"/>
          <w:vertAlign w:val="baseline"/>
        </w:rPr>
        <w:t> </w:t>
      </w:r>
      <w:r>
        <w:rPr>
          <w:color w:val="231F20"/>
          <w:spacing w:val="-1"/>
          <w:vertAlign w:val="baseline"/>
        </w:rPr>
        <w:t>impacting</w:t>
      </w:r>
      <w:r>
        <w:rPr>
          <w:color w:val="231F20"/>
          <w:spacing w:val="-11"/>
          <w:vertAlign w:val="baseline"/>
        </w:rPr>
        <w:t> </w:t>
      </w:r>
      <w:r>
        <w:rPr>
          <w:color w:val="231F20"/>
          <w:spacing w:val="-1"/>
          <w:vertAlign w:val="baseline"/>
        </w:rPr>
        <w:t>negotiation</w:t>
      </w:r>
      <w:r>
        <w:rPr>
          <w:color w:val="231F20"/>
          <w:spacing w:val="-12"/>
          <w:vertAlign w:val="baseline"/>
        </w:rPr>
        <w:t> </w:t>
      </w:r>
      <w:r>
        <w:rPr>
          <w:color w:val="231F20"/>
          <w:spacing w:val="-1"/>
          <w:vertAlign w:val="baseline"/>
        </w:rPr>
        <w:t>of</w:t>
      </w:r>
      <w:r>
        <w:rPr>
          <w:color w:val="231F20"/>
          <w:spacing w:val="-12"/>
          <w:vertAlign w:val="baseline"/>
        </w:rPr>
        <w:t> </w:t>
      </w:r>
      <w:r>
        <w:rPr>
          <w:color w:val="231F20"/>
          <w:spacing w:val="-1"/>
          <w:vertAlign w:val="baseline"/>
        </w:rPr>
        <w:t>condom</w:t>
      </w:r>
      <w:r>
        <w:rPr>
          <w:color w:val="231F20"/>
          <w:spacing w:val="-11"/>
          <w:vertAlign w:val="baseline"/>
        </w:rPr>
        <w:t> </w:t>
      </w:r>
      <w:r>
        <w:rPr>
          <w:color w:val="231F20"/>
          <w:spacing w:val="-1"/>
          <w:vertAlign w:val="baseline"/>
        </w:rPr>
        <w:t>use).</w:t>
      </w:r>
      <w:r>
        <w:rPr>
          <w:color w:val="231F20"/>
          <w:spacing w:val="-1"/>
          <w:vertAlign w:val="superscript"/>
        </w:rPr>
        <w:t>73</w:t>
      </w:r>
    </w:p>
    <w:p>
      <w:pPr>
        <w:pStyle w:val="BodyText"/>
        <w:spacing w:line="266" w:lineRule="auto"/>
        <w:ind w:left="160" w:right="49"/>
      </w:pPr>
      <w:r>
        <w:rPr>
          <w:color w:val="231F20"/>
          <w:spacing w:val="-1"/>
        </w:rPr>
        <w:t>Stigmatizing </w:t>
      </w:r>
      <w:r>
        <w:rPr>
          <w:color w:val="231F20"/>
        </w:rPr>
        <w:t>beliefs (e.g., that HIV can be transmitted</w:t>
      </w:r>
      <w:r>
        <w:rPr>
          <w:color w:val="231F20"/>
          <w:spacing w:val="1"/>
        </w:rPr>
        <w:t> </w:t>
      </w:r>
      <w:r>
        <w:rPr>
          <w:color w:val="231F20"/>
        </w:rPr>
        <w:t>through coughing or sneezing) contribute to a culture of</w:t>
      </w:r>
      <w:r>
        <w:rPr>
          <w:color w:val="231F20"/>
          <w:spacing w:val="1"/>
        </w:rPr>
        <w:t> </w:t>
      </w:r>
      <w:r>
        <w:rPr>
          <w:color w:val="231F20"/>
          <w:spacing w:val="-2"/>
        </w:rPr>
        <w:t>social</w:t>
      </w:r>
      <w:r>
        <w:rPr>
          <w:color w:val="231F20"/>
          <w:spacing w:val="-11"/>
        </w:rPr>
        <w:t> </w:t>
      </w:r>
      <w:r>
        <w:rPr>
          <w:color w:val="231F20"/>
          <w:spacing w:val="-2"/>
        </w:rPr>
        <w:t>discomfort,</w:t>
      </w:r>
      <w:r>
        <w:rPr>
          <w:color w:val="231F20"/>
          <w:spacing w:val="-9"/>
        </w:rPr>
        <w:t> </w:t>
      </w:r>
      <w:r>
        <w:rPr>
          <w:color w:val="231F20"/>
          <w:spacing w:val="-1"/>
        </w:rPr>
        <w:t>prejudice,</w:t>
      </w:r>
      <w:r>
        <w:rPr>
          <w:color w:val="231F20"/>
          <w:spacing w:val="-9"/>
        </w:rPr>
        <w:t> </w:t>
      </w:r>
      <w:r>
        <w:rPr>
          <w:color w:val="231F20"/>
          <w:spacing w:val="-1"/>
        </w:rPr>
        <w:t>violence,</w:t>
      </w:r>
      <w:r>
        <w:rPr>
          <w:color w:val="231F20"/>
          <w:spacing w:val="-10"/>
        </w:rPr>
        <w:t> </w:t>
      </w:r>
      <w:r>
        <w:rPr>
          <w:color w:val="231F20"/>
          <w:spacing w:val="-1"/>
        </w:rPr>
        <w:t>and</w:t>
      </w:r>
      <w:r>
        <w:rPr>
          <w:color w:val="231F20"/>
          <w:spacing w:val="-9"/>
        </w:rPr>
        <w:t> </w:t>
      </w:r>
      <w:r>
        <w:rPr>
          <w:color w:val="231F20"/>
          <w:spacing w:val="-1"/>
        </w:rPr>
        <w:t>discriminatory</w:t>
      </w:r>
      <w:r>
        <w:rPr>
          <w:color w:val="231F20"/>
          <w:spacing w:val="-52"/>
        </w:rPr>
        <w:t> </w:t>
      </w:r>
      <w:r>
        <w:rPr>
          <w:color w:val="231F20"/>
        </w:rPr>
        <w:t>actions (e.g., avoiding interactions with a person they</w:t>
      </w:r>
      <w:r>
        <w:rPr>
          <w:color w:val="231F20"/>
          <w:spacing w:val="1"/>
        </w:rPr>
        <w:t> </w:t>
      </w:r>
      <w:r>
        <w:rPr>
          <w:color w:val="231F20"/>
          <w:spacing w:val="-1"/>
        </w:rPr>
        <w:t>know</w:t>
      </w:r>
      <w:r>
        <w:rPr>
          <w:color w:val="231F20"/>
          <w:spacing w:val="-12"/>
        </w:rPr>
        <w:t> </w:t>
      </w:r>
      <w:r>
        <w:rPr>
          <w:color w:val="231F20"/>
          <w:spacing w:val="-1"/>
        </w:rPr>
        <w:t>has</w:t>
      </w:r>
      <w:r>
        <w:rPr>
          <w:color w:val="231F20"/>
          <w:spacing w:val="-11"/>
        </w:rPr>
        <w:t> </w:t>
      </w:r>
      <w:r>
        <w:rPr>
          <w:color w:val="231F20"/>
          <w:spacing w:val="-1"/>
        </w:rPr>
        <w:t>HIV).</w:t>
      </w:r>
      <w:r>
        <w:rPr>
          <w:color w:val="231F20"/>
          <w:spacing w:val="-1"/>
          <w:vertAlign w:val="superscript"/>
        </w:rPr>
        <w:t>73</w:t>
      </w:r>
      <w:r>
        <w:rPr>
          <w:color w:val="231F20"/>
          <w:spacing w:val="-11"/>
          <w:vertAlign w:val="baseline"/>
        </w:rPr>
        <w:t> </w:t>
      </w:r>
      <w:r>
        <w:rPr>
          <w:color w:val="231F20"/>
          <w:spacing w:val="-1"/>
          <w:vertAlign w:val="baseline"/>
        </w:rPr>
        <w:t>Stigma</w:t>
      </w:r>
      <w:r>
        <w:rPr>
          <w:color w:val="231F20"/>
          <w:spacing w:val="-12"/>
          <w:vertAlign w:val="baseline"/>
        </w:rPr>
        <w:t> </w:t>
      </w:r>
      <w:r>
        <w:rPr>
          <w:color w:val="231F20"/>
          <w:spacing w:val="-1"/>
          <w:vertAlign w:val="baseline"/>
        </w:rPr>
        <w:t>and</w:t>
      </w:r>
      <w:r>
        <w:rPr>
          <w:color w:val="231F20"/>
          <w:spacing w:val="-11"/>
          <w:vertAlign w:val="baseline"/>
        </w:rPr>
        <w:t> </w:t>
      </w:r>
      <w:r>
        <w:rPr>
          <w:color w:val="231F20"/>
          <w:spacing w:val="-1"/>
          <w:vertAlign w:val="baseline"/>
        </w:rPr>
        <w:t>mistrust</w:t>
      </w:r>
      <w:r>
        <w:rPr>
          <w:color w:val="231F20"/>
          <w:spacing w:val="-11"/>
          <w:vertAlign w:val="baseline"/>
        </w:rPr>
        <w:t> </w:t>
      </w:r>
      <w:r>
        <w:rPr>
          <w:color w:val="231F20"/>
          <w:spacing w:val="-1"/>
          <w:vertAlign w:val="baseline"/>
        </w:rPr>
        <w:t>of</w:t>
      </w:r>
      <w:r>
        <w:rPr>
          <w:color w:val="231F20"/>
          <w:spacing w:val="-11"/>
          <w:vertAlign w:val="baseline"/>
        </w:rPr>
        <w:t> </w:t>
      </w:r>
      <w:r>
        <w:rPr>
          <w:color w:val="231F20"/>
          <w:spacing w:val="-1"/>
          <w:vertAlign w:val="baseline"/>
        </w:rPr>
        <w:t>medical</w:t>
      </w:r>
      <w:r>
        <w:rPr>
          <w:color w:val="231F20"/>
          <w:spacing w:val="-11"/>
          <w:vertAlign w:val="baseline"/>
        </w:rPr>
        <w:t> </w:t>
      </w:r>
      <w:r>
        <w:rPr>
          <w:color w:val="231F20"/>
          <w:spacing w:val="-1"/>
          <w:vertAlign w:val="baseline"/>
        </w:rPr>
        <w:t>systems</w:t>
      </w:r>
      <w:r>
        <w:rPr>
          <w:color w:val="231F20"/>
          <w:spacing w:val="-52"/>
          <w:vertAlign w:val="baseline"/>
        </w:rPr>
        <w:t> </w:t>
      </w:r>
      <w:r>
        <w:rPr>
          <w:color w:val="231F20"/>
          <w:spacing w:val="-1"/>
          <w:vertAlign w:val="baseline"/>
        </w:rPr>
        <w:t>may</w:t>
      </w:r>
      <w:r>
        <w:rPr>
          <w:color w:val="231F20"/>
          <w:spacing w:val="-13"/>
          <w:vertAlign w:val="baseline"/>
        </w:rPr>
        <w:t> </w:t>
      </w:r>
      <w:r>
        <w:rPr>
          <w:color w:val="231F20"/>
          <w:spacing w:val="-1"/>
          <w:vertAlign w:val="baseline"/>
        </w:rPr>
        <w:t>deter</w:t>
      </w:r>
      <w:r>
        <w:rPr>
          <w:color w:val="231F20"/>
          <w:spacing w:val="-12"/>
          <w:vertAlign w:val="baseline"/>
        </w:rPr>
        <w:t> </w:t>
      </w:r>
      <w:r>
        <w:rPr>
          <w:color w:val="231F20"/>
          <w:spacing w:val="-1"/>
          <w:vertAlign w:val="baseline"/>
        </w:rPr>
        <w:t>individuals</w:t>
      </w:r>
      <w:r>
        <w:rPr>
          <w:color w:val="231F20"/>
          <w:spacing w:val="-12"/>
          <w:vertAlign w:val="baseline"/>
        </w:rPr>
        <w:t> </w:t>
      </w:r>
      <w:r>
        <w:rPr>
          <w:color w:val="231F20"/>
          <w:spacing w:val="-1"/>
          <w:vertAlign w:val="baseline"/>
        </w:rPr>
        <w:t>from</w:t>
      </w:r>
      <w:r>
        <w:rPr>
          <w:color w:val="231F20"/>
          <w:spacing w:val="-13"/>
          <w:vertAlign w:val="baseline"/>
        </w:rPr>
        <w:t> </w:t>
      </w:r>
      <w:r>
        <w:rPr>
          <w:color w:val="231F20"/>
          <w:vertAlign w:val="baseline"/>
        </w:rPr>
        <w:t>seeking</w:t>
      </w:r>
      <w:r>
        <w:rPr>
          <w:color w:val="231F20"/>
          <w:spacing w:val="-13"/>
          <w:vertAlign w:val="baseline"/>
        </w:rPr>
        <w:t> </w:t>
      </w:r>
      <w:r>
        <w:rPr>
          <w:color w:val="231F20"/>
          <w:vertAlign w:val="baseline"/>
        </w:rPr>
        <w:t>care</w:t>
      </w:r>
      <w:r>
        <w:rPr>
          <w:color w:val="231F20"/>
          <w:spacing w:val="-12"/>
          <w:vertAlign w:val="baseline"/>
        </w:rPr>
        <w:t> </w:t>
      </w:r>
      <w:r>
        <w:rPr>
          <w:color w:val="231F20"/>
          <w:vertAlign w:val="baseline"/>
        </w:rPr>
        <w:t>and</w:t>
      </w:r>
      <w:r>
        <w:rPr>
          <w:color w:val="231F20"/>
          <w:spacing w:val="-12"/>
          <w:vertAlign w:val="baseline"/>
        </w:rPr>
        <w:t> </w:t>
      </w:r>
      <w:r>
        <w:rPr>
          <w:color w:val="231F20"/>
          <w:vertAlign w:val="baseline"/>
        </w:rPr>
        <w:t>from</w:t>
      </w:r>
      <w:r>
        <w:rPr>
          <w:color w:val="231F20"/>
          <w:spacing w:val="-13"/>
          <w:vertAlign w:val="baseline"/>
        </w:rPr>
        <w:t> </w:t>
      </w:r>
      <w:r>
        <w:rPr>
          <w:color w:val="231F20"/>
          <w:vertAlign w:val="baseline"/>
        </w:rPr>
        <w:t>sharing</w:t>
      </w:r>
    </w:p>
    <w:p>
      <w:pPr>
        <w:pStyle w:val="BodyText"/>
        <w:spacing w:line="266" w:lineRule="auto" w:before="90"/>
        <w:ind w:left="160" w:right="849"/>
      </w:pPr>
      <w:r>
        <w:rPr/>
        <w:br w:type="column"/>
      </w:r>
      <w:r>
        <w:rPr>
          <w:color w:val="231F20"/>
        </w:rPr>
        <w:t>with their healthcare providers details about behaviors</w:t>
      </w:r>
      <w:r>
        <w:rPr>
          <w:color w:val="231F20"/>
          <w:spacing w:val="1"/>
        </w:rPr>
        <w:t> </w:t>
      </w:r>
      <w:r>
        <w:rPr>
          <w:color w:val="231F20"/>
          <w:spacing w:val="-1"/>
        </w:rPr>
        <w:t>that</w:t>
      </w:r>
      <w:r>
        <w:rPr>
          <w:color w:val="231F20"/>
          <w:spacing w:val="-10"/>
        </w:rPr>
        <w:t> </w:t>
      </w:r>
      <w:r>
        <w:rPr>
          <w:color w:val="231F20"/>
          <w:spacing w:val="-1"/>
        </w:rPr>
        <w:t>increase</w:t>
      </w:r>
      <w:r>
        <w:rPr>
          <w:color w:val="231F20"/>
          <w:spacing w:val="-9"/>
        </w:rPr>
        <w:t> </w:t>
      </w:r>
      <w:r>
        <w:rPr>
          <w:color w:val="231F20"/>
          <w:spacing w:val="-1"/>
        </w:rPr>
        <w:t>risk</w:t>
      </w:r>
      <w:r>
        <w:rPr>
          <w:color w:val="231F20"/>
          <w:spacing w:val="-9"/>
        </w:rPr>
        <w:t> </w:t>
      </w:r>
      <w:r>
        <w:rPr>
          <w:color w:val="231F20"/>
          <w:spacing w:val="-1"/>
        </w:rPr>
        <w:t>of</w:t>
      </w:r>
      <w:r>
        <w:rPr>
          <w:color w:val="231F20"/>
          <w:spacing w:val="-9"/>
        </w:rPr>
        <w:t> </w:t>
      </w:r>
      <w:r>
        <w:rPr>
          <w:color w:val="231F20"/>
          <w:spacing w:val="-1"/>
        </w:rPr>
        <w:t>getting</w:t>
      </w:r>
      <w:r>
        <w:rPr>
          <w:color w:val="231F20"/>
          <w:spacing w:val="-9"/>
        </w:rPr>
        <w:t> </w:t>
      </w:r>
      <w:r>
        <w:rPr>
          <w:color w:val="231F20"/>
          <w:spacing w:val="-1"/>
        </w:rPr>
        <w:t>HIV</w:t>
      </w:r>
      <w:r>
        <w:rPr>
          <w:color w:val="231F20"/>
          <w:spacing w:val="-13"/>
        </w:rPr>
        <w:t> </w:t>
      </w:r>
      <w:r>
        <w:rPr>
          <w:color w:val="231F20"/>
          <w:spacing w:val="-1"/>
        </w:rPr>
        <w:t>(e.g.,</w:t>
      </w:r>
      <w:r>
        <w:rPr>
          <w:color w:val="231F20"/>
          <w:spacing w:val="-9"/>
        </w:rPr>
        <w:t> </w:t>
      </w:r>
      <w:r>
        <w:rPr>
          <w:color w:val="231F20"/>
          <w:spacing w:val="-1"/>
        </w:rPr>
        <w:t>injection</w:t>
      </w:r>
      <w:r>
        <w:rPr>
          <w:color w:val="231F20"/>
          <w:spacing w:val="-9"/>
        </w:rPr>
        <w:t> </w:t>
      </w:r>
      <w:r>
        <w:rPr>
          <w:color w:val="231F20"/>
          <w:spacing w:val="-1"/>
        </w:rPr>
        <w:t>drug</w:t>
      </w:r>
      <w:r>
        <w:rPr>
          <w:color w:val="231F20"/>
          <w:spacing w:val="-9"/>
        </w:rPr>
        <w:t> </w:t>
      </w:r>
      <w:r>
        <w:rPr>
          <w:color w:val="231F20"/>
          <w:spacing w:val="-1"/>
        </w:rPr>
        <w:t>use,</w:t>
      </w:r>
      <w:r>
        <w:rPr>
          <w:color w:val="231F20"/>
          <w:spacing w:val="-52"/>
        </w:rPr>
        <w:t> </w:t>
      </w:r>
      <w:r>
        <w:rPr>
          <w:color w:val="231F20"/>
        </w:rPr>
        <w:t>condomless sex) and existing medical conditions (e.g.,</w:t>
      </w:r>
      <w:r>
        <w:rPr>
          <w:color w:val="231F20"/>
          <w:spacing w:val="1"/>
        </w:rPr>
        <w:t> </w:t>
      </w:r>
      <w:r>
        <w:rPr>
          <w:color w:val="231F20"/>
          <w:spacing w:val="-2"/>
        </w:rPr>
        <w:t>mental</w:t>
      </w:r>
      <w:r>
        <w:rPr>
          <w:color w:val="231F20"/>
          <w:spacing w:val="-9"/>
        </w:rPr>
        <w:t> </w:t>
      </w:r>
      <w:r>
        <w:rPr>
          <w:color w:val="231F20"/>
          <w:spacing w:val="-1"/>
        </w:rPr>
        <w:t>illness,</w:t>
      </w:r>
      <w:r>
        <w:rPr>
          <w:color w:val="231F20"/>
          <w:spacing w:val="-9"/>
        </w:rPr>
        <w:t> </w:t>
      </w:r>
      <w:r>
        <w:rPr>
          <w:color w:val="231F20"/>
          <w:spacing w:val="-1"/>
        </w:rPr>
        <w:t>SUD,</w:t>
      </w:r>
      <w:r>
        <w:rPr>
          <w:color w:val="231F20"/>
          <w:spacing w:val="-10"/>
        </w:rPr>
        <w:t> </w:t>
      </w:r>
      <w:r>
        <w:rPr>
          <w:color w:val="231F20"/>
          <w:spacing w:val="-1"/>
        </w:rPr>
        <w:t>HIV</w:t>
      </w:r>
      <w:r>
        <w:rPr>
          <w:color w:val="231F20"/>
          <w:spacing w:val="-13"/>
        </w:rPr>
        <w:t> </w:t>
      </w:r>
      <w:r>
        <w:rPr>
          <w:color w:val="231F20"/>
          <w:spacing w:val="-1"/>
        </w:rPr>
        <w:t>status,</w:t>
      </w:r>
      <w:r>
        <w:rPr>
          <w:color w:val="231F20"/>
          <w:spacing w:val="-10"/>
        </w:rPr>
        <w:t> </w:t>
      </w:r>
      <w:r>
        <w:rPr>
          <w:color w:val="231F20"/>
          <w:spacing w:val="-1"/>
        </w:rPr>
        <w:t>testing,</w:t>
      </w:r>
      <w:r>
        <w:rPr>
          <w:color w:val="231F20"/>
          <w:spacing w:val="-9"/>
        </w:rPr>
        <w:t> </w:t>
      </w:r>
      <w:r>
        <w:rPr>
          <w:color w:val="231F20"/>
          <w:spacing w:val="-1"/>
        </w:rPr>
        <w:t>and</w:t>
      </w:r>
      <w:r>
        <w:rPr>
          <w:color w:val="231F20"/>
          <w:spacing w:val="-9"/>
        </w:rPr>
        <w:t> </w:t>
      </w:r>
      <w:r>
        <w:rPr>
          <w:color w:val="231F20"/>
          <w:spacing w:val="-1"/>
        </w:rPr>
        <w:t>medication</w:t>
      </w:r>
      <w:r>
        <w:rPr>
          <w:color w:val="231F20"/>
          <w:spacing w:val="-52"/>
        </w:rPr>
        <w:t> </w:t>
      </w:r>
      <w:r>
        <w:rPr>
          <w:color w:val="231F20"/>
        </w:rPr>
        <w:t>adherence).</w:t>
      </w:r>
    </w:p>
    <w:p>
      <w:pPr>
        <w:pStyle w:val="Heading5"/>
        <w:spacing w:before="165"/>
        <w:rPr>
          <w:i/>
        </w:rPr>
      </w:pPr>
      <w:r>
        <w:rPr>
          <w:i/>
          <w:color w:val="1C384B"/>
        </w:rPr>
        <w:t>Access</w:t>
      </w:r>
      <w:r>
        <w:rPr>
          <w:i/>
          <w:color w:val="1C384B"/>
          <w:spacing w:val="-3"/>
        </w:rPr>
        <w:t> </w:t>
      </w:r>
      <w:r>
        <w:rPr>
          <w:i/>
          <w:color w:val="1C384B"/>
        </w:rPr>
        <w:t>to</w:t>
      </w:r>
      <w:r>
        <w:rPr>
          <w:i/>
          <w:color w:val="1C384B"/>
          <w:spacing w:val="-3"/>
        </w:rPr>
        <w:t> </w:t>
      </w:r>
      <w:r>
        <w:rPr>
          <w:i/>
          <w:color w:val="1C384B"/>
        </w:rPr>
        <w:t>appropriate,</w:t>
      </w:r>
      <w:r>
        <w:rPr>
          <w:i/>
          <w:color w:val="1C384B"/>
          <w:spacing w:val="-3"/>
        </w:rPr>
        <w:t> </w:t>
      </w:r>
      <w:r>
        <w:rPr>
          <w:i/>
          <w:color w:val="1C384B"/>
        </w:rPr>
        <w:t>tailored,</w:t>
      </w:r>
      <w:r>
        <w:rPr>
          <w:i/>
          <w:color w:val="1C384B"/>
          <w:spacing w:val="-3"/>
        </w:rPr>
        <w:t> </w:t>
      </w:r>
      <w:r>
        <w:rPr>
          <w:i/>
          <w:color w:val="1C384B"/>
        </w:rPr>
        <w:t>and</w:t>
      </w:r>
      <w:r>
        <w:rPr>
          <w:i/>
          <w:color w:val="1C384B"/>
          <w:spacing w:val="-2"/>
        </w:rPr>
        <w:t> </w:t>
      </w:r>
      <w:r>
        <w:rPr>
          <w:i/>
          <w:color w:val="1C384B"/>
        </w:rPr>
        <w:t>skilled</w:t>
      </w:r>
      <w:r>
        <w:rPr>
          <w:i/>
          <w:color w:val="1C384B"/>
          <w:spacing w:val="-3"/>
        </w:rPr>
        <w:t> </w:t>
      </w:r>
      <w:r>
        <w:rPr>
          <w:i/>
          <w:color w:val="1C384B"/>
        </w:rPr>
        <w:t>care</w:t>
      </w:r>
    </w:p>
    <w:p>
      <w:pPr>
        <w:pStyle w:val="BodyText"/>
        <w:spacing w:line="266" w:lineRule="auto" w:before="183"/>
        <w:ind w:left="159" w:right="958"/>
      </w:pPr>
      <w:r>
        <w:rPr>
          <w:color w:val="231F20"/>
        </w:rPr>
        <w:t>Mental illness and SUD are conditions that present</w:t>
      </w:r>
      <w:r>
        <w:rPr>
          <w:color w:val="231F20"/>
          <w:spacing w:val="1"/>
        </w:rPr>
        <w:t> </w:t>
      </w:r>
      <w:r>
        <w:rPr>
          <w:color w:val="231F20"/>
          <w:spacing w:val="-1"/>
        </w:rPr>
        <w:t>barriers</w:t>
      </w:r>
      <w:r>
        <w:rPr>
          <w:color w:val="231F20"/>
          <w:spacing w:val="-10"/>
        </w:rPr>
        <w:t> </w:t>
      </w:r>
      <w:r>
        <w:rPr>
          <w:color w:val="231F20"/>
          <w:spacing w:val="-1"/>
        </w:rPr>
        <w:t>to</w:t>
      </w:r>
      <w:r>
        <w:rPr>
          <w:color w:val="231F20"/>
          <w:spacing w:val="-10"/>
        </w:rPr>
        <w:t> </w:t>
      </w:r>
      <w:r>
        <w:rPr>
          <w:color w:val="231F20"/>
          <w:spacing w:val="-1"/>
        </w:rPr>
        <w:t>accessing</w:t>
      </w:r>
      <w:r>
        <w:rPr>
          <w:color w:val="231F20"/>
          <w:spacing w:val="-10"/>
        </w:rPr>
        <w:t> </w:t>
      </w:r>
      <w:r>
        <w:rPr>
          <w:color w:val="231F20"/>
        </w:rPr>
        <w:t>and</w:t>
      </w:r>
      <w:r>
        <w:rPr>
          <w:color w:val="231F20"/>
          <w:spacing w:val="-10"/>
        </w:rPr>
        <w:t> </w:t>
      </w:r>
      <w:r>
        <w:rPr>
          <w:color w:val="231F20"/>
        </w:rPr>
        <w:t>linking</w:t>
      </w:r>
      <w:r>
        <w:rPr>
          <w:color w:val="231F20"/>
          <w:spacing w:val="-10"/>
        </w:rPr>
        <w:t> </w:t>
      </w:r>
      <w:r>
        <w:rPr>
          <w:color w:val="231F20"/>
        </w:rPr>
        <w:t>to</w:t>
      </w:r>
      <w:r>
        <w:rPr>
          <w:color w:val="231F20"/>
          <w:spacing w:val="-10"/>
        </w:rPr>
        <w:t> </w:t>
      </w:r>
      <w:r>
        <w:rPr>
          <w:color w:val="231F20"/>
        </w:rPr>
        <w:t>HIV</w:t>
      </w:r>
      <w:r>
        <w:rPr>
          <w:color w:val="231F20"/>
          <w:spacing w:val="-13"/>
        </w:rPr>
        <w:t> </w:t>
      </w:r>
      <w:r>
        <w:rPr>
          <w:color w:val="231F20"/>
        </w:rPr>
        <w:t>care,</w:t>
      </w:r>
      <w:r>
        <w:rPr>
          <w:color w:val="231F20"/>
          <w:spacing w:val="-10"/>
        </w:rPr>
        <w:t> </w:t>
      </w:r>
      <w:r>
        <w:rPr>
          <w:color w:val="231F20"/>
        </w:rPr>
        <w:t>as</w:t>
      </w:r>
      <w:r>
        <w:rPr>
          <w:color w:val="231F20"/>
          <w:spacing w:val="-10"/>
        </w:rPr>
        <w:t> </w:t>
      </w:r>
      <w:r>
        <w:rPr>
          <w:color w:val="231F20"/>
        </w:rPr>
        <w:t>well</w:t>
      </w:r>
      <w:r>
        <w:rPr>
          <w:color w:val="231F20"/>
          <w:spacing w:val="-11"/>
        </w:rPr>
        <w:t> </w:t>
      </w:r>
      <w:r>
        <w:rPr>
          <w:color w:val="231F20"/>
        </w:rPr>
        <w:t>as</w:t>
      </w:r>
      <w:r>
        <w:rPr>
          <w:color w:val="231F20"/>
          <w:spacing w:val="-52"/>
        </w:rPr>
        <w:t> </w:t>
      </w:r>
      <w:r>
        <w:rPr>
          <w:color w:val="231F20"/>
          <w:spacing w:val="-2"/>
        </w:rPr>
        <w:t>initiating and adhering </w:t>
      </w:r>
      <w:r>
        <w:rPr>
          <w:color w:val="231F20"/>
          <w:spacing w:val="-1"/>
        </w:rPr>
        <w:t>to medication (ART, PrEP, and</w:t>
      </w:r>
      <w:r>
        <w:rPr>
          <w:color w:val="231F20"/>
        </w:rPr>
        <w:t> </w:t>
      </w:r>
      <w:r>
        <w:rPr>
          <w:color w:val="231F20"/>
          <w:w w:val="95"/>
        </w:rPr>
        <w:t>PEP).</w:t>
      </w:r>
      <w:r>
        <w:rPr>
          <w:color w:val="231F20"/>
          <w:w w:val="95"/>
          <w:vertAlign w:val="superscript"/>
        </w:rPr>
        <w:t>60,</w:t>
      </w:r>
      <w:r>
        <w:rPr>
          <w:color w:val="231F20"/>
          <w:spacing w:val="-19"/>
          <w:w w:val="95"/>
          <w:vertAlign w:val="baseline"/>
        </w:rPr>
        <w:t> </w:t>
      </w:r>
      <w:r>
        <w:rPr>
          <w:color w:val="231F20"/>
          <w:w w:val="95"/>
          <w:vertAlign w:val="superscript"/>
        </w:rPr>
        <w:t>74-80</w:t>
      </w:r>
      <w:r>
        <w:rPr>
          <w:color w:val="231F20"/>
          <w:spacing w:val="-7"/>
          <w:w w:val="95"/>
          <w:vertAlign w:val="baseline"/>
        </w:rPr>
        <w:t> </w:t>
      </w:r>
      <w:r>
        <w:rPr>
          <w:color w:val="231F20"/>
          <w:w w:val="95"/>
          <w:vertAlign w:val="baseline"/>
        </w:rPr>
        <w:t>Access</w:t>
      </w:r>
      <w:r>
        <w:rPr>
          <w:color w:val="231F20"/>
          <w:spacing w:val="6"/>
          <w:w w:val="95"/>
          <w:vertAlign w:val="baseline"/>
        </w:rPr>
        <w:t> </w:t>
      </w:r>
      <w:r>
        <w:rPr>
          <w:color w:val="231F20"/>
          <w:w w:val="95"/>
          <w:vertAlign w:val="baseline"/>
        </w:rPr>
        <w:t>to</w:t>
      </w:r>
      <w:r>
        <w:rPr>
          <w:color w:val="231F20"/>
          <w:spacing w:val="7"/>
          <w:w w:val="95"/>
          <w:vertAlign w:val="baseline"/>
        </w:rPr>
        <w:t> </w:t>
      </w:r>
      <w:r>
        <w:rPr>
          <w:color w:val="231F20"/>
          <w:w w:val="95"/>
          <w:vertAlign w:val="baseline"/>
        </w:rPr>
        <w:t>treatment</w:t>
      </w:r>
      <w:r>
        <w:rPr>
          <w:color w:val="231F20"/>
          <w:spacing w:val="7"/>
          <w:w w:val="95"/>
          <w:vertAlign w:val="baseline"/>
        </w:rPr>
        <w:t> </w:t>
      </w:r>
      <w:r>
        <w:rPr>
          <w:color w:val="231F20"/>
          <w:w w:val="95"/>
          <w:vertAlign w:val="baseline"/>
        </w:rPr>
        <w:t>is</w:t>
      </w:r>
      <w:r>
        <w:rPr>
          <w:color w:val="231F20"/>
          <w:spacing w:val="7"/>
          <w:w w:val="95"/>
          <w:vertAlign w:val="baseline"/>
        </w:rPr>
        <w:t> </w:t>
      </w:r>
      <w:r>
        <w:rPr>
          <w:color w:val="231F20"/>
          <w:w w:val="95"/>
          <w:vertAlign w:val="baseline"/>
        </w:rPr>
        <w:t>key</w:t>
      </w:r>
      <w:r>
        <w:rPr>
          <w:color w:val="231F20"/>
          <w:spacing w:val="7"/>
          <w:w w:val="95"/>
          <w:vertAlign w:val="baseline"/>
        </w:rPr>
        <w:t> </w:t>
      </w:r>
      <w:r>
        <w:rPr>
          <w:color w:val="231F20"/>
          <w:w w:val="95"/>
          <w:vertAlign w:val="baseline"/>
        </w:rPr>
        <w:t>to</w:t>
      </w:r>
      <w:r>
        <w:rPr>
          <w:color w:val="231F20"/>
          <w:spacing w:val="7"/>
          <w:w w:val="95"/>
          <w:vertAlign w:val="baseline"/>
        </w:rPr>
        <w:t> </w:t>
      </w:r>
      <w:r>
        <w:rPr>
          <w:color w:val="231F20"/>
          <w:w w:val="95"/>
          <w:vertAlign w:val="baseline"/>
        </w:rPr>
        <w:t>reaching</w:t>
      </w:r>
      <w:r>
        <w:rPr>
          <w:color w:val="231F20"/>
          <w:spacing w:val="8"/>
          <w:w w:val="95"/>
          <w:vertAlign w:val="baseline"/>
        </w:rPr>
        <w:t> </w:t>
      </w:r>
      <w:r>
        <w:rPr>
          <w:color w:val="231F20"/>
          <w:w w:val="95"/>
          <w:vertAlign w:val="baseline"/>
        </w:rPr>
        <w:t>viral</w:t>
      </w:r>
      <w:r>
        <w:rPr>
          <w:color w:val="231F20"/>
          <w:spacing w:val="1"/>
          <w:w w:val="95"/>
          <w:vertAlign w:val="baseline"/>
        </w:rPr>
        <w:t> </w:t>
      </w:r>
      <w:r>
        <w:rPr>
          <w:color w:val="231F20"/>
          <w:spacing w:val="-1"/>
          <w:vertAlign w:val="baseline"/>
        </w:rPr>
        <w:t>suppression.</w:t>
      </w:r>
      <w:r>
        <w:rPr>
          <w:color w:val="231F20"/>
          <w:spacing w:val="-1"/>
          <w:vertAlign w:val="superscript"/>
        </w:rPr>
        <w:t>79</w:t>
      </w:r>
      <w:r>
        <w:rPr>
          <w:color w:val="231F20"/>
          <w:spacing w:val="-1"/>
          <w:vertAlign w:val="baseline"/>
        </w:rPr>
        <w:t> Individuals may experience challenges</w:t>
      </w:r>
      <w:r>
        <w:rPr>
          <w:color w:val="231F20"/>
          <w:vertAlign w:val="baseline"/>
        </w:rPr>
        <w:t> </w:t>
      </w:r>
      <w:r>
        <w:rPr>
          <w:color w:val="231F20"/>
          <w:spacing w:val="-1"/>
          <w:vertAlign w:val="baseline"/>
        </w:rPr>
        <w:t>in finding providers that have expertise in HIV, mental</w:t>
      </w:r>
      <w:r>
        <w:rPr>
          <w:color w:val="231F20"/>
          <w:spacing w:val="-52"/>
          <w:vertAlign w:val="baseline"/>
        </w:rPr>
        <w:t> </w:t>
      </w:r>
      <w:r>
        <w:rPr>
          <w:color w:val="231F20"/>
          <w:vertAlign w:val="baseline"/>
        </w:rPr>
        <w:t>health,</w:t>
      </w:r>
      <w:r>
        <w:rPr>
          <w:color w:val="231F20"/>
          <w:spacing w:val="-10"/>
          <w:vertAlign w:val="baseline"/>
        </w:rPr>
        <w:t> </w:t>
      </w:r>
      <w:r>
        <w:rPr>
          <w:color w:val="231F20"/>
          <w:vertAlign w:val="baseline"/>
        </w:rPr>
        <w:t>and</w:t>
      </w:r>
      <w:r>
        <w:rPr>
          <w:color w:val="231F20"/>
          <w:spacing w:val="-10"/>
          <w:vertAlign w:val="baseline"/>
        </w:rPr>
        <w:t> </w:t>
      </w:r>
      <w:r>
        <w:rPr>
          <w:color w:val="231F20"/>
          <w:vertAlign w:val="baseline"/>
        </w:rPr>
        <w:t>SUD.</w:t>
      </w:r>
      <w:r>
        <w:rPr>
          <w:color w:val="231F20"/>
          <w:spacing w:val="-11"/>
          <w:vertAlign w:val="baseline"/>
        </w:rPr>
        <w:t> </w:t>
      </w:r>
      <w:r>
        <w:rPr>
          <w:color w:val="231F20"/>
          <w:vertAlign w:val="baseline"/>
        </w:rPr>
        <w:t>Mental</w:t>
      </w:r>
      <w:r>
        <w:rPr>
          <w:color w:val="231F20"/>
          <w:spacing w:val="-11"/>
          <w:vertAlign w:val="baseline"/>
        </w:rPr>
        <w:t> </w:t>
      </w:r>
      <w:r>
        <w:rPr>
          <w:color w:val="231F20"/>
          <w:vertAlign w:val="baseline"/>
        </w:rPr>
        <w:t>illness</w:t>
      </w:r>
      <w:r>
        <w:rPr>
          <w:color w:val="231F20"/>
          <w:spacing w:val="-10"/>
          <w:vertAlign w:val="baseline"/>
        </w:rPr>
        <w:t> </w:t>
      </w:r>
      <w:r>
        <w:rPr>
          <w:color w:val="231F20"/>
          <w:vertAlign w:val="baseline"/>
        </w:rPr>
        <w:t>and</w:t>
      </w:r>
      <w:r>
        <w:rPr>
          <w:color w:val="231F20"/>
          <w:spacing w:val="-9"/>
          <w:vertAlign w:val="baseline"/>
        </w:rPr>
        <w:t> </w:t>
      </w:r>
      <w:r>
        <w:rPr>
          <w:color w:val="231F20"/>
          <w:vertAlign w:val="baseline"/>
        </w:rPr>
        <w:t>SUD</w:t>
      </w:r>
      <w:r>
        <w:rPr>
          <w:color w:val="231F20"/>
          <w:spacing w:val="-11"/>
          <w:vertAlign w:val="baseline"/>
        </w:rPr>
        <w:t> </w:t>
      </w:r>
      <w:r>
        <w:rPr>
          <w:color w:val="231F20"/>
          <w:vertAlign w:val="baseline"/>
        </w:rPr>
        <w:t>treatment</w:t>
      </w:r>
    </w:p>
    <w:p>
      <w:pPr>
        <w:pStyle w:val="BodyText"/>
        <w:spacing w:line="266" w:lineRule="auto"/>
        <w:ind w:left="159" w:right="720"/>
      </w:pPr>
      <w:r>
        <w:rPr>
          <w:color w:val="231F20"/>
          <w:spacing w:val="-1"/>
        </w:rPr>
        <w:t>providers</w:t>
      </w:r>
      <w:r>
        <w:rPr>
          <w:color w:val="231F20"/>
          <w:spacing w:val="-12"/>
        </w:rPr>
        <w:t> </w:t>
      </w:r>
      <w:r>
        <w:rPr>
          <w:color w:val="231F20"/>
          <w:spacing w:val="-1"/>
        </w:rPr>
        <w:t>are</w:t>
      </w:r>
      <w:r>
        <w:rPr>
          <w:color w:val="231F20"/>
          <w:spacing w:val="-11"/>
        </w:rPr>
        <w:t> </w:t>
      </w:r>
      <w:r>
        <w:rPr>
          <w:color w:val="231F20"/>
          <w:spacing w:val="-1"/>
        </w:rPr>
        <w:t>well</w:t>
      </w:r>
      <w:r>
        <w:rPr>
          <w:color w:val="231F20"/>
          <w:spacing w:val="-12"/>
        </w:rPr>
        <w:t> </w:t>
      </w:r>
      <w:r>
        <w:rPr>
          <w:color w:val="231F20"/>
          <w:spacing w:val="-1"/>
        </w:rPr>
        <w:t>positioned</w:t>
      </w:r>
      <w:r>
        <w:rPr>
          <w:color w:val="231F20"/>
          <w:spacing w:val="-12"/>
        </w:rPr>
        <w:t> </w:t>
      </w:r>
      <w:r>
        <w:rPr>
          <w:color w:val="231F20"/>
        </w:rPr>
        <w:t>to</w:t>
      </w:r>
      <w:r>
        <w:rPr>
          <w:color w:val="231F20"/>
          <w:spacing w:val="-11"/>
        </w:rPr>
        <w:t> </w:t>
      </w:r>
      <w:r>
        <w:rPr>
          <w:color w:val="231F20"/>
        </w:rPr>
        <w:t>address</w:t>
      </w:r>
      <w:r>
        <w:rPr>
          <w:color w:val="231F20"/>
          <w:spacing w:val="-11"/>
        </w:rPr>
        <w:t> </w:t>
      </w:r>
      <w:r>
        <w:rPr>
          <w:color w:val="231F20"/>
        </w:rPr>
        <w:t>some</w:t>
      </w:r>
      <w:r>
        <w:rPr>
          <w:color w:val="231F20"/>
          <w:spacing w:val="-12"/>
        </w:rPr>
        <w:t> </w:t>
      </w:r>
      <w:r>
        <w:rPr>
          <w:color w:val="231F20"/>
        </w:rPr>
        <w:t>of</w:t>
      </w:r>
      <w:r>
        <w:rPr>
          <w:color w:val="231F20"/>
          <w:spacing w:val="-12"/>
        </w:rPr>
        <w:t> </w:t>
      </w:r>
      <w:r>
        <w:rPr>
          <w:color w:val="231F20"/>
        </w:rPr>
        <w:t>the</w:t>
      </w:r>
      <w:r>
        <w:rPr>
          <w:color w:val="231F20"/>
          <w:spacing w:val="-11"/>
        </w:rPr>
        <w:t> </w:t>
      </w:r>
      <w:r>
        <w:rPr>
          <w:color w:val="231F20"/>
        </w:rPr>
        <w:t>social</w:t>
      </w:r>
      <w:r>
        <w:rPr>
          <w:color w:val="231F20"/>
          <w:spacing w:val="-52"/>
        </w:rPr>
        <w:t> </w:t>
      </w:r>
      <w:r>
        <w:rPr>
          <w:color w:val="231F20"/>
        </w:rPr>
        <w:t>determinants of health and unmet needs, but they may</w:t>
      </w:r>
      <w:r>
        <w:rPr>
          <w:color w:val="231F20"/>
          <w:spacing w:val="1"/>
        </w:rPr>
        <w:t> </w:t>
      </w:r>
      <w:r>
        <w:rPr>
          <w:color w:val="231F20"/>
          <w:spacing w:val="-1"/>
        </w:rPr>
        <w:t>need</w:t>
      </w:r>
      <w:r>
        <w:rPr>
          <w:color w:val="231F20"/>
          <w:spacing w:val="-13"/>
        </w:rPr>
        <w:t> </w:t>
      </w:r>
      <w:r>
        <w:rPr>
          <w:color w:val="231F20"/>
          <w:spacing w:val="-1"/>
        </w:rPr>
        <w:t>additional</w:t>
      </w:r>
      <w:r>
        <w:rPr>
          <w:color w:val="231F20"/>
          <w:spacing w:val="-13"/>
        </w:rPr>
        <w:t> </w:t>
      </w:r>
      <w:r>
        <w:rPr>
          <w:color w:val="231F20"/>
          <w:spacing w:val="-1"/>
        </w:rPr>
        <w:t>training</w:t>
      </w:r>
      <w:r>
        <w:rPr>
          <w:color w:val="231F20"/>
          <w:spacing w:val="-13"/>
        </w:rPr>
        <w:t> </w:t>
      </w:r>
      <w:r>
        <w:rPr>
          <w:color w:val="231F20"/>
        </w:rPr>
        <w:t>to</w:t>
      </w:r>
      <w:r>
        <w:rPr>
          <w:color w:val="231F20"/>
          <w:spacing w:val="-12"/>
        </w:rPr>
        <w:t> </w:t>
      </w:r>
      <w:r>
        <w:rPr>
          <w:color w:val="231F20"/>
        </w:rPr>
        <w:t>address</w:t>
      </w:r>
      <w:r>
        <w:rPr>
          <w:color w:val="231F20"/>
          <w:spacing w:val="-13"/>
        </w:rPr>
        <w:t> </w:t>
      </w:r>
      <w:r>
        <w:rPr>
          <w:color w:val="231F20"/>
        </w:rPr>
        <w:t>co-occurring</w:t>
      </w:r>
      <w:r>
        <w:rPr>
          <w:color w:val="231F20"/>
          <w:spacing w:val="-13"/>
        </w:rPr>
        <w:t> </w:t>
      </w:r>
      <w:r>
        <w:rPr>
          <w:color w:val="231F20"/>
        </w:rPr>
        <w:t>HIV.</w:t>
      </w:r>
      <w:r>
        <w:rPr>
          <w:color w:val="231F20"/>
          <w:vertAlign w:val="superscript"/>
        </w:rPr>
        <w:t>81</w:t>
      </w:r>
    </w:p>
    <w:p>
      <w:pPr>
        <w:pStyle w:val="Heading5"/>
        <w:spacing w:before="161"/>
        <w:rPr>
          <w:i/>
        </w:rPr>
      </w:pPr>
      <w:r>
        <w:rPr>
          <w:i/>
          <w:color w:val="1C384B"/>
        </w:rPr>
        <w:t>Care</w:t>
      </w:r>
      <w:r>
        <w:rPr>
          <w:i/>
          <w:color w:val="1C384B"/>
          <w:spacing w:val="-3"/>
        </w:rPr>
        <w:t> </w:t>
      </w:r>
      <w:r>
        <w:rPr>
          <w:i/>
          <w:color w:val="1C384B"/>
        </w:rPr>
        <w:t>coordination</w:t>
      </w:r>
    </w:p>
    <w:p>
      <w:pPr>
        <w:pStyle w:val="BodyText"/>
        <w:spacing w:line="266" w:lineRule="auto" w:before="183"/>
        <w:ind w:left="160" w:right="946"/>
      </w:pPr>
      <w:r>
        <w:rPr>
          <w:color w:val="231F20"/>
        </w:rPr>
        <w:t>Untreated or undertreated mental illness and/or SUD</w:t>
      </w:r>
      <w:r>
        <w:rPr>
          <w:color w:val="231F20"/>
          <w:spacing w:val="1"/>
        </w:rPr>
        <w:t> </w:t>
      </w:r>
      <w:r>
        <w:rPr>
          <w:color w:val="231F20"/>
        </w:rPr>
        <w:t>can create obstacles to initiating and continuing PrEP</w:t>
      </w:r>
      <w:r>
        <w:rPr>
          <w:color w:val="231F20"/>
          <w:spacing w:val="1"/>
        </w:rPr>
        <w:t> </w:t>
      </w:r>
      <w:r>
        <w:rPr>
          <w:color w:val="231F20"/>
          <w:spacing w:val="-3"/>
        </w:rPr>
        <w:t>and</w:t>
      </w:r>
      <w:r>
        <w:rPr>
          <w:color w:val="231F20"/>
          <w:spacing w:val="-17"/>
        </w:rPr>
        <w:t> </w:t>
      </w:r>
      <w:r>
        <w:rPr>
          <w:color w:val="231F20"/>
          <w:spacing w:val="-3"/>
        </w:rPr>
        <w:t>ART,</w:t>
      </w:r>
      <w:r>
        <w:rPr>
          <w:color w:val="231F20"/>
          <w:spacing w:val="-2"/>
        </w:rPr>
        <w:t> </w:t>
      </w:r>
      <w:r>
        <w:rPr>
          <w:color w:val="231F20"/>
          <w:spacing w:val="-3"/>
        </w:rPr>
        <w:t>increasing the potential</w:t>
      </w:r>
      <w:r>
        <w:rPr>
          <w:color w:val="231F20"/>
          <w:spacing w:val="-2"/>
        </w:rPr>
        <w:t> for</w:t>
      </w:r>
      <w:r>
        <w:rPr>
          <w:color w:val="231F20"/>
          <w:spacing w:val="-3"/>
        </w:rPr>
        <w:t> </w:t>
      </w:r>
      <w:r>
        <w:rPr>
          <w:color w:val="231F20"/>
          <w:spacing w:val="-2"/>
        </w:rPr>
        <w:t>HIV</w:t>
      </w:r>
      <w:r>
        <w:rPr>
          <w:color w:val="231F20"/>
          <w:spacing w:val="-7"/>
        </w:rPr>
        <w:t> </w:t>
      </w:r>
      <w:r>
        <w:rPr>
          <w:color w:val="231F20"/>
          <w:spacing w:val="-2"/>
        </w:rPr>
        <w:t>transmission.</w:t>
      </w:r>
    </w:p>
    <w:p>
      <w:pPr>
        <w:pStyle w:val="BodyText"/>
        <w:spacing w:line="266" w:lineRule="auto"/>
        <w:ind w:left="160" w:right="773"/>
      </w:pPr>
      <w:r>
        <w:rPr>
          <w:color w:val="010202"/>
        </w:rPr>
        <w:t>Integrated testing (as previously described) and </w:t>
      </w:r>
      <w:r>
        <w:rPr>
          <w:color w:val="231F20"/>
        </w:rPr>
        <w:t>service</w:t>
      </w:r>
      <w:r>
        <w:rPr>
          <w:color w:val="231F20"/>
          <w:spacing w:val="1"/>
        </w:rPr>
        <w:t> </w:t>
      </w:r>
      <w:r>
        <w:rPr>
          <w:color w:val="231F20"/>
          <w:spacing w:val="-2"/>
        </w:rPr>
        <w:t>delivery</w:t>
      </w:r>
      <w:r>
        <w:rPr>
          <w:color w:val="231F20"/>
          <w:spacing w:val="-9"/>
        </w:rPr>
        <w:t> </w:t>
      </w:r>
      <w:r>
        <w:rPr>
          <w:color w:val="231F20"/>
          <w:spacing w:val="-2"/>
        </w:rPr>
        <w:t>(e.g.,</w:t>
      </w:r>
      <w:r>
        <w:rPr>
          <w:color w:val="231F20"/>
          <w:spacing w:val="-9"/>
        </w:rPr>
        <w:t> </w:t>
      </w:r>
      <w:r>
        <w:rPr>
          <w:color w:val="231F20"/>
          <w:spacing w:val="-2"/>
        </w:rPr>
        <w:t>multi-disciplinary</w:t>
      </w:r>
      <w:r>
        <w:rPr>
          <w:color w:val="231F20"/>
          <w:spacing w:val="-9"/>
        </w:rPr>
        <w:t> </w:t>
      </w:r>
      <w:r>
        <w:rPr>
          <w:color w:val="231F20"/>
          <w:spacing w:val="-1"/>
        </w:rPr>
        <w:t>teams</w:t>
      </w:r>
      <w:r>
        <w:rPr>
          <w:color w:val="231F20"/>
          <w:spacing w:val="-8"/>
        </w:rPr>
        <w:t> </w:t>
      </w:r>
      <w:r>
        <w:rPr>
          <w:color w:val="231F20"/>
          <w:spacing w:val="-1"/>
        </w:rPr>
        <w:t>and</w:t>
      </w:r>
      <w:r>
        <w:rPr>
          <w:color w:val="231F20"/>
          <w:spacing w:val="-9"/>
        </w:rPr>
        <w:t> </w:t>
      </w:r>
      <w:r>
        <w:rPr>
          <w:color w:val="231F20"/>
          <w:spacing w:val="-1"/>
        </w:rPr>
        <w:t>one-stop-shop</w:t>
      </w:r>
      <w:r>
        <w:rPr>
          <w:color w:val="231F20"/>
          <w:spacing w:val="-52"/>
        </w:rPr>
        <w:t> </w:t>
      </w:r>
      <w:r>
        <w:rPr>
          <w:color w:val="231F20"/>
          <w:spacing w:val="-1"/>
        </w:rPr>
        <w:t>models that provide co-located </w:t>
      </w:r>
      <w:r>
        <w:rPr>
          <w:color w:val="231F20"/>
        </w:rPr>
        <w:t>or coordinated substance</w:t>
      </w:r>
      <w:r>
        <w:rPr>
          <w:color w:val="231F20"/>
          <w:spacing w:val="1"/>
        </w:rPr>
        <w:t> </w:t>
      </w:r>
      <w:r>
        <w:rPr>
          <w:color w:val="231F20"/>
        </w:rPr>
        <w:t>use, mental health, medical, and social services, further</w:t>
      </w:r>
      <w:r>
        <w:rPr>
          <w:color w:val="231F20"/>
          <w:spacing w:val="1"/>
        </w:rPr>
        <w:t> </w:t>
      </w:r>
      <w:r>
        <w:rPr>
          <w:color w:val="231F20"/>
        </w:rPr>
        <w:t>discussed in Chapter 3) are successful strategies for</w:t>
      </w:r>
      <w:r>
        <w:rPr>
          <w:color w:val="231F20"/>
          <w:spacing w:val="1"/>
        </w:rPr>
        <w:t> </w:t>
      </w:r>
      <w:r>
        <w:rPr>
          <w:color w:val="231F20"/>
        </w:rPr>
        <w:t>engaging and retaining in care people with or at risk for</w:t>
      </w:r>
      <w:r>
        <w:rPr>
          <w:color w:val="231F20"/>
          <w:spacing w:val="1"/>
        </w:rPr>
        <w:t> </w:t>
      </w:r>
      <w:r>
        <w:rPr>
          <w:color w:val="231F20"/>
        </w:rPr>
        <w:t>HIV who may have multiple co-occurring health and</w:t>
      </w:r>
      <w:r>
        <w:rPr>
          <w:color w:val="231F20"/>
          <w:spacing w:val="1"/>
        </w:rPr>
        <w:t> </w:t>
      </w:r>
      <w:r>
        <w:rPr>
          <w:color w:val="231F20"/>
          <w:w w:val="95"/>
        </w:rPr>
        <w:t>ancillary</w:t>
      </w:r>
      <w:r>
        <w:rPr>
          <w:color w:val="231F20"/>
          <w:spacing w:val="8"/>
          <w:w w:val="95"/>
        </w:rPr>
        <w:t> </w:t>
      </w:r>
      <w:r>
        <w:rPr>
          <w:color w:val="231F20"/>
          <w:w w:val="95"/>
        </w:rPr>
        <w:t>service</w:t>
      </w:r>
      <w:r>
        <w:rPr>
          <w:color w:val="231F20"/>
          <w:spacing w:val="8"/>
          <w:w w:val="95"/>
        </w:rPr>
        <w:t> </w:t>
      </w:r>
      <w:r>
        <w:rPr>
          <w:color w:val="231F20"/>
          <w:w w:val="95"/>
        </w:rPr>
        <w:t>needs.</w:t>
      </w:r>
      <w:r>
        <w:rPr>
          <w:color w:val="231F20"/>
          <w:w w:val="95"/>
          <w:vertAlign w:val="superscript"/>
        </w:rPr>
        <w:t>82-85</w:t>
      </w:r>
      <w:r>
        <w:rPr>
          <w:color w:val="231F20"/>
          <w:spacing w:val="-18"/>
          <w:w w:val="95"/>
          <w:vertAlign w:val="baseline"/>
        </w:rPr>
        <w:t> </w:t>
      </w:r>
      <w:r>
        <w:rPr>
          <w:color w:val="010202"/>
          <w:w w:val="95"/>
          <w:vertAlign w:val="baseline"/>
        </w:rPr>
        <w:t>Coordinated</w:t>
      </w:r>
      <w:r>
        <w:rPr>
          <w:color w:val="010202"/>
          <w:spacing w:val="9"/>
          <w:w w:val="95"/>
          <w:vertAlign w:val="baseline"/>
        </w:rPr>
        <w:t> </w:t>
      </w:r>
      <w:r>
        <w:rPr>
          <w:color w:val="010202"/>
          <w:w w:val="95"/>
          <w:vertAlign w:val="baseline"/>
        </w:rPr>
        <w:t>care,</w:t>
      </w:r>
      <w:r>
        <w:rPr>
          <w:color w:val="010202"/>
          <w:spacing w:val="8"/>
          <w:w w:val="95"/>
          <w:vertAlign w:val="baseline"/>
        </w:rPr>
        <w:t> </w:t>
      </w:r>
      <w:r>
        <w:rPr>
          <w:color w:val="010202"/>
          <w:w w:val="95"/>
          <w:vertAlign w:val="baseline"/>
        </w:rPr>
        <w:t>linkage</w:t>
      </w:r>
      <w:r>
        <w:rPr>
          <w:color w:val="010202"/>
          <w:spacing w:val="9"/>
          <w:w w:val="95"/>
          <w:vertAlign w:val="baseline"/>
        </w:rPr>
        <w:t> </w:t>
      </w:r>
      <w:r>
        <w:rPr>
          <w:color w:val="010202"/>
          <w:w w:val="95"/>
          <w:vertAlign w:val="baseline"/>
        </w:rPr>
        <w:t>to</w:t>
      </w:r>
      <w:r>
        <w:rPr>
          <w:color w:val="010202"/>
          <w:spacing w:val="1"/>
          <w:w w:val="95"/>
          <w:vertAlign w:val="baseline"/>
        </w:rPr>
        <w:t> </w:t>
      </w:r>
      <w:r>
        <w:rPr>
          <w:color w:val="010202"/>
          <w:spacing w:val="-1"/>
          <w:vertAlign w:val="baseline"/>
        </w:rPr>
        <w:t>HIV care, and patient follow-up </w:t>
      </w:r>
      <w:r>
        <w:rPr>
          <w:color w:val="010202"/>
          <w:vertAlign w:val="baseline"/>
        </w:rPr>
        <w:t>and monitoring within</w:t>
      </w:r>
      <w:r>
        <w:rPr>
          <w:color w:val="010202"/>
          <w:spacing w:val="1"/>
          <w:vertAlign w:val="baseline"/>
        </w:rPr>
        <w:t> </w:t>
      </w:r>
      <w:r>
        <w:rPr>
          <w:color w:val="010202"/>
          <w:spacing w:val="-1"/>
          <w:vertAlign w:val="baseline"/>
        </w:rPr>
        <w:t>behavioral</w:t>
      </w:r>
      <w:r>
        <w:rPr>
          <w:color w:val="010202"/>
          <w:spacing w:val="-12"/>
          <w:vertAlign w:val="baseline"/>
        </w:rPr>
        <w:t> </w:t>
      </w:r>
      <w:r>
        <w:rPr>
          <w:color w:val="010202"/>
          <w:spacing w:val="-1"/>
          <w:vertAlign w:val="baseline"/>
        </w:rPr>
        <w:t>health</w:t>
      </w:r>
      <w:r>
        <w:rPr>
          <w:color w:val="010202"/>
          <w:spacing w:val="-12"/>
          <w:vertAlign w:val="baseline"/>
        </w:rPr>
        <w:t> </w:t>
      </w:r>
      <w:r>
        <w:rPr>
          <w:color w:val="010202"/>
          <w:spacing w:val="-1"/>
          <w:vertAlign w:val="baseline"/>
        </w:rPr>
        <w:t>settings</w:t>
      </w:r>
      <w:r>
        <w:rPr>
          <w:color w:val="010202"/>
          <w:spacing w:val="-12"/>
          <w:vertAlign w:val="baseline"/>
        </w:rPr>
        <w:t> </w:t>
      </w:r>
      <w:r>
        <w:rPr>
          <w:color w:val="010202"/>
          <w:spacing w:val="-1"/>
          <w:vertAlign w:val="baseline"/>
        </w:rPr>
        <w:t>(further</w:t>
      </w:r>
      <w:r>
        <w:rPr>
          <w:color w:val="010202"/>
          <w:spacing w:val="-12"/>
          <w:vertAlign w:val="baseline"/>
        </w:rPr>
        <w:t> </w:t>
      </w:r>
      <w:r>
        <w:rPr>
          <w:color w:val="010202"/>
          <w:spacing w:val="-1"/>
          <w:vertAlign w:val="baseline"/>
        </w:rPr>
        <w:t>discussed</w:t>
      </w:r>
      <w:r>
        <w:rPr>
          <w:color w:val="010202"/>
          <w:spacing w:val="-11"/>
          <w:vertAlign w:val="baseline"/>
        </w:rPr>
        <w:t> </w:t>
      </w:r>
      <w:r>
        <w:rPr>
          <w:color w:val="010202"/>
          <w:vertAlign w:val="baseline"/>
        </w:rPr>
        <w:t>in</w:t>
      </w:r>
      <w:r>
        <w:rPr>
          <w:color w:val="010202"/>
          <w:spacing w:val="-12"/>
          <w:vertAlign w:val="baseline"/>
        </w:rPr>
        <w:t> </w:t>
      </w:r>
      <w:r>
        <w:rPr>
          <w:color w:val="010202"/>
          <w:vertAlign w:val="baseline"/>
        </w:rPr>
        <w:t>Chapter</w:t>
      </w:r>
      <w:r>
        <w:rPr>
          <w:color w:val="010202"/>
          <w:spacing w:val="-11"/>
          <w:vertAlign w:val="baseline"/>
        </w:rPr>
        <w:t> </w:t>
      </w:r>
      <w:r>
        <w:rPr>
          <w:color w:val="010202"/>
          <w:vertAlign w:val="baseline"/>
        </w:rPr>
        <w:t>2)</w:t>
      </w:r>
      <w:r>
        <w:rPr>
          <w:color w:val="010202"/>
          <w:spacing w:val="-52"/>
          <w:vertAlign w:val="baseline"/>
        </w:rPr>
        <w:t> </w:t>
      </w:r>
      <w:r>
        <w:rPr>
          <w:color w:val="010202"/>
          <w:spacing w:val="-1"/>
          <w:vertAlign w:val="baseline"/>
        </w:rPr>
        <w:t>are</w:t>
      </w:r>
      <w:r>
        <w:rPr>
          <w:color w:val="010202"/>
          <w:spacing w:val="-9"/>
          <w:vertAlign w:val="baseline"/>
        </w:rPr>
        <w:t> </w:t>
      </w:r>
      <w:r>
        <w:rPr>
          <w:color w:val="010202"/>
          <w:spacing w:val="-1"/>
          <w:vertAlign w:val="baseline"/>
        </w:rPr>
        <w:t>also</w:t>
      </w:r>
      <w:r>
        <w:rPr>
          <w:color w:val="010202"/>
          <w:spacing w:val="-9"/>
          <w:vertAlign w:val="baseline"/>
        </w:rPr>
        <w:t> </w:t>
      </w:r>
      <w:r>
        <w:rPr>
          <w:color w:val="010202"/>
          <w:spacing w:val="-1"/>
          <w:vertAlign w:val="baseline"/>
        </w:rPr>
        <w:t>key</w:t>
      </w:r>
      <w:r>
        <w:rPr>
          <w:color w:val="010202"/>
          <w:spacing w:val="-9"/>
          <w:vertAlign w:val="baseline"/>
        </w:rPr>
        <w:t> </w:t>
      </w:r>
      <w:r>
        <w:rPr>
          <w:color w:val="010202"/>
          <w:spacing w:val="-1"/>
          <w:vertAlign w:val="baseline"/>
        </w:rPr>
        <w:t>to</w:t>
      </w:r>
      <w:r>
        <w:rPr>
          <w:color w:val="010202"/>
          <w:spacing w:val="-9"/>
          <w:vertAlign w:val="baseline"/>
        </w:rPr>
        <w:t> </w:t>
      </w:r>
      <w:r>
        <w:rPr>
          <w:color w:val="010202"/>
          <w:spacing w:val="-1"/>
          <w:vertAlign w:val="baseline"/>
        </w:rPr>
        <w:t>facilitating</w:t>
      </w:r>
      <w:r>
        <w:rPr>
          <w:color w:val="010202"/>
          <w:spacing w:val="-9"/>
          <w:vertAlign w:val="baseline"/>
        </w:rPr>
        <w:t> </w:t>
      </w:r>
      <w:r>
        <w:rPr>
          <w:color w:val="010202"/>
          <w:spacing w:val="-1"/>
          <w:vertAlign w:val="baseline"/>
        </w:rPr>
        <w:t>HIV</w:t>
      </w:r>
      <w:r>
        <w:rPr>
          <w:color w:val="010202"/>
          <w:spacing w:val="-13"/>
          <w:vertAlign w:val="baseline"/>
        </w:rPr>
        <w:t> </w:t>
      </w:r>
      <w:r>
        <w:rPr>
          <w:color w:val="010202"/>
          <w:spacing w:val="-1"/>
          <w:vertAlign w:val="baseline"/>
        </w:rPr>
        <w:t>prevention</w:t>
      </w:r>
      <w:r>
        <w:rPr>
          <w:color w:val="010202"/>
          <w:spacing w:val="-9"/>
          <w:vertAlign w:val="baseline"/>
        </w:rPr>
        <w:t> </w:t>
      </w:r>
      <w:r>
        <w:rPr>
          <w:color w:val="010202"/>
          <w:spacing w:val="-1"/>
          <w:vertAlign w:val="baseline"/>
        </w:rPr>
        <w:t>and</w:t>
      </w:r>
      <w:r>
        <w:rPr>
          <w:color w:val="010202"/>
          <w:spacing w:val="-9"/>
          <w:vertAlign w:val="baseline"/>
        </w:rPr>
        <w:t> </w:t>
      </w:r>
      <w:r>
        <w:rPr>
          <w:color w:val="010202"/>
          <w:vertAlign w:val="baseline"/>
        </w:rPr>
        <w:t>treatment.</w:t>
      </w:r>
    </w:p>
    <w:p>
      <w:pPr>
        <w:spacing w:after="0" w:line="266" w:lineRule="auto"/>
        <w:sectPr>
          <w:type w:val="continuous"/>
          <w:pgSz w:w="12240" w:h="15840"/>
          <w:pgMar w:header="0" w:footer="666" w:top="1500" w:bottom="0" w:left="560" w:right="0"/>
          <w:cols w:num="2" w:equalWidth="0">
            <w:col w:w="5202" w:space="558"/>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Heading5"/>
        <w:spacing w:before="93"/>
        <w:rPr>
          <w:i/>
        </w:rPr>
      </w:pPr>
      <w:bookmarkStart w:name="Medical co-morbidities" w:id="29"/>
      <w:bookmarkEnd w:id="29"/>
      <w:r>
        <w:rPr>
          <w:i w:val="0"/>
        </w:rPr>
      </w:r>
      <w:bookmarkStart w:name="Viral hepatitis" w:id="30"/>
      <w:bookmarkEnd w:id="30"/>
      <w:r>
        <w:rPr>
          <w:i w:val="0"/>
        </w:rPr>
      </w:r>
      <w:bookmarkStart w:name="Incarceration" w:id="31"/>
      <w:bookmarkEnd w:id="31"/>
      <w:r>
        <w:rPr>
          <w:i w:val="0"/>
        </w:rPr>
      </w:r>
      <w:r>
        <w:rPr>
          <w:i/>
          <w:color w:val="1C384B"/>
        </w:rPr>
        <w:t>Medical co-morbidities</w:t>
      </w:r>
    </w:p>
    <w:p>
      <w:pPr>
        <w:pStyle w:val="BodyText"/>
        <w:spacing w:line="266" w:lineRule="auto" w:before="184"/>
        <w:ind w:left="160" w:right="218"/>
      </w:pPr>
      <w:r>
        <w:rPr>
          <w:color w:val="010202"/>
        </w:rPr>
        <w:t>People</w:t>
      </w:r>
      <w:r>
        <w:rPr>
          <w:color w:val="010202"/>
          <w:spacing w:val="-3"/>
        </w:rPr>
        <w:t> </w:t>
      </w:r>
      <w:r>
        <w:rPr>
          <w:color w:val="010202"/>
        </w:rPr>
        <w:t>with</w:t>
      </w:r>
      <w:r>
        <w:rPr>
          <w:color w:val="010202"/>
          <w:spacing w:val="-2"/>
        </w:rPr>
        <w:t> </w:t>
      </w:r>
      <w:r>
        <w:rPr>
          <w:color w:val="010202"/>
        </w:rPr>
        <w:t>HIV</w:t>
      </w:r>
      <w:r>
        <w:rPr>
          <w:color w:val="010202"/>
          <w:spacing w:val="-6"/>
        </w:rPr>
        <w:t> </w:t>
      </w:r>
      <w:r>
        <w:rPr>
          <w:color w:val="010202"/>
        </w:rPr>
        <w:t>have</w:t>
      </w:r>
      <w:r>
        <w:rPr>
          <w:color w:val="010202"/>
          <w:spacing w:val="-2"/>
        </w:rPr>
        <w:t> </w:t>
      </w:r>
      <w:r>
        <w:rPr>
          <w:color w:val="010202"/>
        </w:rPr>
        <w:t>been</w:t>
      </w:r>
      <w:r>
        <w:rPr>
          <w:color w:val="010202"/>
          <w:spacing w:val="-1"/>
        </w:rPr>
        <w:t> </w:t>
      </w:r>
      <w:r>
        <w:rPr>
          <w:color w:val="010202"/>
        </w:rPr>
        <w:t>shown</w:t>
      </w:r>
      <w:r>
        <w:rPr>
          <w:color w:val="010202"/>
          <w:spacing w:val="-3"/>
        </w:rPr>
        <w:t> </w:t>
      </w:r>
      <w:r>
        <w:rPr>
          <w:color w:val="010202"/>
        </w:rPr>
        <w:t>to</w:t>
      </w:r>
      <w:r>
        <w:rPr>
          <w:color w:val="010202"/>
          <w:spacing w:val="-1"/>
        </w:rPr>
        <w:t> </w:t>
      </w:r>
      <w:r>
        <w:rPr>
          <w:color w:val="010202"/>
        </w:rPr>
        <w:t>be</w:t>
      </w:r>
      <w:r>
        <w:rPr>
          <w:color w:val="010202"/>
          <w:spacing w:val="-1"/>
        </w:rPr>
        <w:t> </w:t>
      </w:r>
      <w:r>
        <w:rPr>
          <w:color w:val="010202"/>
        </w:rPr>
        <w:t>at</w:t>
      </w:r>
      <w:r>
        <w:rPr>
          <w:color w:val="010202"/>
          <w:spacing w:val="-2"/>
        </w:rPr>
        <w:t> </w:t>
      </w:r>
      <w:r>
        <w:rPr>
          <w:color w:val="010202"/>
        </w:rPr>
        <w:t>higher</w:t>
      </w:r>
      <w:r>
        <w:rPr>
          <w:color w:val="010202"/>
          <w:spacing w:val="-1"/>
        </w:rPr>
        <w:t> </w:t>
      </w:r>
      <w:r>
        <w:rPr>
          <w:color w:val="010202"/>
        </w:rPr>
        <w:t>risk</w:t>
      </w:r>
      <w:r>
        <w:rPr>
          <w:color w:val="010202"/>
          <w:spacing w:val="-52"/>
        </w:rPr>
        <w:t> </w:t>
      </w:r>
      <w:r>
        <w:rPr>
          <w:color w:val="010202"/>
        </w:rPr>
        <w:t>for cardiovascular disease, hepatic and renal disease,</w:t>
      </w:r>
      <w:r>
        <w:rPr>
          <w:color w:val="010202"/>
          <w:spacing w:val="1"/>
        </w:rPr>
        <w:t> </w:t>
      </w:r>
      <w:r>
        <w:rPr>
          <w:color w:val="010202"/>
        </w:rPr>
        <w:t>osteoporosis and fractures, metabolic disorders,</w:t>
      </w:r>
    </w:p>
    <w:p>
      <w:pPr>
        <w:pStyle w:val="BodyText"/>
        <w:spacing w:line="266" w:lineRule="auto"/>
        <w:ind w:left="160" w:right="320"/>
      </w:pPr>
      <w:r>
        <w:rPr>
          <w:color w:val="010202"/>
        </w:rPr>
        <w:t>skin and soft-tissue disorders, pulmonary disorders,</w:t>
      </w:r>
      <w:r>
        <w:rPr>
          <w:color w:val="010202"/>
          <w:spacing w:val="1"/>
        </w:rPr>
        <w:t> </w:t>
      </w:r>
      <w:r>
        <w:rPr>
          <w:color w:val="010202"/>
        </w:rPr>
        <w:t>central nervous system disorders, and various forms</w:t>
      </w:r>
      <w:r>
        <w:rPr>
          <w:color w:val="010202"/>
          <w:spacing w:val="1"/>
        </w:rPr>
        <w:t> </w:t>
      </w:r>
      <w:r>
        <w:rPr>
          <w:color w:val="010202"/>
        </w:rPr>
        <w:t>of cancer.</w:t>
      </w:r>
      <w:r>
        <w:rPr>
          <w:color w:val="010202"/>
          <w:vertAlign w:val="superscript"/>
        </w:rPr>
        <w:t>86-87</w:t>
      </w:r>
      <w:r>
        <w:rPr>
          <w:color w:val="010202"/>
          <w:vertAlign w:val="baseline"/>
        </w:rPr>
        <w:t> Cognitive difficulties can be caused by</w:t>
      </w:r>
      <w:r>
        <w:rPr>
          <w:color w:val="010202"/>
          <w:spacing w:val="1"/>
          <w:vertAlign w:val="baseline"/>
        </w:rPr>
        <w:t> </w:t>
      </w:r>
      <w:r>
        <w:rPr>
          <w:color w:val="010202"/>
          <w:vertAlign w:val="baseline"/>
        </w:rPr>
        <w:t>the impact of HIV on the brain (i.e., HIV-associated</w:t>
      </w:r>
      <w:r>
        <w:rPr>
          <w:color w:val="010202"/>
          <w:spacing w:val="1"/>
          <w:vertAlign w:val="baseline"/>
        </w:rPr>
        <w:t> </w:t>
      </w:r>
      <w:r>
        <w:rPr>
          <w:color w:val="010202"/>
          <w:vertAlign w:val="baseline"/>
        </w:rPr>
        <w:t>neurocognitive</w:t>
      </w:r>
      <w:r>
        <w:rPr>
          <w:color w:val="010202"/>
          <w:spacing w:val="-9"/>
          <w:vertAlign w:val="baseline"/>
        </w:rPr>
        <w:t> </w:t>
      </w:r>
      <w:r>
        <w:rPr>
          <w:color w:val="010202"/>
          <w:vertAlign w:val="baseline"/>
        </w:rPr>
        <w:t>disorder).</w:t>
      </w:r>
      <w:r>
        <w:rPr>
          <w:color w:val="010202"/>
          <w:vertAlign w:val="superscript"/>
        </w:rPr>
        <w:t>88-89</w:t>
      </w:r>
      <w:r>
        <w:rPr>
          <w:color w:val="010202"/>
          <w:spacing w:val="-9"/>
          <w:vertAlign w:val="baseline"/>
        </w:rPr>
        <w:t> </w:t>
      </w:r>
      <w:r>
        <w:rPr>
          <w:color w:val="010202"/>
          <w:vertAlign w:val="baseline"/>
        </w:rPr>
        <w:t>Possible</w:t>
      </w:r>
      <w:r>
        <w:rPr>
          <w:color w:val="010202"/>
          <w:spacing w:val="-10"/>
          <w:vertAlign w:val="baseline"/>
        </w:rPr>
        <w:t> </w:t>
      </w:r>
      <w:r>
        <w:rPr>
          <w:color w:val="010202"/>
          <w:vertAlign w:val="baseline"/>
        </w:rPr>
        <w:t>side</w:t>
      </w:r>
      <w:r>
        <w:rPr>
          <w:color w:val="010202"/>
          <w:spacing w:val="-10"/>
          <w:vertAlign w:val="baseline"/>
        </w:rPr>
        <w:t> </w:t>
      </w:r>
      <w:r>
        <w:rPr>
          <w:color w:val="010202"/>
          <w:vertAlign w:val="baseline"/>
        </w:rPr>
        <w:t>effects</w:t>
      </w:r>
      <w:r>
        <w:rPr>
          <w:color w:val="010202"/>
          <w:spacing w:val="-9"/>
          <w:vertAlign w:val="baseline"/>
        </w:rPr>
        <w:t> </w:t>
      </w:r>
      <w:r>
        <w:rPr>
          <w:color w:val="010202"/>
          <w:vertAlign w:val="baseline"/>
        </w:rPr>
        <w:t>and</w:t>
      </w:r>
      <w:r>
        <w:rPr>
          <w:color w:val="010202"/>
          <w:spacing w:val="-52"/>
          <w:vertAlign w:val="baseline"/>
        </w:rPr>
        <w:t> </w:t>
      </w:r>
      <w:r>
        <w:rPr>
          <w:color w:val="010202"/>
          <w:vertAlign w:val="baseline"/>
        </w:rPr>
        <w:t>interactions</w:t>
      </w:r>
      <w:r>
        <w:rPr>
          <w:color w:val="010202"/>
          <w:spacing w:val="-3"/>
          <w:vertAlign w:val="baseline"/>
        </w:rPr>
        <w:t> </w:t>
      </w:r>
      <w:r>
        <w:rPr>
          <w:color w:val="010202"/>
          <w:vertAlign w:val="baseline"/>
        </w:rPr>
        <w:t>from</w:t>
      </w:r>
      <w:r>
        <w:rPr>
          <w:color w:val="010202"/>
          <w:spacing w:val="-3"/>
          <w:vertAlign w:val="baseline"/>
        </w:rPr>
        <w:t> </w:t>
      </w:r>
      <w:r>
        <w:rPr>
          <w:color w:val="010202"/>
          <w:vertAlign w:val="baseline"/>
        </w:rPr>
        <w:t>pharmacological</w:t>
      </w:r>
      <w:r>
        <w:rPr>
          <w:color w:val="010202"/>
          <w:spacing w:val="-3"/>
          <w:vertAlign w:val="baseline"/>
        </w:rPr>
        <w:t> </w:t>
      </w:r>
      <w:r>
        <w:rPr>
          <w:color w:val="010202"/>
          <w:vertAlign w:val="baseline"/>
        </w:rPr>
        <w:t>therapy,</w:t>
      </w:r>
      <w:r>
        <w:rPr>
          <w:color w:val="010202"/>
          <w:spacing w:val="-3"/>
          <w:vertAlign w:val="baseline"/>
        </w:rPr>
        <w:t> </w:t>
      </w:r>
      <w:r>
        <w:rPr>
          <w:color w:val="010202"/>
          <w:vertAlign w:val="baseline"/>
        </w:rPr>
        <w:t>including</w:t>
      </w:r>
    </w:p>
    <w:p>
      <w:pPr>
        <w:pStyle w:val="BodyText"/>
        <w:spacing w:line="266" w:lineRule="auto"/>
        <w:ind w:left="160" w:right="37"/>
      </w:pPr>
      <w:r>
        <w:rPr>
          <w:color w:val="010202"/>
        </w:rPr>
        <w:t>ART</w:t>
      </w:r>
      <w:r>
        <w:rPr>
          <w:color w:val="010202"/>
          <w:spacing w:val="-9"/>
        </w:rPr>
        <w:t> </w:t>
      </w:r>
      <w:r>
        <w:rPr>
          <w:color w:val="010202"/>
        </w:rPr>
        <w:t>and</w:t>
      </w:r>
      <w:r>
        <w:rPr>
          <w:color w:val="010202"/>
          <w:spacing w:val="-5"/>
        </w:rPr>
        <w:t> </w:t>
      </w:r>
      <w:r>
        <w:rPr>
          <w:color w:val="010202"/>
        </w:rPr>
        <w:t>medication</w:t>
      </w:r>
      <w:r>
        <w:rPr>
          <w:color w:val="010202"/>
          <w:spacing w:val="-4"/>
        </w:rPr>
        <w:t> </w:t>
      </w:r>
      <w:r>
        <w:rPr>
          <w:color w:val="010202"/>
        </w:rPr>
        <w:t>for</w:t>
      </w:r>
      <w:r>
        <w:rPr>
          <w:color w:val="010202"/>
          <w:spacing w:val="-5"/>
        </w:rPr>
        <w:t> </w:t>
      </w:r>
      <w:r>
        <w:rPr>
          <w:color w:val="010202"/>
        </w:rPr>
        <w:t>opioid</w:t>
      </w:r>
      <w:r>
        <w:rPr>
          <w:color w:val="010202"/>
          <w:spacing w:val="-5"/>
        </w:rPr>
        <w:t> </w:t>
      </w:r>
      <w:r>
        <w:rPr>
          <w:color w:val="010202"/>
        </w:rPr>
        <w:t>use</w:t>
      </w:r>
      <w:r>
        <w:rPr>
          <w:color w:val="010202"/>
          <w:spacing w:val="-5"/>
        </w:rPr>
        <w:t> </w:t>
      </w:r>
      <w:r>
        <w:rPr>
          <w:color w:val="010202"/>
        </w:rPr>
        <w:t>disorder,</w:t>
      </w:r>
      <w:r>
        <w:rPr>
          <w:color w:val="010202"/>
          <w:spacing w:val="-4"/>
        </w:rPr>
        <w:t> </w:t>
      </w:r>
      <w:r>
        <w:rPr>
          <w:color w:val="010202"/>
        </w:rPr>
        <w:t>may</w:t>
      </w:r>
      <w:r>
        <w:rPr>
          <w:color w:val="010202"/>
          <w:spacing w:val="-5"/>
        </w:rPr>
        <w:t> </w:t>
      </w:r>
      <w:r>
        <w:rPr>
          <w:color w:val="010202"/>
        </w:rPr>
        <w:t>further</w:t>
      </w:r>
      <w:r>
        <w:rPr>
          <w:color w:val="010202"/>
          <w:spacing w:val="-52"/>
        </w:rPr>
        <w:t> </w:t>
      </w:r>
      <w:r>
        <w:rPr>
          <w:color w:val="010202"/>
          <w:w w:val="95"/>
        </w:rPr>
        <w:t>complicate</w:t>
      </w:r>
      <w:r>
        <w:rPr>
          <w:color w:val="010202"/>
          <w:spacing w:val="5"/>
          <w:w w:val="95"/>
        </w:rPr>
        <w:t> </w:t>
      </w:r>
      <w:r>
        <w:rPr>
          <w:color w:val="010202"/>
          <w:w w:val="95"/>
        </w:rPr>
        <w:t>health</w:t>
      </w:r>
      <w:r>
        <w:rPr>
          <w:color w:val="010202"/>
          <w:spacing w:val="5"/>
          <w:w w:val="95"/>
        </w:rPr>
        <w:t> </w:t>
      </w:r>
      <w:r>
        <w:rPr>
          <w:color w:val="010202"/>
          <w:w w:val="95"/>
        </w:rPr>
        <w:t>outcomes.</w:t>
      </w:r>
      <w:r>
        <w:rPr>
          <w:color w:val="010202"/>
          <w:w w:val="95"/>
          <w:vertAlign w:val="superscript"/>
        </w:rPr>
        <w:t>86-87,</w:t>
      </w:r>
      <w:r>
        <w:rPr>
          <w:color w:val="010202"/>
          <w:spacing w:val="-19"/>
          <w:w w:val="95"/>
          <w:vertAlign w:val="baseline"/>
        </w:rPr>
        <w:t> </w:t>
      </w:r>
      <w:r>
        <w:rPr>
          <w:color w:val="010202"/>
          <w:w w:val="95"/>
          <w:vertAlign w:val="superscript"/>
        </w:rPr>
        <w:t>90</w:t>
      </w:r>
    </w:p>
    <w:p>
      <w:pPr>
        <w:pStyle w:val="BodyText"/>
        <w:spacing w:before="1"/>
        <w:rPr>
          <w:sz w:val="19"/>
        </w:rPr>
      </w:pPr>
    </w:p>
    <w:p>
      <w:pPr>
        <w:pStyle w:val="Heading5"/>
        <w:rPr>
          <w:i/>
        </w:rPr>
      </w:pPr>
      <w:r>
        <w:rPr>
          <w:i/>
          <w:color w:val="1C384B"/>
        </w:rPr>
        <w:t>Viral</w:t>
      </w:r>
      <w:r>
        <w:rPr>
          <w:i/>
          <w:color w:val="1C384B"/>
          <w:spacing w:val="-9"/>
        </w:rPr>
        <w:t> </w:t>
      </w:r>
      <w:r>
        <w:rPr>
          <w:i/>
          <w:color w:val="1C384B"/>
        </w:rPr>
        <w:t>hepatitis</w:t>
      </w:r>
    </w:p>
    <w:p>
      <w:pPr>
        <w:pStyle w:val="BodyText"/>
        <w:spacing w:line="266" w:lineRule="auto" w:before="184"/>
        <w:ind w:left="159" w:right="89"/>
      </w:pPr>
      <w:r>
        <w:rPr>
          <w:color w:val="010202"/>
        </w:rPr>
        <w:t>People</w:t>
      </w:r>
      <w:r>
        <w:rPr>
          <w:color w:val="010202"/>
          <w:spacing w:val="8"/>
        </w:rPr>
        <w:t> </w:t>
      </w:r>
      <w:r>
        <w:rPr>
          <w:color w:val="010202"/>
        </w:rPr>
        <w:t>with</w:t>
      </w:r>
      <w:r>
        <w:rPr>
          <w:color w:val="010202"/>
          <w:spacing w:val="8"/>
        </w:rPr>
        <w:t> </w:t>
      </w:r>
      <w:r>
        <w:rPr>
          <w:color w:val="010202"/>
        </w:rPr>
        <w:t>HIV</w:t>
      </w:r>
      <w:r>
        <w:rPr>
          <w:color w:val="010202"/>
          <w:spacing w:val="5"/>
        </w:rPr>
        <w:t> </w:t>
      </w:r>
      <w:r>
        <w:rPr>
          <w:color w:val="010202"/>
        </w:rPr>
        <w:t>are</w:t>
      </w:r>
      <w:r>
        <w:rPr>
          <w:color w:val="010202"/>
          <w:spacing w:val="9"/>
        </w:rPr>
        <w:t> </w:t>
      </w:r>
      <w:r>
        <w:rPr>
          <w:color w:val="010202"/>
        </w:rPr>
        <w:t>disproportionately</w:t>
      </w:r>
      <w:r>
        <w:rPr>
          <w:color w:val="010202"/>
          <w:spacing w:val="9"/>
        </w:rPr>
        <w:t> </w:t>
      </w:r>
      <w:r>
        <w:rPr>
          <w:color w:val="010202"/>
        </w:rPr>
        <w:t>affected</w:t>
      </w:r>
      <w:r>
        <w:rPr>
          <w:color w:val="010202"/>
          <w:spacing w:val="10"/>
        </w:rPr>
        <w:t> </w:t>
      </w:r>
      <w:r>
        <w:rPr>
          <w:color w:val="010202"/>
        </w:rPr>
        <w:t>by</w:t>
      </w:r>
      <w:r>
        <w:rPr>
          <w:color w:val="010202"/>
          <w:spacing w:val="1"/>
        </w:rPr>
        <w:t> </w:t>
      </w:r>
      <w:r>
        <w:rPr>
          <w:color w:val="010202"/>
          <w:spacing w:val="-1"/>
        </w:rPr>
        <w:t>viral hepatitis (hepatitis A virus [HAV], hepatitis </w:t>
      </w:r>
      <w:r>
        <w:rPr>
          <w:color w:val="010202"/>
        </w:rPr>
        <w:t>B virus</w:t>
      </w:r>
      <w:r>
        <w:rPr>
          <w:color w:val="010202"/>
          <w:spacing w:val="-52"/>
        </w:rPr>
        <w:t> </w:t>
      </w:r>
      <w:r>
        <w:rPr>
          <w:color w:val="010202"/>
        </w:rPr>
        <w:t>[HBV], and hepatitis C virus [HCV]). Of those with co-</w:t>
      </w:r>
      <w:r>
        <w:rPr>
          <w:color w:val="010202"/>
          <w:spacing w:val="-52"/>
        </w:rPr>
        <w:t> </w:t>
      </w:r>
      <w:r>
        <w:rPr>
          <w:color w:val="010202"/>
        </w:rPr>
        <w:t>occurring HIV and viral hepatitis, about one third have</w:t>
      </w:r>
      <w:r>
        <w:rPr>
          <w:color w:val="010202"/>
          <w:spacing w:val="1"/>
        </w:rPr>
        <w:t> </w:t>
      </w:r>
      <w:r>
        <w:rPr>
          <w:color w:val="010202"/>
        </w:rPr>
        <w:t>both HBV and HCV. HBV and HCV are bloodborne</w:t>
      </w:r>
      <w:r>
        <w:rPr>
          <w:color w:val="010202"/>
          <w:spacing w:val="1"/>
        </w:rPr>
        <w:t> </w:t>
      </w:r>
      <w:r>
        <w:rPr>
          <w:color w:val="010202"/>
        </w:rPr>
        <w:t>pathogens, which can be spread through needle sharing</w:t>
      </w:r>
      <w:r>
        <w:rPr>
          <w:color w:val="010202"/>
          <w:spacing w:val="1"/>
        </w:rPr>
        <w:t> </w:t>
      </w:r>
      <w:r>
        <w:rPr>
          <w:color w:val="010202"/>
        </w:rPr>
        <w:t>associated with injection-drug use.</w:t>
      </w:r>
      <w:r>
        <w:rPr>
          <w:color w:val="010202"/>
          <w:vertAlign w:val="superscript"/>
        </w:rPr>
        <w:t>21</w:t>
      </w:r>
      <w:r>
        <w:rPr>
          <w:color w:val="010202"/>
          <w:vertAlign w:val="baseline"/>
        </w:rPr>
        <w:t> Nearly 75 percent</w:t>
      </w:r>
      <w:r>
        <w:rPr>
          <w:color w:val="010202"/>
          <w:spacing w:val="1"/>
          <w:vertAlign w:val="baseline"/>
        </w:rPr>
        <w:t> </w:t>
      </w:r>
      <w:r>
        <w:rPr>
          <w:color w:val="010202"/>
          <w:vertAlign w:val="baseline"/>
        </w:rPr>
        <w:t>of people with HIV who inject drugs also are infected</w:t>
      </w:r>
      <w:r>
        <w:rPr>
          <w:color w:val="010202"/>
          <w:spacing w:val="1"/>
          <w:vertAlign w:val="baseline"/>
        </w:rPr>
        <w:t> </w:t>
      </w:r>
      <w:r>
        <w:rPr>
          <w:color w:val="010202"/>
          <w:vertAlign w:val="baseline"/>
        </w:rPr>
        <w:t>with HCV.</w:t>
      </w:r>
      <w:r>
        <w:rPr>
          <w:color w:val="010202"/>
          <w:vertAlign w:val="superscript"/>
        </w:rPr>
        <w:t>91</w:t>
      </w:r>
      <w:r>
        <w:rPr>
          <w:color w:val="010202"/>
          <w:vertAlign w:val="baseline"/>
        </w:rPr>
        <w:t> Both HBV and HCV are also associated</w:t>
      </w:r>
      <w:r>
        <w:rPr>
          <w:color w:val="010202"/>
          <w:spacing w:val="1"/>
          <w:vertAlign w:val="baseline"/>
        </w:rPr>
        <w:t> </w:t>
      </w:r>
      <w:r>
        <w:rPr>
          <w:color w:val="010202"/>
          <w:vertAlign w:val="baseline"/>
        </w:rPr>
        <w:t>with sexual behaviors that increase risk of HIV (e.g.,</w:t>
      </w:r>
      <w:r>
        <w:rPr>
          <w:color w:val="010202"/>
          <w:spacing w:val="1"/>
          <w:vertAlign w:val="baseline"/>
        </w:rPr>
        <w:t> </w:t>
      </w:r>
      <w:r>
        <w:rPr>
          <w:color w:val="010202"/>
          <w:spacing w:val="-1"/>
          <w:vertAlign w:val="baseline"/>
        </w:rPr>
        <w:t>condomless </w:t>
      </w:r>
      <w:r>
        <w:rPr>
          <w:color w:val="010202"/>
          <w:vertAlign w:val="baseline"/>
        </w:rPr>
        <w:t>sex). About half of people who have HCV</w:t>
      </w:r>
      <w:r>
        <w:rPr>
          <w:color w:val="010202"/>
          <w:spacing w:val="1"/>
          <w:vertAlign w:val="baseline"/>
        </w:rPr>
        <w:t> </w:t>
      </w:r>
      <w:r>
        <w:rPr>
          <w:color w:val="010202"/>
          <w:vertAlign w:val="baseline"/>
        </w:rPr>
        <w:t>do not display symptoms, so it is important that regular</w:t>
      </w:r>
      <w:r>
        <w:rPr>
          <w:color w:val="010202"/>
          <w:spacing w:val="1"/>
          <w:vertAlign w:val="baseline"/>
        </w:rPr>
        <w:t> </w:t>
      </w:r>
      <w:r>
        <w:rPr>
          <w:color w:val="010202"/>
          <w:vertAlign w:val="baseline"/>
        </w:rPr>
        <w:t>testing is done.</w:t>
      </w:r>
      <w:r>
        <w:rPr>
          <w:color w:val="010202"/>
          <w:vertAlign w:val="superscript"/>
        </w:rPr>
        <w:t>92</w:t>
      </w:r>
      <w:r>
        <w:rPr>
          <w:color w:val="010202"/>
          <w:vertAlign w:val="baseline"/>
        </w:rPr>
        <w:t> Co-occurring HIV and viral hepatitis</w:t>
      </w:r>
      <w:r>
        <w:rPr>
          <w:color w:val="010202"/>
          <w:spacing w:val="1"/>
          <w:vertAlign w:val="baseline"/>
        </w:rPr>
        <w:t> </w:t>
      </w:r>
      <w:r>
        <w:rPr>
          <w:color w:val="010202"/>
          <w:vertAlign w:val="baseline"/>
        </w:rPr>
        <w:t>present challenges in managing and treating HIV</w:t>
      </w:r>
      <w:r>
        <w:rPr>
          <w:color w:val="010202"/>
          <w:spacing w:val="1"/>
          <w:vertAlign w:val="baseline"/>
        </w:rPr>
        <w:t> </w:t>
      </w:r>
      <w:r>
        <w:rPr>
          <w:color w:val="010202"/>
          <w:w w:val="95"/>
          <w:vertAlign w:val="baseline"/>
        </w:rPr>
        <w:t>infection.</w:t>
      </w:r>
      <w:r>
        <w:rPr>
          <w:color w:val="010202"/>
          <w:w w:val="95"/>
          <w:vertAlign w:val="superscript"/>
        </w:rPr>
        <w:t>91,</w:t>
      </w:r>
      <w:r>
        <w:rPr>
          <w:color w:val="010202"/>
          <w:spacing w:val="-12"/>
          <w:w w:val="95"/>
          <w:vertAlign w:val="baseline"/>
        </w:rPr>
        <w:t> </w:t>
      </w:r>
      <w:r>
        <w:rPr>
          <w:color w:val="010202"/>
          <w:w w:val="95"/>
          <w:vertAlign w:val="superscript"/>
        </w:rPr>
        <w:t>94-95</w:t>
      </w:r>
      <w:r>
        <w:rPr>
          <w:color w:val="010202"/>
          <w:spacing w:val="17"/>
          <w:w w:val="95"/>
          <w:vertAlign w:val="baseline"/>
        </w:rPr>
        <w:t> </w:t>
      </w:r>
      <w:r>
        <w:rPr>
          <w:color w:val="010202"/>
          <w:w w:val="95"/>
          <w:vertAlign w:val="baseline"/>
        </w:rPr>
        <w:t>Hepatitis A,</w:t>
      </w:r>
      <w:r>
        <w:rPr>
          <w:color w:val="010202"/>
          <w:spacing w:val="16"/>
          <w:w w:val="95"/>
          <w:vertAlign w:val="baseline"/>
        </w:rPr>
        <w:t> </w:t>
      </w:r>
      <w:r>
        <w:rPr>
          <w:color w:val="010202"/>
          <w:w w:val="95"/>
          <w:vertAlign w:val="baseline"/>
        </w:rPr>
        <w:t>B,</w:t>
      </w:r>
      <w:r>
        <w:rPr>
          <w:color w:val="010202"/>
          <w:spacing w:val="17"/>
          <w:w w:val="95"/>
          <w:vertAlign w:val="baseline"/>
        </w:rPr>
        <w:t> </w:t>
      </w:r>
      <w:r>
        <w:rPr>
          <w:color w:val="010202"/>
          <w:w w:val="95"/>
          <w:vertAlign w:val="baseline"/>
        </w:rPr>
        <w:t>and</w:t>
      </w:r>
      <w:r>
        <w:rPr>
          <w:color w:val="010202"/>
          <w:spacing w:val="17"/>
          <w:w w:val="95"/>
          <w:vertAlign w:val="baseline"/>
        </w:rPr>
        <w:t> </w:t>
      </w:r>
      <w:r>
        <w:rPr>
          <w:color w:val="010202"/>
          <w:w w:val="95"/>
          <w:vertAlign w:val="baseline"/>
        </w:rPr>
        <w:t>C</w:t>
      </w:r>
      <w:r>
        <w:rPr>
          <w:color w:val="010202"/>
          <w:spacing w:val="18"/>
          <w:w w:val="95"/>
          <w:vertAlign w:val="baseline"/>
        </w:rPr>
        <w:t> </w:t>
      </w:r>
      <w:r>
        <w:rPr>
          <w:color w:val="010202"/>
          <w:w w:val="95"/>
          <w:vertAlign w:val="baseline"/>
        </w:rPr>
        <w:t>are</w:t>
      </w:r>
      <w:r>
        <w:rPr>
          <w:color w:val="010202"/>
          <w:spacing w:val="17"/>
          <w:w w:val="95"/>
          <w:vertAlign w:val="baseline"/>
        </w:rPr>
        <w:t> </w:t>
      </w:r>
      <w:r>
        <w:rPr>
          <w:color w:val="010202"/>
          <w:w w:val="95"/>
          <w:vertAlign w:val="baseline"/>
        </w:rPr>
        <w:t>all</w:t>
      </w:r>
      <w:r>
        <w:rPr>
          <w:color w:val="010202"/>
          <w:spacing w:val="17"/>
          <w:w w:val="95"/>
          <w:vertAlign w:val="baseline"/>
        </w:rPr>
        <w:t> </w:t>
      </w:r>
      <w:r>
        <w:rPr>
          <w:color w:val="010202"/>
          <w:w w:val="95"/>
          <w:vertAlign w:val="baseline"/>
        </w:rPr>
        <w:t>associated</w:t>
      </w:r>
      <w:r>
        <w:rPr>
          <w:color w:val="010202"/>
          <w:spacing w:val="1"/>
          <w:w w:val="95"/>
          <w:vertAlign w:val="baseline"/>
        </w:rPr>
        <w:t> </w:t>
      </w:r>
      <w:r>
        <w:rPr>
          <w:color w:val="010202"/>
          <w:vertAlign w:val="baseline"/>
        </w:rPr>
        <w:t>with liver inflammation and liver damage. When the</w:t>
      </w:r>
      <w:r>
        <w:rPr>
          <w:color w:val="010202"/>
          <w:spacing w:val="1"/>
          <w:vertAlign w:val="baseline"/>
        </w:rPr>
        <w:t> </w:t>
      </w:r>
      <w:r>
        <w:rPr>
          <w:color w:val="010202"/>
          <w:vertAlign w:val="baseline"/>
        </w:rPr>
        <w:t>liver is inflamed, it is less able to process medications</w:t>
      </w:r>
      <w:r>
        <w:rPr>
          <w:color w:val="010202"/>
          <w:spacing w:val="1"/>
          <w:vertAlign w:val="baseline"/>
        </w:rPr>
        <w:t> </w:t>
      </w:r>
      <w:r>
        <w:rPr>
          <w:color w:val="010202"/>
          <w:vertAlign w:val="baseline"/>
        </w:rPr>
        <w:t>including</w:t>
      </w:r>
      <w:r>
        <w:rPr>
          <w:color w:val="010202"/>
          <w:spacing w:val="-1"/>
          <w:vertAlign w:val="baseline"/>
        </w:rPr>
        <w:t> </w:t>
      </w:r>
      <w:r>
        <w:rPr>
          <w:color w:val="010202"/>
          <w:vertAlign w:val="baseline"/>
        </w:rPr>
        <w:t>anti-retroviral medications,</w:t>
      </w:r>
      <w:r>
        <w:rPr>
          <w:color w:val="010202"/>
          <w:spacing w:val="-1"/>
          <w:vertAlign w:val="baseline"/>
        </w:rPr>
        <w:t> </w:t>
      </w:r>
      <w:r>
        <w:rPr>
          <w:color w:val="010202"/>
          <w:vertAlign w:val="baseline"/>
        </w:rPr>
        <w:t>which</w:t>
      </w:r>
      <w:r>
        <w:rPr>
          <w:color w:val="010202"/>
          <w:spacing w:val="-1"/>
          <w:vertAlign w:val="baseline"/>
        </w:rPr>
        <w:t> </w:t>
      </w:r>
      <w:r>
        <w:rPr>
          <w:color w:val="010202"/>
          <w:vertAlign w:val="baseline"/>
        </w:rPr>
        <w:t>can</w:t>
      </w:r>
      <w:r>
        <w:rPr>
          <w:color w:val="010202"/>
          <w:spacing w:val="-1"/>
          <w:vertAlign w:val="baseline"/>
        </w:rPr>
        <w:t> </w:t>
      </w:r>
      <w:r>
        <w:rPr>
          <w:color w:val="010202"/>
          <w:vertAlign w:val="baseline"/>
        </w:rPr>
        <w:t>cause</w:t>
      </w:r>
    </w:p>
    <w:p>
      <w:pPr>
        <w:pStyle w:val="BodyText"/>
        <w:spacing w:line="266" w:lineRule="auto" w:before="91"/>
        <w:ind w:left="159" w:right="868"/>
      </w:pPr>
      <w:r>
        <w:rPr/>
        <w:br w:type="column"/>
      </w:r>
      <w:r>
        <w:rPr>
          <w:color w:val="010202"/>
        </w:rPr>
        <w:t>worsened side effects of HIV medicine.</w:t>
      </w:r>
      <w:r>
        <w:rPr>
          <w:color w:val="010202"/>
          <w:vertAlign w:val="superscript"/>
        </w:rPr>
        <w:t>96</w:t>
      </w:r>
      <w:r>
        <w:rPr>
          <w:color w:val="010202"/>
          <w:vertAlign w:val="baseline"/>
        </w:rPr>
        <w:t> People with</w:t>
      </w:r>
      <w:r>
        <w:rPr>
          <w:color w:val="010202"/>
          <w:spacing w:val="1"/>
          <w:vertAlign w:val="baseline"/>
        </w:rPr>
        <w:t> </w:t>
      </w:r>
      <w:r>
        <w:rPr>
          <w:color w:val="010202"/>
          <w:vertAlign w:val="baseline"/>
        </w:rPr>
        <w:t>HIV who contract viral hepatitis are more likely to</w:t>
      </w:r>
      <w:r>
        <w:rPr>
          <w:color w:val="010202"/>
          <w:spacing w:val="1"/>
          <w:vertAlign w:val="baseline"/>
        </w:rPr>
        <w:t> </w:t>
      </w:r>
      <w:r>
        <w:rPr>
          <w:color w:val="010202"/>
          <w:vertAlign w:val="baseline"/>
        </w:rPr>
        <w:t>experience a faster progression of liver-related injury</w:t>
      </w:r>
      <w:r>
        <w:rPr>
          <w:color w:val="010202"/>
          <w:spacing w:val="1"/>
          <w:vertAlign w:val="baseline"/>
        </w:rPr>
        <w:t> </w:t>
      </w:r>
      <w:r>
        <w:rPr>
          <w:color w:val="010202"/>
          <w:vertAlign w:val="baseline"/>
        </w:rPr>
        <w:t>than people who do not have HIV.</w:t>
      </w:r>
      <w:r>
        <w:rPr>
          <w:color w:val="010202"/>
          <w:vertAlign w:val="superscript"/>
        </w:rPr>
        <w:t>21</w:t>
      </w:r>
      <w:r>
        <w:rPr>
          <w:color w:val="010202"/>
          <w:vertAlign w:val="baseline"/>
        </w:rPr>
        <w:t> Medications to</w:t>
      </w:r>
      <w:r>
        <w:rPr>
          <w:color w:val="010202"/>
          <w:spacing w:val="1"/>
          <w:vertAlign w:val="baseline"/>
        </w:rPr>
        <w:t> </w:t>
      </w:r>
      <w:r>
        <w:rPr>
          <w:color w:val="010202"/>
          <w:vertAlign w:val="baseline"/>
        </w:rPr>
        <w:t>treat hepatitis are similar to HIV in that they are anti-</w:t>
      </w:r>
      <w:r>
        <w:rPr>
          <w:color w:val="010202"/>
          <w:spacing w:val="1"/>
          <w:vertAlign w:val="baseline"/>
        </w:rPr>
        <w:t> </w:t>
      </w:r>
      <w:r>
        <w:rPr>
          <w:color w:val="010202"/>
          <w:vertAlign w:val="baseline"/>
        </w:rPr>
        <w:t>retroviral. However, some medications that treat HIV</w:t>
      </w:r>
      <w:r>
        <w:rPr>
          <w:color w:val="010202"/>
          <w:spacing w:val="1"/>
          <w:vertAlign w:val="baseline"/>
        </w:rPr>
        <w:t> </w:t>
      </w:r>
      <w:r>
        <w:rPr>
          <w:color w:val="010202"/>
          <w:vertAlign w:val="baseline"/>
        </w:rPr>
        <w:t>and HCV are not safe to use together, so it is important</w:t>
      </w:r>
      <w:r>
        <w:rPr>
          <w:color w:val="010202"/>
          <w:spacing w:val="-52"/>
          <w:vertAlign w:val="baseline"/>
        </w:rPr>
        <w:t> </w:t>
      </w:r>
      <w:r>
        <w:rPr>
          <w:color w:val="010202"/>
          <w:vertAlign w:val="baseline"/>
        </w:rPr>
        <w:t>that</w:t>
      </w:r>
      <w:r>
        <w:rPr>
          <w:color w:val="010202"/>
          <w:spacing w:val="-2"/>
          <w:vertAlign w:val="baseline"/>
        </w:rPr>
        <w:t> </w:t>
      </w:r>
      <w:r>
        <w:rPr>
          <w:color w:val="010202"/>
          <w:vertAlign w:val="baseline"/>
        </w:rPr>
        <w:t>people</w:t>
      </w:r>
      <w:r>
        <w:rPr>
          <w:color w:val="010202"/>
          <w:spacing w:val="-1"/>
          <w:vertAlign w:val="baseline"/>
        </w:rPr>
        <w:t> </w:t>
      </w:r>
      <w:r>
        <w:rPr>
          <w:color w:val="010202"/>
          <w:vertAlign w:val="baseline"/>
        </w:rPr>
        <w:t>with</w:t>
      </w:r>
      <w:r>
        <w:rPr>
          <w:color w:val="010202"/>
          <w:spacing w:val="-2"/>
          <w:vertAlign w:val="baseline"/>
        </w:rPr>
        <w:t> </w:t>
      </w:r>
      <w:r>
        <w:rPr>
          <w:color w:val="010202"/>
          <w:vertAlign w:val="baseline"/>
        </w:rPr>
        <w:t>HIV</w:t>
      </w:r>
      <w:r>
        <w:rPr>
          <w:color w:val="010202"/>
          <w:spacing w:val="-6"/>
          <w:vertAlign w:val="baseline"/>
        </w:rPr>
        <w:t> </w:t>
      </w:r>
      <w:r>
        <w:rPr>
          <w:color w:val="010202"/>
          <w:vertAlign w:val="baseline"/>
        </w:rPr>
        <w:t>and</w:t>
      </w:r>
      <w:r>
        <w:rPr>
          <w:color w:val="010202"/>
          <w:spacing w:val="-1"/>
          <w:vertAlign w:val="baseline"/>
        </w:rPr>
        <w:t> </w:t>
      </w:r>
      <w:r>
        <w:rPr>
          <w:color w:val="010202"/>
          <w:vertAlign w:val="baseline"/>
        </w:rPr>
        <w:t>HCV</w:t>
      </w:r>
      <w:r>
        <w:rPr>
          <w:color w:val="010202"/>
          <w:spacing w:val="-5"/>
          <w:vertAlign w:val="baseline"/>
        </w:rPr>
        <w:t> </w:t>
      </w:r>
      <w:r>
        <w:rPr>
          <w:color w:val="010202"/>
          <w:vertAlign w:val="baseline"/>
        </w:rPr>
        <w:t>regularly</w:t>
      </w:r>
      <w:r>
        <w:rPr>
          <w:color w:val="010202"/>
          <w:spacing w:val="-1"/>
          <w:vertAlign w:val="baseline"/>
        </w:rPr>
        <w:t> </w:t>
      </w:r>
      <w:r>
        <w:rPr>
          <w:color w:val="010202"/>
          <w:vertAlign w:val="baseline"/>
        </w:rPr>
        <w:t>consult</w:t>
      </w:r>
      <w:r>
        <w:rPr>
          <w:color w:val="010202"/>
          <w:spacing w:val="-1"/>
          <w:vertAlign w:val="baseline"/>
        </w:rPr>
        <w:t> </w:t>
      </w:r>
      <w:r>
        <w:rPr>
          <w:color w:val="010202"/>
          <w:vertAlign w:val="baseline"/>
        </w:rPr>
        <w:t>with</w:t>
      </w:r>
      <w:r>
        <w:rPr>
          <w:color w:val="010202"/>
          <w:spacing w:val="-2"/>
          <w:vertAlign w:val="baseline"/>
        </w:rPr>
        <w:t> </w:t>
      </w:r>
      <w:r>
        <w:rPr>
          <w:color w:val="010202"/>
          <w:vertAlign w:val="baseline"/>
        </w:rPr>
        <w:t>a</w:t>
      </w:r>
      <w:r>
        <w:rPr>
          <w:color w:val="010202"/>
          <w:spacing w:val="-52"/>
          <w:vertAlign w:val="baseline"/>
        </w:rPr>
        <w:t> </w:t>
      </w:r>
      <w:r>
        <w:rPr>
          <w:color w:val="010202"/>
          <w:vertAlign w:val="baseline"/>
        </w:rPr>
        <w:t>doctor.</w:t>
      </w:r>
      <w:r>
        <w:rPr>
          <w:color w:val="010202"/>
          <w:vertAlign w:val="superscript"/>
        </w:rPr>
        <w:t>94</w:t>
      </w:r>
    </w:p>
    <w:p>
      <w:pPr>
        <w:pStyle w:val="Heading5"/>
        <w:spacing w:before="161"/>
        <w:rPr>
          <w:i/>
        </w:rPr>
      </w:pPr>
      <w:r>
        <w:rPr>
          <w:i/>
          <w:color w:val="1C384B"/>
        </w:rPr>
        <w:t>Incarceration</w:t>
      </w:r>
    </w:p>
    <w:p>
      <w:pPr>
        <w:pStyle w:val="BodyText"/>
        <w:spacing w:before="184"/>
        <w:ind w:left="160"/>
      </w:pPr>
      <w:r>
        <w:rPr>
          <w:color w:val="231F20"/>
        </w:rPr>
        <w:t>While</w:t>
      </w:r>
      <w:r>
        <w:rPr>
          <w:color w:val="231F20"/>
          <w:spacing w:val="-1"/>
        </w:rPr>
        <w:t> </w:t>
      </w:r>
      <w:r>
        <w:rPr>
          <w:color w:val="231F20"/>
        </w:rPr>
        <w:t>the</w:t>
      </w:r>
      <w:r>
        <w:rPr>
          <w:color w:val="231F20"/>
          <w:spacing w:val="-1"/>
        </w:rPr>
        <w:t> </w:t>
      </w:r>
      <w:r>
        <w:rPr>
          <w:color w:val="231F20"/>
        </w:rPr>
        <w:t>extent</w:t>
      </w:r>
      <w:r>
        <w:rPr>
          <w:color w:val="231F20"/>
          <w:spacing w:val="-1"/>
        </w:rPr>
        <w:t> </w:t>
      </w:r>
      <w:r>
        <w:rPr>
          <w:color w:val="231F20"/>
        </w:rPr>
        <w:t>of</w:t>
      </w:r>
      <w:r>
        <w:rPr>
          <w:color w:val="231F20"/>
          <w:spacing w:val="-1"/>
        </w:rPr>
        <w:t> </w:t>
      </w:r>
      <w:r>
        <w:rPr>
          <w:color w:val="231F20"/>
        </w:rPr>
        <w:t>HIV</w:t>
      </w:r>
      <w:r>
        <w:rPr>
          <w:color w:val="231F20"/>
          <w:spacing w:val="-5"/>
        </w:rPr>
        <w:t> </w:t>
      </w:r>
      <w:r>
        <w:rPr>
          <w:color w:val="231F20"/>
        </w:rPr>
        <w:t>transmission</w:t>
      </w:r>
      <w:r>
        <w:rPr>
          <w:color w:val="231F20"/>
          <w:spacing w:val="-1"/>
        </w:rPr>
        <w:t> </w:t>
      </w:r>
      <w:r>
        <w:rPr>
          <w:color w:val="231F20"/>
        </w:rPr>
        <w:t>within</w:t>
      </w:r>
      <w:r>
        <w:rPr>
          <w:color w:val="231F20"/>
          <w:spacing w:val="-2"/>
        </w:rPr>
        <w:t> </w:t>
      </w:r>
      <w:r>
        <w:rPr>
          <w:color w:val="231F20"/>
        </w:rPr>
        <w:t>jails and</w:t>
      </w:r>
    </w:p>
    <w:p>
      <w:pPr>
        <w:pStyle w:val="BodyText"/>
        <w:spacing w:line="266" w:lineRule="auto" w:before="27"/>
        <w:ind w:left="159" w:right="1144"/>
      </w:pPr>
      <w:r>
        <w:rPr>
          <w:color w:val="231F20"/>
        </w:rPr>
        <w:t>prisons</w:t>
      </w:r>
      <w:r>
        <w:rPr>
          <w:color w:val="231F20"/>
          <w:spacing w:val="2"/>
        </w:rPr>
        <w:t> </w:t>
      </w:r>
      <w:r>
        <w:rPr>
          <w:color w:val="231F20"/>
        </w:rPr>
        <w:t>is</w:t>
      </w:r>
      <w:r>
        <w:rPr>
          <w:color w:val="231F20"/>
          <w:spacing w:val="2"/>
        </w:rPr>
        <w:t> </w:t>
      </w:r>
      <w:r>
        <w:rPr>
          <w:color w:val="231F20"/>
        </w:rPr>
        <w:t>not</w:t>
      </w:r>
      <w:r>
        <w:rPr>
          <w:color w:val="231F20"/>
          <w:spacing w:val="3"/>
        </w:rPr>
        <w:t> </w:t>
      </w:r>
      <w:r>
        <w:rPr>
          <w:color w:val="231F20"/>
        </w:rPr>
        <w:t>fully</w:t>
      </w:r>
      <w:r>
        <w:rPr>
          <w:color w:val="231F20"/>
          <w:spacing w:val="2"/>
        </w:rPr>
        <w:t> </w:t>
      </w:r>
      <w:r>
        <w:rPr>
          <w:color w:val="231F20"/>
        </w:rPr>
        <w:t>understood,</w:t>
      </w:r>
      <w:r>
        <w:rPr>
          <w:color w:val="231F20"/>
          <w:vertAlign w:val="superscript"/>
        </w:rPr>
        <w:t>97-99</w:t>
      </w:r>
      <w:r>
        <w:rPr>
          <w:color w:val="231F20"/>
          <w:spacing w:val="2"/>
          <w:vertAlign w:val="baseline"/>
        </w:rPr>
        <w:t> </w:t>
      </w:r>
      <w:r>
        <w:rPr>
          <w:color w:val="231F20"/>
          <w:vertAlign w:val="baseline"/>
        </w:rPr>
        <w:t>the</w:t>
      </w:r>
      <w:r>
        <w:rPr>
          <w:color w:val="231F20"/>
          <w:spacing w:val="3"/>
          <w:vertAlign w:val="baseline"/>
        </w:rPr>
        <w:t> </w:t>
      </w:r>
      <w:r>
        <w:rPr>
          <w:color w:val="231F20"/>
          <w:vertAlign w:val="baseline"/>
        </w:rPr>
        <w:t>risk</w:t>
      </w:r>
      <w:r>
        <w:rPr>
          <w:color w:val="231F20"/>
          <w:spacing w:val="2"/>
          <w:vertAlign w:val="baseline"/>
        </w:rPr>
        <w:t> </w:t>
      </w:r>
      <w:r>
        <w:rPr>
          <w:color w:val="231F20"/>
          <w:vertAlign w:val="baseline"/>
        </w:rPr>
        <w:t>of</w:t>
      </w:r>
      <w:r>
        <w:rPr>
          <w:color w:val="231F20"/>
          <w:spacing w:val="2"/>
          <w:vertAlign w:val="baseline"/>
        </w:rPr>
        <w:t> </w:t>
      </w:r>
      <w:r>
        <w:rPr>
          <w:color w:val="231F20"/>
          <w:vertAlign w:val="baseline"/>
        </w:rPr>
        <w:t>HIV</w:t>
      </w:r>
      <w:r>
        <w:rPr>
          <w:color w:val="231F20"/>
          <w:spacing w:val="1"/>
          <w:vertAlign w:val="baseline"/>
        </w:rPr>
        <w:t> </w:t>
      </w:r>
      <w:r>
        <w:rPr>
          <w:color w:val="231F20"/>
          <w:vertAlign w:val="baseline"/>
        </w:rPr>
        <w:t>is heightened for incarcerated populations compared</w:t>
      </w:r>
      <w:r>
        <w:rPr>
          <w:color w:val="231F20"/>
          <w:spacing w:val="-52"/>
          <w:vertAlign w:val="baseline"/>
        </w:rPr>
        <w:t> </w:t>
      </w:r>
      <w:r>
        <w:rPr>
          <w:color w:val="231F20"/>
          <w:vertAlign w:val="baseline"/>
        </w:rPr>
        <w:t>to non-incarcerated populations, namely due to high</w:t>
      </w:r>
      <w:r>
        <w:rPr>
          <w:color w:val="231F20"/>
          <w:spacing w:val="-52"/>
          <w:vertAlign w:val="baseline"/>
        </w:rPr>
        <w:t> </w:t>
      </w:r>
      <w:r>
        <w:rPr>
          <w:color w:val="231F20"/>
          <w:vertAlign w:val="baseline"/>
        </w:rPr>
        <w:t>rates</w:t>
      </w:r>
      <w:r>
        <w:rPr>
          <w:color w:val="231F20"/>
          <w:spacing w:val="-1"/>
          <w:vertAlign w:val="baseline"/>
        </w:rPr>
        <w:t> </w:t>
      </w:r>
      <w:r>
        <w:rPr>
          <w:color w:val="231F20"/>
          <w:vertAlign w:val="baseline"/>
        </w:rPr>
        <w:t>of</w:t>
      </w:r>
      <w:r>
        <w:rPr>
          <w:color w:val="231F20"/>
          <w:spacing w:val="-1"/>
          <w:vertAlign w:val="baseline"/>
        </w:rPr>
        <w:t> </w:t>
      </w:r>
      <w:r>
        <w:rPr>
          <w:color w:val="231F20"/>
          <w:vertAlign w:val="baseline"/>
        </w:rPr>
        <w:t>HIV</w:t>
      </w:r>
      <w:r>
        <w:rPr>
          <w:color w:val="231F20"/>
          <w:spacing w:val="-5"/>
          <w:vertAlign w:val="baseline"/>
        </w:rPr>
        <w:t> </w:t>
      </w:r>
      <w:r>
        <w:rPr>
          <w:color w:val="231F20"/>
          <w:vertAlign w:val="baseline"/>
        </w:rPr>
        <w:t>in</w:t>
      </w:r>
      <w:r>
        <w:rPr>
          <w:color w:val="231F20"/>
          <w:spacing w:val="-1"/>
          <w:vertAlign w:val="baseline"/>
        </w:rPr>
        <w:t> </w:t>
      </w:r>
      <w:r>
        <w:rPr>
          <w:color w:val="231F20"/>
          <w:vertAlign w:val="baseline"/>
        </w:rPr>
        <w:t>prisons,</w:t>
      </w:r>
      <w:r>
        <w:rPr>
          <w:color w:val="231F20"/>
          <w:spacing w:val="-1"/>
          <w:vertAlign w:val="baseline"/>
        </w:rPr>
        <w:t> </w:t>
      </w:r>
      <w:r>
        <w:rPr>
          <w:color w:val="231F20"/>
          <w:vertAlign w:val="baseline"/>
        </w:rPr>
        <w:t>inconsistent</w:t>
      </w:r>
      <w:r>
        <w:rPr>
          <w:color w:val="231F20"/>
          <w:spacing w:val="-1"/>
          <w:vertAlign w:val="baseline"/>
        </w:rPr>
        <w:t> </w:t>
      </w:r>
      <w:r>
        <w:rPr>
          <w:color w:val="231F20"/>
          <w:vertAlign w:val="baseline"/>
        </w:rPr>
        <w:t>screening</w:t>
      </w:r>
      <w:r>
        <w:rPr>
          <w:color w:val="231F20"/>
          <w:spacing w:val="-2"/>
          <w:vertAlign w:val="baseline"/>
        </w:rPr>
        <w:t> </w:t>
      </w:r>
      <w:r>
        <w:rPr>
          <w:color w:val="231F20"/>
          <w:vertAlign w:val="baseline"/>
        </w:rPr>
        <w:t>for</w:t>
      </w:r>
    </w:p>
    <w:p>
      <w:pPr>
        <w:pStyle w:val="BodyText"/>
        <w:spacing w:line="266" w:lineRule="auto"/>
        <w:ind w:left="159" w:right="738"/>
      </w:pPr>
      <w:r>
        <w:rPr>
          <w:color w:val="231F20"/>
        </w:rPr>
        <w:t>HIV upon entry and release, condomless sex, injection</w:t>
      </w:r>
      <w:r>
        <w:rPr>
          <w:color w:val="231F20"/>
          <w:spacing w:val="1"/>
        </w:rPr>
        <w:t> </w:t>
      </w:r>
      <w:r>
        <w:rPr>
          <w:color w:val="231F20"/>
        </w:rPr>
        <w:t>drug</w:t>
      </w:r>
      <w:r>
        <w:rPr>
          <w:color w:val="231F20"/>
          <w:spacing w:val="5"/>
        </w:rPr>
        <w:t> </w:t>
      </w:r>
      <w:r>
        <w:rPr>
          <w:color w:val="231F20"/>
        </w:rPr>
        <w:t>use</w:t>
      </w:r>
      <w:r>
        <w:rPr>
          <w:color w:val="231F20"/>
          <w:spacing w:val="5"/>
        </w:rPr>
        <w:t> </w:t>
      </w:r>
      <w:r>
        <w:rPr>
          <w:color w:val="231F20"/>
        </w:rPr>
        <w:t>equipment</w:t>
      </w:r>
      <w:r>
        <w:rPr>
          <w:color w:val="231F20"/>
          <w:spacing w:val="6"/>
        </w:rPr>
        <w:t> </w:t>
      </w:r>
      <w:r>
        <w:rPr>
          <w:color w:val="231F20"/>
        </w:rPr>
        <w:t>sharing,</w:t>
      </w:r>
      <w:r>
        <w:rPr>
          <w:color w:val="231F20"/>
          <w:spacing w:val="4"/>
        </w:rPr>
        <w:t> </w:t>
      </w:r>
      <w:r>
        <w:rPr>
          <w:color w:val="231F20"/>
        </w:rPr>
        <w:t>and</w:t>
      </w:r>
      <w:r>
        <w:rPr>
          <w:color w:val="231F20"/>
          <w:spacing w:val="6"/>
        </w:rPr>
        <w:t> </w:t>
      </w:r>
      <w:r>
        <w:rPr>
          <w:color w:val="231F20"/>
        </w:rPr>
        <w:t>the</w:t>
      </w:r>
      <w:r>
        <w:rPr>
          <w:color w:val="231F20"/>
          <w:spacing w:val="5"/>
        </w:rPr>
        <w:t> </w:t>
      </w:r>
      <w:r>
        <w:rPr>
          <w:color w:val="231F20"/>
        </w:rPr>
        <w:t>labeling</w:t>
      </w:r>
      <w:r>
        <w:rPr>
          <w:color w:val="231F20"/>
          <w:spacing w:val="6"/>
        </w:rPr>
        <w:t> </w:t>
      </w:r>
      <w:r>
        <w:rPr>
          <w:color w:val="231F20"/>
        </w:rPr>
        <w:t>of</w:t>
      </w:r>
      <w:r>
        <w:rPr>
          <w:color w:val="231F20"/>
          <w:spacing w:val="1"/>
        </w:rPr>
        <w:t> </w:t>
      </w:r>
      <w:r>
        <w:rPr>
          <w:color w:val="231F20"/>
        </w:rPr>
        <w:t>condoms as contraband within prisons.</w:t>
      </w:r>
      <w:r>
        <w:rPr>
          <w:color w:val="231F20"/>
          <w:vertAlign w:val="superscript"/>
        </w:rPr>
        <w:t>100-102</w:t>
      </w:r>
      <w:r>
        <w:rPr>
          <w:color w:val="231F20"/>
          <w:vertAlign w:val="baseline"/>
        </w:rPr>
        <w:t> Release</w:t>
      </w:r>
      <w:r>
        <w:rPr>
          <w:color w:val="231F20"/>
          <w:spacing w:val="1"/>
          <w:vertAlign w:val="baseline"/>
        </w:rPr>
        <w:t> </w:t>
      </w:r>
      <w:r>
        <w:rPr>
          <w:color w:val="231F20"/>
          <w:vertAlign w:val="baseline"/>
        </w:rPr>
        <w:t>from incarceration is widely considered an especially</w:t>
      </w:r>
      <w:r>
        <w:rPr>
          <w:color w:val="231F20"/>
          <w:spacing w:val="1"/>
          <w:vertAlign w:val="baseline"/>
        </w:rPr>
        <w:t> </w:t>
      </w:r>
      <w:r>
        <w:rPr>
          <w:color w:val="231F20"/>
          <w:vertAlign w:val="baseline"/>
        </w:rPr>
        <w:t>vulnerable period for both opioid overdose</w:t>
      </w:r>
      <w:r>
        <w:rPr>
          <w:color w:val="231F20"/>
          <w:vertAlign w:val="superscript"/>
        </w:rPr>
        <w:t>101-103</w:t>
      </w:r>
      <w:r>
        <w:rPr>
          <w:color w:val="231F20"/>
          <w:vertAlign w:val="baseline"/>
        </w:rPr>
        <w:t> and</w:t>
      </w:r>
      <w:r>
        <w:rPr>
          <w:color w:val="231F20"/>
          <w:spacing w:val="1"/>
          <w:vertAlign w:val="baseline"/>
        </w:rPr>
        <w:t> </w:t>
      </w:r>
      <w:r>
        <w:rPr>
          <w:color w:val="231F20"/>
          <w:spacing w:val="-1"/>
          <w:vertAlign w:val="baseline"/>
        </w:rPr>
        <w:t>discontinuation of</w:t>
      </w:r>
      <w:r>
        <w:rPr>
          <w:color w:val="231F20"/>
          <w:vertAlign w:val="baseline"/>
        </w:rPr>
        <w:t> </w:t>
      </w:r>
      <w:r>
        <w:rPr>
          <w:color w:val="231F20"/>
          <w:spacing w:val="-1"/>
          <w:vertAlign w:val="baseline"/>
        </w:rPr>
        <w:t>HIV</w:t>
      </w:r>
      <w:r>
        <w:rPr>
          <w:color w:val="231F20"/>
          <w:spacing w:val="-6"/>
          <w:vertAlign w:val="baseline"/>
        </w:rPr>
        <w:t> </w:t>
      </w:r>
      <w:r>
        <w:rPr>
          <w:color w:val="231F20"/>
          <w:spacing w:val="-1"/>
          <w:vertAlign w:val="baseline"/>
        </w:rPr>
        <w:t>care</w:t>
      </w:r>
      <w:r>
        <w:rPr>
          <w:color w:val="231F20"/>
          <w:vertAlign w:val="baseline"/>
        </w:rPr>
        <w:t> and</w:t>
      </w:r>
      <w:r>
        <w:rPr>
          <w:color w:val="231F20"/>
          <w:spacing w:val="-14"/>
          <w:vertAlign w:val="baseline"/>
        </w:rPr>
        <w:t> </w:t>
      </w:r>
      <w:r>
        <w:rPr>
          <w:color w:val="231F20"/>
          <w:vertAlign w:val="baseline"/>
        </w:rPr>
        <w:t>ART</w:t>
      </w:r>
      <w:r>
        <w:rPr>
          <w:color w:val="231F20"/>
          <w:spacing w:val="-4"/>
          <w:vertAlign w:val="baseline"/>
        </w:rPr>
        <w:t> </w:t>
      </w:r>
      <w:r>
        <w:rPr>
          <w:color w:val="231F20"/>
          <w:vertAlign w:val="baseline"/>
        </w:rPr>
        <w:t>treatment</w:t>
      </w:r>
      <w:r>
        <w:rPr>
          <w:color w:val="231F20"/>
          <w:spacing w:val="-1"/>
          <w:vertAlign w:val="baseline"/>
        </w:rPr>
        <w:t> </w:t>
      </w:r>
      <w:r>
        <w:rPr>
          <w:color w:val="231F20"/>
          <w:vertAlign w:val="baseline"/>
        </w:rPr>
        <w:t>provided</w:t>
      </w:r>
      <w:r>
        <w:rPr>
          <w:color w:val="231F20"/>
          <w:spacing w:val="-52"/>
          <w:vertAlign w:val="baseline"/>
        </w:rPr>
        <w:t> </w:t>
      </w:r>
      <w:r>
        <w:rPr>
          <w:color w:val="231F20"/>
          <w:vertAlign w:val="baseline"/>
        </w:rPr>
        <w:t>during incarceration. The interruption in care can lead to</w:t>
      </w:r>
      <w:r>
        <w:rPr>
          <w:color w:val="231F20"/>
          <w:spacing w:val="-52"/>
          <w:vertAlign w:val="baseline"/>
        </w:rPr>
        <w:t> </w:t>
      </w:r>
      <w:r>
        <w:rPr>
          <w:color w:val="231F20"/>
          <w:w w:val="95"/>
          <w:vertAlign w:val="baseline"/>
        </w:rPr>
        <w:t>reductions</w:t>
      </w:r>
      <w:r>
        <w:rPr>
          <w:color w:val="231F20"/>
          <w:spacing w:val="1"/>
          <w:w w:val="95"/>
          <w:vertAlign w:val="baseline"/>
        </w:rPr>
        <w:t> </w:t>
      </w:r>
      <w:r>
        <w:rPr>
          <w:color w:val="231F20"/>
          <w:w w:val="95"/>
          <w:vertAlign w:val="baseline"/>
        </w:rPr>
        <w:t>in</w:t>
      </w:r>
      <w:r>
        <w:rPr>
          <w:color w:val="231F20"/>
          <w:spacing w:val="1"/>
          <w:w w:val="95"/>
          <w:vertAlign w:val="baseline"/>
        </w:rPr>
        <w:t> </w:t>
      </w:r>
      <w:r>
        <w:rPr>
          <w:color w:val="231F20"/>
          <w:w w:val="95"/>
          <w:vertAlign w:val="baseline"/>
        </w:rPr>
        <w:t>treatment</w:t>
      </w:r>
      <w:r>
        <w:rPr>
          <w:color w:val="231F20"/>
          <w:spacing w:val="1"/>
          <w:w w:val="95"/>
          <w:vertAlign w:val="baseline"/>
        </w:rPr>
        <w:t> </w:t>
      </w:r>
      <w:r>
        <w:rPr>
          <w:color w:val="231F20"/>
          <w:w w:val="95"/>
          <w:vertAlign w:val="baseline"/>
        </w:rPr>
        <w:t>adherence</w:t>
      </w:r>
      <w:r>
        <w:rPr>
          <w:color w:val="231F20"/>
          <w:w w:val="95"/>
          <w:vertAlign w:val="superscript"/>
        </w:rPr>
        <w:t>101,</w:t>
      </w:r>
      <w:r>
        <w:rPr>
          <w:color w:val="231F20"/>
          <w:w w:val="95"/>
          <w:vertAlign w:val="baseline"/>
        </w:rPr>
        <w:t> </w:t>
      </w:r>
      <w:r>
        <w:rPr>
          <w:color w:val="231F20"/>
          <w:w w:val="95"/>
          <w:vertAlign w:val="superscript"/>
        </w:rPr>
        <w:t>104</w:t>
      </w:r>
      <w:r>
        <w:rPr>
          <w:color w:val="231F20"/>
          <w:spacing w:val="1"/>
          <w:w w:val="95"/>
          <w:vertAlign w:val="baseline"/>
        </w:rPr>
        <w:t> </w:t>
      </w:r>
      <w:r>
        <w:rPr>
          <w:color w:val="231F20"/>
          <w:w w:val="95"/>
          <w:vertAlign w:val="baseline"/>
        </w:rPr>
        <w:t>and</w:t>
      </w:r>
      <w:r>
        <w:rPr>
          <w:color w:val="231F20"/>
          <w:spacing w:val="1"/>
          <w:w w:val="95"/>
          <w:vertAlign w:val="baseline"/>
        </w:rPr>
        <w:t> </w:t>
      </w:r>
      <w:r>
        <w:rPr>
          <w:color w:val="231F20"/>
          <w:w w:val="95"/>
          <w:vertAlign w:val="baseline"/>
        </w:rPr>
        <w:t>increases</w:t>
      </w:r>
      <w:r>
        <w:rPr>
          <w:color w:val="231F20"/>
          <w:spacing w:val="1"/>
          <w:w w:val="95"/>
          <w:vertAlign w:val="baseline"/>
        </w:rPr>
        <w:t> </w:t>
      </w:r>
      <w:r>
        <w:rPr>
          <w:color w:val="231F20"/>
          <w:w w:val="95"/>
          <w:vertAlign w:val="baseline"/>
        </w:rPr>
        <w:t>in</w:t>
      </w:r>
      <w:r>
        <w:rPr>
          <w:color w:val="231F20"/>
          <w:spacing w:val="-50"/>
          <w:w w:val="95"/>
          <w:vertAlign w:val="baseline"/>
        </w:rPr>
        <w:t> </w:t>
      </w:r>
      <w:r>
        <w:rPr>
          <w:color w:val="231F20"/>
          <w:vertAlign w:val="baseline"/>
        </w:rPr>
        <w:t>viral</w:t>
      </w:r>
      <w:r>
        <w:rPr>
          <w:color w:val="231F20"/>
          <w:spacing w:val="-1"/>
          <w:vertAlign w:val="baseline"/>
        </w:rPr>
        <w:t> </w:t>
      </w:r>
      <w:r>
        <w:rPr>
          <w:color w:val="231F20"/>
          <w:vertAlign w:val="baseline"/>
        </w:rPr>
        <w:t>loads.</w:t>
      </w:r>
      <w:r>
        <w:rPr>
          <w:color w:val="231F20"/>
          <w:vertAlign w:val="superscript"/>
        </w:rPr>
        <w:t>101-102</w:t>
      </w:r>
    </w:p>
    <w:p>
      <w:pPr>
        <w:tabs>
          <w:tab w:pos="519" w:val="left" w:leader="none"/>
        </w:tabs>
        <w:spacing w:line="228" w:lineRule="auto" w:before="139"/>
        <w:ind w:left="520" w:right="796" w:hanging="361"/>
        <w:jc w:val="left"/>
        <w:rPr>
          <w:sz w:val="22"/>
        </w:rPr>
      </w:pPr>
      <w:r>
        <w:rPr>
          <w:color w:val="231F20"/>
          <w:sz w:val="22"/>
          <w:vertAlign w:val="superscript"/>
        </w:rPr>
        <w:t>1</w:t>
      </w:r>
      <w:r>
        <w:rPr>
          <w:color w:val="231F20"/>
          <w:sz w:val="22"/>
          <w:vertAlign w:val="baseline"/>
        </w:rPr>
        <w:tab/>
      </w:r>
      <w:hyperlink r:id="rId37">
        <w:r>
          <w:rPr>
            <w:color w:val="231F20"/>
            <w:sz w:val="22"/>
            <w:vertAlign w:val="baseline"/>
          </w:rPr>
          <w:t>HIV.gov</w:t>
        </w:r>
      </w:hyperlink>
      <w:r>
        <w:rPr>
          <w:color w:val="231F20"/>
          <w:sz w:val="22"/>
          <w:vertAlign w:val="baseline"/>
        </w:rPr>
        <w:t>.</w:t>
      </w:r>
      <w:r>
        <w:rPr>
          <w:color w:val="231F20"/>
          <w:spacing w:val="-7"/>
          <w:sz w:val="22"/>
          <w:vertAlign w:val="baseline"/>
        </w:rPr>
        <w:t> </w:t>
      </w:r>
      <w:r>
        <w:rPr>
          <w:color w:val="231F20"/>
          <w:sz w:val="22"/>
          <w:vertAlign w:val="baseline"/>
        </w:rPr>
        <w:t>(n.d.).</w:t>
      </w:r>
      <w:r>
        <w:rPr>
          <w:color w:val="231F20"/>
          <w:spacing w:val="-6"/>
          <w:sz w:val="22"/>
          <w:vertAlign w:val="baseline"/>
        </w:rPr>
        <w:t> </w:t>
      </w:r>
      <w:r>
        <w:rPr>
          <w:i/>
          <w:color w:val="231F20"/>
          <w:sz w:val="22"/>
          <w:vertAlign w:val="baseline"/>
        </w:rPr>
        <w:t>A</w:t>
      </w:r>
      <w:r>
        <w:rPr>
          <w:i/>
          <w:color w:val="231F20"/>
          <w:spacing w:val="-9"/>
          <w:sz w:val="22"/>
          <w:vertAlign w:val="baseline"/>
        </w:rPr>
        <w:t> </w:t>
      </w:r>
      <w:r>
        <w:rPr>
          <w:i/>
          <w:color w:val="231F20"/>
          <w:sz w:val="22"/>
          <w:vertAlign w:val="baseline"/>
        </w:rPr>
        <w:t>timeline</w:t>
      </w:r>
      <w:r>
        <w:rPr>
          <w:i/>
          <w:color w:val="231F20"/>
          <w:spacing w:val="-6"/>
          <w:sz w:val="22"/>
          <w:vertAlign w:val="baseline"/>
        </w:rPr>
        <w:t> </w:t>
      </w:r>
      <w:r>
        <w:rPr>
          <w:i/>
          <w:color w:val="231F20"/>
          <w:sz w:val="22"/>
          <w:vertAlign w:val="baseline"/>
        </w:rPr>
        <w:t>of</w:t>
      </w:r>
      <w:r>
        <w:rPr>
          <w:i/>
          <w:color w:val="231F20"/>
          <w:spacing w:val="-6"/>
          <w:sz w:val="22"/>
          <w:vertAlign w:val="baseline"/>
        </w:rPr>
        <w:t> </w:t>
      </w:r>
      <w:r>
        <w:rPr>
          <w:i/>
          <w:color w:val="231F20"/>
          <w:sz w:val="22"/>
          <w:vertAlign w:val="baseline"/>
        </w:rPr>
        <w:t>HIV</w:t>
      </w:r>
      <w:r>
        <w:rPr>
          <w:i/>
          <w:color w:val="231F20"/>
          <w:spacing w:val="-11"/>
          <w:sz w:val="22"/>
          <w:vertAlign w:val="baseline"/>
        </w:rPr>
        <w:t> </w:t>
      </w:r>
      <w:r>
        <w:rPr>
          <w:i/>
          <w:color w:val="231F20"/>
          <w:sz w:val="22"/>
          <w:vertAlign w:val="baseline"/>
        </w:rPr>
        <w:t>and</w:t>
      </w:r>
      <w:r>
        <w:rPr>
          <w:i/>
          <w:color w:val="231F20"/>
          <w:spacing w:val="-9"/>
          <w:sz w:val="22"/>
          <w:vertAlign w:val="baseline"/>
        </w:rPr>
        <w:t> </w:t>
      </w:r>
      <w:r>
        <w:rPr>
          <w:i/>
          <w:color w:val="231F20"/>
          <w:sz w:val="22"/>
          <w:vertAlign w:val="baseline"/>
        </w:rPr>
        <w:t>AIDS</w:t>
      </w:r>
      <w:r>
        <w:rPr>
          <w:color w:val="231F20"/>
          <w:sz w:val="22"/>
          <w:vertAlign w:val="baseline"/>
        </w:rPr>
        <w:t>.</w:t>
      </w:r>
      <w:r>
        <w:rPr>
          <w:color w:val="231F20"/>
          <w:spacing w:val="-6"/>
          <w:sz w:val="22"/>
          <w:vertAlign w:val="baseline"/>
        </w:rPr>
        <w:t> </w:t>
      </w:r>
      <w:hyperlink r:id="rId38">
        <w:r>
          <w:rPr>
            <w:color w:val="3953A4"/>
            <w:sz w:val="22"/>
            <w:u w:val="single" w:color="3953A4"/>
            <w:vertAlign w:val="baseline"/>
          </w:rPr>
          <w:t>https://</w:t>
        </w:r>
      </w:hyperlink>
      <w:r>
        <w:rPr>
          <w:color w:val="3953A4"/>
          <w:spacing w:val="-52"/>
          <w:sz w:val="22"/>
          <w:vertAlign w:val="baseline"/>
        </w:rPr>
        <w:t> </w:t>
      </w:r>
      <w:hyperlink r:id="rId38">
        <w:r>
          <w:rPr>
            <w:color w:val="3953A4"/>
            <w:sz w:val="22"/>
            <w:u w:val="single" w:color="3953A4"/>
            <w:vertAlign w:val="baseline"/>
          </w:rPr>
          <w:t>www.hiv.gov/hiv-basics/overview/history/hiv-and-</w:t>
        </w:r>
      </w:hyperlink>
      <w:r>
        <w:rPr>
          <w:color w:val="3953A4"/>
          <w:spacing w:val="1"/>
          <w:sz w:val="22"/>
          <w:vertAlign w:val="baseline"/>
        </w:rPr>
        <w:t> </w:t>
      </w:r>
      <w:hyperlink r:id="rId38">
        <w:r>
          <w:rPr>
            <w:color w:val="3953A4"/>
            <w:sz w:val="22"/>
            <w:u w:val="single" w:color="3953A4"/>
            <w:vertAlign w:val="baseline"/>
          </w:rPr>
          <w:t>aids-timeline</w:t>
        </w:r>
      </w:hyperlink>
    </w:p>
    <w:p>
      <w:pPr>
        <w:pStyle w:val="BodyText"/>
        <w:tabs>
          <w:tab w:pos="519" w:val="left" w:leader="none"/>
        </w:tabs>
        <w:spacing w:line="228" w:lineRule="auto" w:before="89"/>
        <w:ind w:left="520" w:right="811" w:hanging="360"/>
      </w:pPr>
      <w:r>
        <w:rPr>
          <w:color w:val="231F20"/>
          <w:vertAlign w:val="superscript"/>
        </w:rPr>
        <w:t>2</w:t>
      </w:r>
      <w:r>
        <w:rPr>
          <w:color w:val="231F20"/>
          <w:vertAlign w:val="baseline"/>
        </w:rPr>
        <w:tab/>
        <w:t>Centers for Disease Control and Prevention. (2019,</w:t>
      </w:r>
      <w:r>
        <w:rPr>
          <w:color w:val="231F20"/>
          <w:spacing w:val="1"/>
          <w:vertAlign w:val="baseline"/>
        </w:rPr>
        <w:t> </w:t>
      </w:r>
      <w:r>
        <w:rPr>
          <w:color w:val="231F20"/>
          <w:vertAlign w:val="baseline"/>
        </w:rPr>
        <w:t>October</w:t>
      </w:r>
      <w:r>
        <w:rPr>
          <w:color w:val="231F20"/>
          <w:spacing w:val="-8"/>
          <w:vertAlign w:val="baseline"/>
        </w:rPr>
        <w:t> </w:t>
      </w:r>
      <w:r>
        <w:rPr>
          <w:color w:val="231F20"/>
          <w:vertAlign w:val="baseline"/>
        </w:rPr>
        <w:t>17).</w:t>
      </w:r>
      <w:r>
        <w:rPr>
          <w:color w:val="231F20"/>
          <w:spacing w:val="-7"/>
          <w:vertAlign w:val="baseline"/>
        </w:rPr>
        <w:t> </w:t>
      </w:r>
      <w:r>
        <w:rPr>
          <w:i/>
          <w:color w:val="231F20"/>
          <w:vertAlign w:val="baseline"/>
        </w:rPr>
        <w:t>PrEP</w:t>
      </w:r>
      <w:r>
        <w:rPr>
          <w:color w:val="231F20"/>
          <w:vertAlign w:val="baseline"/>
        </w:rPr>
        <w:t>.</w:t>
      </w:r>
      <w:r>
        <w:rPr>
          <w:color w:val="231F20"/>
          <w:spacing w:val="-6"/>
          <w:vertAlign w:val="baseline"/>
        </w:rPr>
        <w:t> </w:t>
      </w:r>
      <w:hyperlink r:id="rId39">
        <w:r>
          <w:rPr>
            <w:color w:val="3953A4"/>
            <w:u w:val="single" w:color="3953A4"/>
            <w:vertAlign w:val="baseline"/>
          </w:rPr>
          <w:t>https://www.cdc.gov/hiv/basics/</w:t>
        </w:r>
      </w:hyperlink>
      <w:r>
        <w:rPr>
          <w:color w:val="3953A4"/>
          <w:spacing w:val="-52"/>
          <w:vertAlign w:val="baseline"/>
        </w:rPr>
        <w:t> </w:t>
      </w:r>
      <w:hyperlink r:id="rId39">
        <w:r>
          <w:rPr>
            <w:color w:val="3953A4"/>
            <w:u w:val="single" w:color="3953A4"/>
            <w:vertAlign w:val="baseline"/>
          </w:rPr>
          <w:t>prep.html</w:t>
        </w:r>
      </w:hyperlink>
    </w:p>
    <w:p>
      <w:pPr>
        <w:spacing w:after="0" w:line="228" w:lineRule="auto"/>
        <w:sectPr>
          <w:type w:val="continuous"/>
          <w:pgSz w:w="12240" w:h="15840"/>
          <w:pgMar w:header="0" w:footer="666" w:top="1500" w:bottom="0" w:left="560" w:right="0"/>
          <w:cols w:num="2" w:equalWidth="0">
            <w:col w:w="5216" w:space="544"/>
            <w:col w:w="5920"/>
          </w:cols>
        </w:sectPr>
      </w:pPr>
    </w:p>
    <w:p>
      <w:pPr>
        <w:pStyle w:val="BodyText"/>
        <w:rPr>
          <w:sz w:val="20"/>
        </w:rPr>
      </w:pPr>
    </w:p>
    <w:p>
      <w:pPr>
        <w:pStyle w:val="BodyText"/>
        <w:rPr>
          <w:sz w:val="20"/>
        </w:rPr>
      </w:pPr>
    </w:p>
    <w:p>
      <w:pPr>
        <w:pStyle w:val="BodyText"/>
        <w:rPr>
          <w:sz w:val="20"/>
        </w:rPr>
      </w:pPr>
    </w:p>
    <w:p>
      <w:pPr>
        <w:spacing w:before="241"/>
        <w:ind w:left="160" w:right="0" w:firstLine="0"/>
        <w:jc w:val="left"/>
        <w:rPr>
          <w:rFonts w:ascii="Arial Black"/>
          <w:sz w:val="35"/>
        </w:rPr>
      </w:pPr>
      <w:bookmarkStart w:name="Reference List" w:id="32"/>
      <w:bookmarkEnd w:id="32"/>
      <w:r>
        <w:rPr/>
      </w:r>
      <w:r>
        <w:rPr>
          <w:rFonts w:ascii="Arial Black"/>
          <w:color w:val="231F20"/>
          <w:sz w:val="35"/>
        </w:rPr>
        <w:t>Reference</w:t>
      </w:r>
      <w:r>
        <w:rPr>
          <w:rFonts w:ascii="Arial Black"/>
          <w:color w:val="231F20"/>
          <w:spacing w:val="-11"/>
          <w:sz w:val="35"/>
        </w:rPr>
        <w:t> </w:t>
      </w:r>
      <w:r>
        <w:rPr>
          <w:rFonts w:ascii="Arial Black"/>
          <w:color w:val="231F20"/>
          <w:sz w:val="35"/>
        </w:rPr>
        <w:t>List</w:t>
      </w:r>
    </w:p>
    <w:p>
      <w:pPr>
        <w:pStyle w:val="BodyText"/>
        <w:rPr>
          <w:rFonts w:ascii="Arial Black"/>
          <w:sz w:val="20"/>
        </w:rPr>
      </w:pPr>
    </w:p>
    <w:p>
      <w:pPr>
        <w:pStyle w:val="BodyText"/>
        <w:rPr>
          <w:rFonts w:ascii="Arial Black"/>
          <w:sz w:val="20"/>
        </w:rPr>
      </w:pPr>
    </w:p>
    <w:p>
      <w:pPr>
        <w:pStyle w:val="BodyText"/>
        <w:spacing w:before="13"/>
        <w:rPr>
          <w:rFonts w:ascii="Arial Black"/>
          <w:sz w:val="16"/>
        </w:rPr>
      </w:pPr>
    </w:p>
    <w:p>
      <w:pPr>
        <w:spacing w:after="0"/>
        <w:rPr>
          <w:rFonts w:ascii="Arial Black"/>
          <w:sz w:val="16"/>
        </w:rPr>
        <w:sectPr>
          <w:pgSz w:w="12240" w:h="15840"/>
          <w:pgMar w:header="0" w:footer="666" w:top="380" w:bottom="860" w:left="560" w:right="0"/>
        </w:sectPr>
      </w:pPr>
    </w:p>
    <w:p>
      <w:pPr>
        <w:pStyle w:val="BodyText"/>
        <w:tabs>
          <w:tab w:pos="519" w:val="left" w:leader="none"/>
        </w:tabs>
        <w:spacing w:line="228" w:lineRule="auto" w:before="101"/>
        <w:ind w:left="520" w:right="47" w:hanging="360"/>
      </w:pPr>
      <w:r>
        <w:rPr/>
        <w:pict>
          <v:rect style="position:absolute;margin-left:0pt;margin-top:116.329102pt;width:612pt;height:1pt;mso-position-horizontal-relative:page;mso-position-vertical-relative:page;z-index:-18149376" id="docshape67" filled="true" fillcolor="#ce372e" stroked="false">
            <v:fill type="solid"/>
            <w10:wrap type="none"/>
          </v:rect>
        </w:pict>
      </w:r>
      <w:r>
        <w:rPr>
          <w:color w:val="231F20"/>
          <w:vertAlign w:val="superscript"/>
        </w:rPr>
        <w:t>3</w:t>
      </w:r>
      <w:r>
        <w:rPr>
          <w:color w:val="231F20"/>
          <w:vertAlign w:val="baseline"/>
        </w:rPr>
        <w:tab/>
        <w:t>Centers for Disease Control and Prevention. (2019,</w:t>
      </w:r>
      <w:r>
        <w:rPr>
          <w:color w:val="231F20"/>
          <w:spacing w:val="1"/>
          <w:vertAlign w:val="baseline"/>
        </w:rPr>
        <w:t> </w:t>
      </w:r>
      <w:r>
        <w:rPr>
          <w:color w:val="231F20"/>
          <w:spacing w:val="-1"/>
          <w:vertAlign w:val="baseline"/>
        </w:rPr>
        <w:t>August 6). </w:t>
      </w:r>
      <w:r>
        <w:rPr>
          <w:i/>
          <w:color w:val="231F20"/>
          <w:spacing w:val="-1"/>
          <w:vertAlign w:val="baseline"/>
        </w:rPr>
        <w:t>PEP. </w:t>
      </w:r>
      <w:hyperlink r:id="rId40">
        <w:r>
          <w:rPr>
            <w:color w:val="3953A4"/>
            <w:spacing w:val="-1"/>
            <w:u w:val="single" w:color="3953A4"/>
            <w:vertAlign w:val="baseline"/>
          </w:rPr>
          <w:t>https://www.cdc.gov/hiv/basics/pep.</w:t>
        </w:r>
      </w:hyperlink>
      <w:r>
        <w:rPr>
          <w:color w:val="3953A4"/>
          <w:spacing w:val="-52"/>
          <w:vertAlign w:val="baseline"/>
        </w:rPr>
        <w:t> </w:t>
      </w:r>
      <w:hyperlink r:id="rId40">
        <w:r>
          <w:rPr>
            <w:color w:val="3953A4"/>
            <w:u w:val="single" w:color="3953A4"/>
            <w:vertAlign w:val="baseline"/>
          </w:rPr>
          <w:t>html</w:t>
        </w:r>
      </w:hyperlink>
    </w:p>
    <w:p>
      <w:pPr>
        <w:pStyle w:val="BodyText"/>
        <w:tabs>
          <w:tab w:pos="519" w:val="left" w:leader="none"/>
        </w:tabs>
        <w:spacing w:line="246" w:lineRule="exact" w:before="79"/>
        <w:ind w:left="160"/>
      </w:pPr>
      <w:r>
        <w:rPr>
          <w:color w:val="231F20"/>
          <w:vertAlign w:val="superscript"/>
        </w:rPr>
        <w:t>4</w:t>
      </w:r>
      <w:r>
        <w:rPr>
          <w:color w:val="231F20"/>
          <w:vertAlign w:val="baseline"/>
        </w:rPr>
        <w:tab/>
      </w:r>
      <w:r>
        <w:rPr>
          <w:color w:val="231F20"/>
          <w:w w:val="95"/>
          <w:vertAlign w:val="baseline"/>
        </w:rPr>
        <w:t>Fauci,</w:t>
      </w:r>
      <w:r>
        <w:rPr>
          <w:color w:val="231F20"/>
          <w:spacing w:val="3"/>
          <w:w w:val="95"/>
          <w:vertAlign w:val="baseline"/>
        </w:rPr>
        <w:t> </w:t>
      </w:r>
      <w:r>
        <w:rPr>
          <w:color w:val="231F20"/>
          <w:w w:val="95"/>
          <w:vertAlign w:val="baseline"/>
        </w:rPr>
        <w:t>A.</w:t>
      </w:r>
      <w:r>
        <w:rPr>
          <w:color w:val="231F20"/>
          <w:spacing w:val="20"/>
          <w:w w:val="95"/>
          <w:vertAlign w:val="baseline"/>
        </w:rPr>
        <w:t> </w:t>
      </w:r>
      <w:r>
        <w:rPr>
          <w:color w:val="231F20"/>
          <w:w w:val="95"/>
          <w:vertAlign w:val="baseline"/>
        </w:rPr>
        <w:t>S.,</w:t>
      </w:r>
      <w:r>
        <w:rPr>
          <w:color w:val="231F20"/>
          <w:spacing w:val="20"/>
          <w:w w:val="95"/>
          <w:vertAlign w:val="baseline"/>
        </w:rPr>
        <w:t> </w:t>
      </w:r>
      <w:r>
        <w:rPr>
          <w:color w:val="231F20"/>
          <w:w w:val="95"/>
          <w:vertAlign w:val="baseline"/>
        </w:rPr>
        <w:t>Redfield,</w:t>
      </w:r>
      <w:r>
        <w:rPr>
          <w:color w:val="231F20"/>
          <w:spacing w:val="21"/>
          <w:w w:val="95"/>
          <w:vertAlign w:val="baseline"/>
        </w:rPr>
        <w:t> </w:t>
      </w:r>
      <w:r>
        <w:rPr>
          <w:color w:val="231F20"/>
          <w:w w:val="95"/>
          <w:vertAlign w:val="baseline"/>
        </w:rPr>
        <w:t>R.</w:t>
      </w:r>
      <w:r>
        <w:rPr>
          <w:color w:val="231F20"/>
          <w:spacing w:val="22"/>
          <w:w w:val="95"/>
          <w:vertAlign w:val="baseline"/>
        </w:rPr>
        <w:t> </w:t>
      </w:r>
      <w:r>
        <w:rPr>
          <w:color w:val="231F20"/>
          <w:w w:val="95"/>
          <w:vertAlign w:val="baseline"/>
        </w:rPr>
        <w:t>R.,</w:t>
      </w:r>
      <w:r>
        <w:rPr>
          <w:color w:val="231F20"/>
          <w:spacing w:val="21"/>
          <w:w w:val="95"/>
          <w:vertAlign w:val="baseline"/>
        </w:rPr>
        <w:t> </w:t>
      </w:r>
      <w:r>
        <w:rPr>
          <w:color w:val="231F20"/>
          <w:w w:val="95"/>
          <w:vertAlign w:val="baseline"/>
        </w:rPr>
        <w:t>Sigounas,</w:t>
      </w:r>
      <w:r>
        <w:rPr>
          <w:color w:val="231F20"/>
          <w:spacing w:val="20"/>
          <w:w w:val="95"/>
          <w:vertAlign w:val="baseline"/>
        </w:rPr>
        <w:t> </w:t>
      </w:r>
      <w:r>
        <w:rPr>
          <w:color w:val="231F20"/>
          <w:w w:val="95"/>
          <w:vertAlign w:val="baseline"/>
        </w:rPr>
        <w:t>G.,</w:t>
      </w:r>
      <w:r>
        <w:rPr>
          <w:color w:val="231F20"/>
          <w:spacing w:val="14"/>
          <w:w w:val="95"/>
          <w:vertAlign w:val="baseline"/>
        </w:rPr>
        <w:t> </w:t>
      </w:r>
      <w:r>
        <w:rPr>
          <w:color w:val="231F20"/>
          <w:w w:val="95"/>
          <w:vertAlign w:val="baseline"/>
        </w:rPr>
        <w:t>Weahkee,</w:t>
      </w:r>
    </w:p>
    <w:p>
      <w:pPr>
        <w:spacing w:line="228" w:lineRule="auto" w:before="4"/>
        <w:ind w:left="520" w:right="177" w:firstLine="0"/>
        <w:jc w:val="left"/>
        <w:rPr>
          <w:sz w:val="22"/>
        </w:rPr>
      </w:pPr>
      <w:r>
        <w:rPr>
          <w:color w:val="231F20"/>
          <w:sz w:val="22"/>
        </w:rPr>
        <w:t>M. D., &amp; Giroir, B. P. (2019). Ending the HIV</w:t>
      </w:r>
      <w:r>
        <w:rPr>
          <w:color w:val="231F20"/>
          <w:spacing w:val="1"/>
          <w:sz w:val="22"/>
        </w:rPr>
        <w:t> </w:t>
      </w:r>
      <w:r>
        <w:rPr>
          <w:color w:val="231F20"/>
          <w:spacing w:val="-1"/>
          <w:sz w:val="22"/>
        </w:rPr>
        <w:t>Epidemic: A plan </w:t>
      </w:r>
      <w:r>
        <w:rPr>
          <w:color w:val="231F20"/>
          <w:sz w:val="22"/>
        </w:rPr>
        <w:t>for the United States. </w:t>
      </w:r>
      <w:r>
        <w:rPr>
          <w:i/>
          <w:color w:val="231F20"/>
          <w:sz w:val="22"/>
        </w:rPr>
        <w:t>Journal of</w:t>
      </w:r>
      <w:r>
        <w:rPr>
          <w:i/>
          <w:color w:val="231F20"/>
          <w:spacing w:val="1"/>
          <w:sz w:val="22"/>
        </w:rPr>
        <w:t> </w:t>
      </w:r>
      <w:r>
        <w:rPr>
          <w:i/>
          <w:color w:val="231F20"/>
          <w:sz w:val="22"/>
        </w:rPr>
        <w:t>the</w:t>
      </w:r>
      <w:r>
        <w:rPr>
          <w:i/>
          <w:color w:val="231F20"/>
          <w:spacing w:val="-7"/>
          <w:sz w:val="22"/>
        </w:rPr>
        <w:t> </w:t>
      </w:r>
      <w:r>
        <w:rPr>
          <w:i/>
          <w:color w:val="231F20"/>
          <w:sz w:val="22"/>
        </w:rPr>
        <w:t>American</w:t>
      </w:r>
      <w:r>
        <w:rPr>
          <w:i/>
          <w:color w:val="231F20"/>
          <w:spacing w:val="-3"/>
          <w:sz w:val="22"/>
        </w:rPr>
        <w:t> </w:t>
      </w:r>
      <w:r>
        <w:rPr>
          <w:i/>
          <w:color w:val="231F20"/>
          <w:sz w:val="22"/>
        </w:rPr>
        <w:t>Medical</w:t>
      </w:r>
      <w:r>
        <w:rPr>
          <w:i/>
          <w:color w:val="231F20"/>
          <w:spacing w:val="-7"/>
          <w:sz w:val="22"/>
        </w:rPr>
        <w:t> </w:t>
      </w:r>
      <w:r>
        <w:rPr>
          <w:i/>
          <w:color w:val="231F20"/>
          <w:sz w:val="22"/>
        </w:rPr>
        <w:t>Association</w:t>
      </w:r>
      <w:r>
        <w:rPr>
          <w:i/>
          <w:color w:val="231F20"/>
          <w:spacing w:val="-5"/>
          <w:sz w:val="22"/>
        </w:rPr>
        <w:t> </w:t>
      </w:r>
      <w:r>
        <w:rPr>
          <w:color w:val="231F20"/>
          <w:sz w:val="22"/>
        </w:rPr>
        <w:t>(</w:t>
      </w:r>
      <w:r>
        <w:rPr>
          <w:i/>
          <w:color w:val="231F20"/>
          <w:sz w:val="22"/>
        </w:rPr>
        <w:t>JAMA),</w:t>
      </w:r>
      <w:r>
        <w:rPr>
          <w:i/>
          <w:color w:val="231F20"/>
          <w:spacing w:val="-3"/>
          <w:sz w:val="22"/>
        </w:rPr>
        <w:t> </w:t>
      </w:r>
      <w:r>
        <w:rPr>
          <w:i/>
          <w:color w:val="231F20"/>
          <w:sz w:val="22"/>
        </w:rPr>
        <w:t>321</w:t>
      </w:r>
      <w:r>
        <w:rPr>
          <w:color w:val="231F20"/>
          <w:sz w:val="22"/>
        </w:rPr>
        <w:t>(9),</w:t>
      </w:r>
      <w:r>
        <w:rPr>
          <w:color w:val="231F20"/>
          <w:spacing w:val="-52"/>
          <w:sz w:val="22"/>
        </w:rPr>
        <w:t> </w:t>
      </w:r>
      <w:r>
        <w:rPr>
          <w:color w:val="231F20"/>
          <w:sz w:val="22"/>
        </w:rPr>
        <w:t>844-845.</w:t>
      </w:r>
      <w:r>
        <w:rPr>
          <w:color w:val="3953A4"/>
          <w:spacing w:val="-2"/>
          <w:sz w:val="22"/>
        </w:rPr>
        <w:t> </w:t>
      </w:r>
      <w:hyperlink r:id="rId41">
        <w:r>
          <w:rPr>
            <w:color w:val="3953A4"/>
            <w:sz w:val="22"/>
            <w:u w:val="single" w:color="3953A4"/>
          </w:rPr>
          <w:t>https://doi.org/10.1001/jama.2019.1343</w:t>
        </w:r>
      </w:hyperlink>
    </w:p>
    <w:p>
      <w:pPr>
        <w:tabs>
          <w:tab w:pos="519" w:val="left" w:leader="none"/>
        </w:tabs>
        <w:spacing w:line="228" w:lineRule="auto" w:before="88"/>
        <w:ind w:left="520" w:right="82" w:hanging="360"/>
        <w:jc w:val="left"/>
        <w:rPr>
          <w:sz w:val="22"/>
        </w:rPr>
      </w:pPr>
      <w:r>
        <w:rPr>
          <w:color w:val="231F20"/>
          <w:sz w:val="22"/>
          <w:vertAlign w:val="superscript"/>
        </w:rPr>
        <w:t>5</w:t>
      </w:r>
      <w:r>
        <w:rPr>
          <w:color w:val="231F20"/>
          <w:sz w:val="22"/>
          <w:vertAlign w:val="baseline"/>
        </w:rPr>
        <w:tab/>
      </w:r>
      <w:hyperlink r:id="rId37">
        <w:r>
          <w:rPr>
            <w:color w:val="231F20"/>
            <w:sz w:val="22"/>
            <w:vertAlign w:val="baseline"/>
          </w:rPr>
          <w:t>HIV.gov</w:t>
        </w:r>
      </w:hyperlink>
      <w:r>
        <w:rPr>
          <w:color w:val="231F20"/>
          <w:sz w:val="22"/>
          <w:vertAlign w:val="baseline"/>
        </w:rPr>
        <w:t>.</w:t>
      </w:r>
      <w:r>
        <w:rPr>
          <w:color w:val="231F20"/>
          <w:spacing w:val="-8"/>
          <w:sz w:val="22"/>
          <w:vertAlign w:val="baseline"/>
        </w:rPr>
        <w:t> </w:t>
      </w:r>
      <w:r>
        <w:rPr>
          <w:color w:val="231F20"/>
          <w:sz w:val="22"/>
          <w:vertAlign w:val="baseline"/>
        </w:rPr>
        <w:t>(2020,</w:t>
      </w:r>
      <w:r>
        <w:rPr>
          <w:color w:val="231F20"/>
          <w:spacing w:val="-8"/>
          <w:sz w:val="22"/>
          <w:vertAlign w:val="baseline"/>
        </w:rPr>
        <w:t> </w:t>
      </w:r>
      <w:r>
        <w:rPr>
          <w:color w:val="231F20"/>
          <w:sz w:val="22"/>
          <w:vertAlign w:val="baseline"/>
        </w:rPr>
        <w:t>January</w:t>
      </w:r>
      <w:r>
        <w:rPr>
          <w:color w:val="231F20"/>
          <w:spacing w:val="-8"/>
          <w:sz w:val="22"/>
          <w:vertAlign w:val="baseline"/>
        </w:rPr>
        <w:t> </w:t>
      </w:r>
      <w:r>
        <w:rPr>
          <w:color w:val="231F20"/>
          <w:sz w:val="22"/>
          <w:vertAlign w:val="baseline"/>
        </w:rPr>
        <w:t>16).</w:t>
      </w:r>
      <w:r>
        <w:rPr>
          <w:color w:val="231F20"/>
          <w:spacing w:val="-7"/>
          <w:sz w:val="22"/>
          <w:vertAlign w:val="baseline"/>
        </w:rPr>
        <w:t> </w:t>
      </w:r>
      <w:r>
        <w:rPr>
          <w:i/>
          <w:color w:val="231F20"/>
          <w:sz w:val="22"/>
          <w:vertAlign w:val="baseline"/>
        </w:rPr>
        <w:t>HIV</w:t>
      </w:r>
      <w:r>
        <w:rPr>
          <w:i/>
          <w:color w:val="231F20"/>
          <w:spacing w:val="-12"/>
          <w:sz w:val="22"/>
          <w:vertAlign w:val="baseline"/>
        </w:rPr>
        <w:t> </w:t>
      </w:r>
      <w:r>
        <w:rPr>
          <w:i/>
          <w:color w:val="231F20"/>
          <w:sz w:val="22"/>
          <w:vertAlign w:val="baseline"/>
        </w:rPr>
        <w:t>basics</w:t>
      </w:r>
      <w:r>
        <w:rPr>
          <w:i/>
          <w:color w:val="231F20"/>
          <w:spacing w:val="-8"/>
          <w:sz w:val="22"/>
          <w:vertAlign w:val="baseline"/>
        </w:rPr>
        <w:t> </w:t>
      </w:r>
      <w:r>
        <w:rPr>
          <w:i/>
          <w:color w:val="231F20"/>
          <w:sz w:val="22"/>
          <w:vertAlign w:val="baseline"/>
        </w:rPr>
        <w:t>-</w:t>
      </w:r>
      <w:r>
        <w:rPr>
          <w:i/>
          <w:color w:val="231F20"/>
          <w:spacing w:val="-7"/>
          <w:sz w:val="22"/>
          <w:vertAlign w:val="baseline"/>
        </w:rPr>
        <w:t> </w:t>
      </w:r>
      <w:r>
        <w:rPr>
          <w:i/>
          <w:color w:val="231F20"/>
          <w:sz w:val="22"/>
          <w:vertAlign w:val="baseline"/>
        </w:rPr>
        <w:t>overview:</w:t>
      </w:r>
      <w:r>
        <w:rPr>
          <w:i/>
          <w:color w:val="231F20"/>
          <w:spacing w:val="-52"/>
          <w:sz w:val="22"/>
          <w:vertAlign w:val="baseline"/>
        </w:rPr>
        <w:t> </w:t>
      </w:r>
      <w:r>
        <w:rPr>
          <w:i/>
          <w:color w:val="231F20"/>
          <w:sz w:val="22"/>
          <w:vertAlign w:val="baseline"/>
        </w:rPr>
        <w:t>Data &amp; trends: U.S. statistics</w:t>
      </w:r>
      <w:r>
        <w:rPr>
          <w:color w:val="231F20"/>
          <w:sz w:val="22"/>
          <w:vertAlign w:val="baseline"/>
        </w:rPr>
        <w:t>. </w:t>
      </w:r>
      <w:hyperlink r:id="rId42">
        <w:r>
          <w:rPr>
            <w:color w:val="3953A4"/>
            <w:sz w:val="22"/>
            <w:u w:val="single" w:color="3953A4"/>
            <w:vertAlign w:val="baseline"/>
          </w:rPr>
          <w:t>https://www.hiv.gov/</w:t>
        </w:r>
      </w:hyperlink>
      <w:r>
        <w:rPr>
          <w:color w:val="3953A4"/>
          <w:spacing w:val="-52"/>
          <w:sz w:val="22"/>
          <w:vertAlign w:val="baseline"/>
        </w:rPr>
        <w:t> </w:t>
      </w:r>
      <w:hyperlink r:id="rId42">
        <w:r>
          <w:rPr>
            <w:color w:val="3953A4"/>
            <w:sz w:val="22"/>
            <w:u w:val="single" w:color="3953A4"/>
            <w:vertAlign w:val="baseline"/>
          </w:rPr>
          <w:t>hiv-basics/overview/data-and-trends/statistics</w:t>
        </w:r>
      </w:hyperlink>
    </w:p>
    <w:p>
      <w:pPr>
        <w:tabs>
          <w:tab w:pos="519" w:val="left" w:leader="none"/>
        </w:tabs>
        <w:spacing w:line="228" w:lineRule="auto" w:before="89"/>
        <w:ind w:left="520" w:right="245" w:hanging="361"/>
        <w:jc w:val="left"/>
        <w:rPr>
          <w:sz w:val="22"/>
        </w:rPr>
      </w:pPr>
      <w:r>
        <w:rPr>
          <w:color w:val="231F20"/>
          <w:sz w:val="22"/>
          <w:vertAlign w:val="superscript"/>
        </w:rPr>
        <w:t>6</w:t>
      </w:r>
      <w:r>
        <w:rPr>
          <w:color w:val="231F20"/>
          <w:sz w:val="22"/>
          <w:vertAlign w:val="baseline"/>
        </w:rPr>
        <w:tab/>
      </w:r>
      <w:hyperlink r:id="rId37">
        <w:r>
          <w:rPr>
            <w:color w:val="231F20"/>
            <w:sz w:val="22"/>
            <w:vertAlign w:val="baseline"/>
          </w:rPr>
          <w:t>HIV.gov</w:t>
        </w:r>
      </w:hyperlink>
      <w:r>
        <w:rPr>
          <w:color w:val="231F20"/>
          <w:sz w:val="22"/>
          <w:vertAlign w:val="baseline"/>
        </w:rPr>
        <w:t>.</w:t>
      </w:r>
      <w:r>
        <w:rPr>
          <w:color w:val="231F20"/>
          <w:spacing w:val="-7"/>
          <w:sz w:val="22"/>
          <w:vertAlign w:val="baseline"/>
        </w:rPr>
        <w:t> </w:t>
      </w:r>
      <w:r>
        <w:rPr>
          <w:color w:val="231F20"/>
          <w:sz w:val="22"/>
          <w:vertAlign w:val="baseline"/>
        </w:rPr>
        <w:t>(2019,</w:t>
      </w:r>
      <w:r>
        <w:rPr>
          <w:color w:val="231F20"/>
          <w:spacing w:val="-7"/>
          <w:sz w:val="22"/>
          <w:vertAlign w:val="baseline"/>
        </w:rPr>
        <w:t> </w:t>
      </w:r>
      <w:r>
        <w:rPr>
          <w:color w:val="231F20"/>
          <w:sz w:val="22"/>
          <w:vertAlign w:val="baseline"/>
        </w:rPr>
        <w:t>September</w:t>
      </w:r>
      <w:r>
        <w:rPr>
          <w:color w:val="231F20"/>
          <w:spacing w:val="-8"/>
          <w:sz w:val="22"/>
          <w:vertAlign w:val="baseline"/>
        </w:rPr>
        <w:t> </w:t>
      </w:r>
      <w:r>
        <w:rPr>
          <w:color w:val="231F20"/>
          <w:sz w:val="22"/>
          <w:vertAlign w:val="baseline"/>
        </w:rPr>
        <w:t>3).</w:t>
      </w:r>
      <w:r>
        <w:rPr>
          <w:color w:val="231F20"/>
          <w:spacing w:val="-7"/>
          <w:sz w:val="22"/>
          <w:vertAlign w:val="baseline"/>
        </w:rPr>
        <w:t> </w:t>
      </w:r>
      <w:r>
        <w:rPr>
          <w:i/>
          <w:color w:val="231F20"/>
          <w:sz w:val="22"/>
          <w:vertAlign w:val="baseline"/>
        </w:rPr>
        <w:t>What</w:t>
      </w:r>
      <w:r>
        <w:rPr>
          <w:i/>
          <w:color w:val="231F20"/>
          <w:spacing w:val="-7"/>
          <w:sz w:val="22"/>
          <w:vertAlign w:val="baseline"/>
        </w:rPr>
        <w:t> </w:t>
      </w:r>
      <w:r>
        <w:rPr>
          <w:i/>
          <w:color w:val="231F20"/>
          <w:sz w:val="22"/>
          <w:vertAlign w:val="baseline"/>
        </w:rPr>
        <w:t>is</w:t>
      </w:r>
      <w:r>
        <w:rPr>
          <w:i/>
          <w:color w:val="231F20"/>
          <w:spacing w:val="-7"/>
          <w:sz w:val="22"/>
          <w:vertAlign w:val="baseline"/>
        </w:rPr>
        <w:t> </w:t>
      </w:r>
      <w:r>
        <w:rPr>
          <w:i/>
          <w:color w:val="231F20"/>
          <w:sz w:val="22"/>
          <w:vertAlign w:val="baseline"/>
        </w:rPr>
        <w:t>Ending</w:t>
      </w:r>
      <w:r>
        <w:rPr>
          <w:i/>
          <w:color w:val="231F20"/>
          <w:spacing w:val="-7"/>
          <w:sz w:val="22"/>
          <w:vertAlign w:val="baseline"/>
        </w:rPr>
        <w:t> </w:t>
      </w:r>
      <w:r>
        <w:rPr>
          <w:i/>
          <w:color w:val="231F20"/>
          <w:sz w:val="22"/>
          <w:vertAlign w:val="baseline"/>
        </w:rPr>
        <w:t>the</w:t>
      </w:r>
      <w:r>
        <w:rPr>
          <w:i/>
          <w:color w:val="231F20"/>
          <w:spacing w:val="-52"/>
          <w:sz w:val="22"/>
          <w:vertAlign w:val="baseline"/>
        </w:rPr>
        <w:t> </w:t>
      </w:r>
      <w:r>
        <w:rPr>
          <w:i/>
          <w:color w:val="231F20"/>
          <w:sz w:val="22"/>
          <w:vertAlign w:val="baseline"/>
        </w:rPr>
        <w:t>HIV Epidemic: A plan for America? </w:t>
      </w:r>
      <w:hyperlink r:id="rId43">
        <w:r>
          <w:rPr>
            <w:color w:val="3953A4"/>
            <w:sz w:val="22"/>
            <w:u w:val="single" w:color="3953A4"/>
            <w:vertAlign w:val="baseline"/>
          </w:rPr>
          <w:t>https://www.</w:t>
        </w:r>
      </w:hyperlink>
      <w:r>
        <w:rPr>
          <w:color w:val="3953A4"/>
          <w:spacing w:val="1"/>
          <w:sz w:val="22"/>
          <w:vertAlign w:val="baseline"/>
        </w:rPr>
        <w:t> </w:t>
      </w:r>
      <w:hyperlink r:id="rId43">
        <w:r>
          <w:rPr>
            <w:color w:val="3953A4"/>
            <w:spacing w:val="-1"/>
            <w:sz w:val="22"/>
            <w:u w:val="single" w:color="3953A4"/>
            <w:vertAlign w:val="baseline"/>
          </w:rPr>
          <w:t>hiv.gov/federal-response/ending-the-hiv-epidemic/</w:t>
        </w:r>
      </w:hyperlink>
      <w:r>
        <w:rPr>
          <w:color w:val="3953A4"/>
          <w:spacing w:val="-52"/>
          <w:sz w:val="22"/>
          <w:vertAlign w:val="baseline"/>
        </w:rPr>
        <w:t> </w:t>
      </w:r>
      <w:hyperlink r:id="rId43">
        <w:r>
          <w:rPr>
            <w:color w:val="3953A4"/>
            <w:sz w:val="22"/>
            <w:u w:val="single" w:color="3953A4"/>
            <w:vertAlign w:val="baseline"/>
          </w:rPr>
          <w:t>overview</w:t>
        </w:r>
      </w:hyperlink>
    </w:p>
    <w:p>
      <w:pPr>
        <w:pStyle w:val="BodyText"/>
        <w:tabs>
          <w:tab w:pos="519" w:val="left" w:leader="none"/>
        </w:tabs>
        <w:spacing w:line="228" w:lineRule="auto" w:before="89"/>
        <w:ind w:left="519" w:right="38" w:hanging="360"/>
      </w:pPr>
      <w:r>
        <w:rPr>
          <w:color w:val="231F20"/>
          <w:vertAlign w:val="superscript"/>
        </w:rPr>
        <w:t>7</w:t>
      </w:r>
      <w:r>
        <w:rPr>
          <w:color w:val="231F20"/>
          <w:vertAlign w:val="baseline"/>
        </w:rPr>
        <w:tab/>
        <w:t>Remien,</w:t>
      </w:r>
      <w:r>
        <w:rPr>
          <w:color w:val="231F20"/>
          <w:spacing w:val="5"/>
          <w:vertAlign w:val="baseline"/>
        </w:rPr>
        <w:t> </w:t>
      </w:r>
      <w:r>
        <w:rPr>
          <w:color w:val="231F20"/>
          <w:vertAlign w:val="baseline"/>
        </w:rPr>
        <w:t>R.</w:t>
      </w:r>
      <w:r>
        <w:rPr>
          <w:color w:val="231F20"/>
          <w:spacing w:val="5"/>
          <w:vertAlign w:val="baseline"/>
        </w:rPr>
        <w:t> </w:t>
      </w:r>
      <w:r>
        <w:rPr>
          <w:color w:val="231F20"/>
          <w:vertAlign w:val="baseline"/>
        </w:rPr>
        <w:t>H.</w:t>
      </w:r>
      <w:r>
        <w:rPr>
          <w:color w:val="231F20"/>
          <w:spacing w:val="4"/>
          <w:vertAlign w:val="baseline"/>
        </w:rPr>
        <w:t> </w:t>
      </w:r>
      <w:r>
        <w:rPr>
          <w:color w:val="231F20"/>
          <w:vertAlign w:val="baseline"/>
        </w:rPr>
        <w:t>(2019,</w:t>
      </w:r>
      <w:r>
        <w:rPr>
          <w:color w:val="231F20"/>
          <w:spacing w:val="6"/>
          <w:vertAlign w:val="baseline"/>
        </w:rPr>
        <w:t> </w:t>
      </w:r>
      <w:r>
        <w:rPr>
          <w:color w:val="231F20"/>
          <w:vertAlign w:val="baseline"/>
        </w:rPr>
        <w:t>January). The</w:t>
      </w:r>
      <w:r>
        <w:rPr>
          <w:color w:val="231F20"/>
          <w:spacing w:val="5"/>
          <w:vertAlign w:val="baseline"/>
        </w:rPr>
        <w:t> </w:t>
      </w:r>
      <w:r>
        <w:rPr>
          <w:color w:val="231F20"/>
          <w:vertAlign w:val="baseline"/>
        </w:rPr>
        <w:t>impact</w:t>
      </w:r>
      <w:r>
        <w:rPr>
          <w:color w:val="231F20"/>
          <w:spacing w:val="5"/>
          <w:vertAlign w:val="baseline"/>
        </w:rPr>
        <w:t> </w:t>
      </w:r>
      <w:r>
        <w:rPr>
          <w:color w:val="231F20"/>
          <w:vertAlign w:val="baseline"/>
        </w:rPr>
        <w:t>of</w:t>
      </w:r>
      <w:r>
        <w:rPr>
          <w:color w:val="231F20"/>
          <w:spacing w:val="1"/>
          <w:vertAlign w:val="baseline"/>
        </w:rPr>
        <w:t> </w:t>
      </w:r>
      <w:r>
        <w:rPr>
          <w:color w:val="231F20"/>
          <w:vertAlign w:val="baseline"/>
        </w:rPr>
        <w:t>mental</w:t>
      </w:r>
      <w:r>
        <w:rPr>
          <w:color w:val="231F20"/>
          <w:spacing w:val="1"/>
          <w:vertAlign w:val="baseline"/>
        </w:rPr>
        <w:t> </w:t>
      </w:r>
      <w:r>
        <w:rPr>
          <w:color w:val="231F20"/>
          <w:vertAlign w:val="baseline"/>
        </w:rPr>
        <w:t>health</w:t>
      </w:r>
      <w:r>
        <w:rPr>
          <w:color w:val="231F20"/>
          <w:spacing w:val="2"/>
          <w:vertAlign w:val="baseline"/>
        </w:rPr>
        <w:t> </w:t>
      </w:r>
      <w:r>
        <w:rPr>
          <w:color w:val="231F20"/>
          <w:vertAlign w:val="baseline"/>
        </w:rPr>
        <w:t>across</w:t>
      </w:r>
      <w:r>
        <w:rPr>
          <w:color w:val="231F20"/>
          <w:spacing w:val="2"/>
          <w:vertAlign w:val="baseline"/>
        </w:rPr>
        <w:t> </w:t>
      </w:r>
      <w:r>
        <w:rPr>
          <w:color w:val="231F20"/>
          <w:vertAlign w:val="baseline"/>
        </w:rPr>
        <w:t>the</w:t>
      </w:r>
      <w:r>
        <w:rPr>
          <w:color w:val="231F20"/>
          <w:spacing w:val="2"/>
          <w:vertAlign w:val="baseline"/>
        </w:rPr>
        <w:t> </w:t>
      </w:r>
      <w:r>
        <w:rPr>
          <w:color w:val="231F20"/>
          <w:vertAlign w:val="baseline"/>
        </w:rPr>
        <w:t>HIV</w:t>
      </w:r>
      <w:r>
        <w:rPr>
          <w:color w:val="231F20"/>
          <w:spacing w:val="-3"/>
          <w:vertAlign w:val="baseline"/>
        </w:rPr>
        <w:t> </w:t>
      </w:r>
      <w:r>
        <w:rPr>
          <w:color w:val="231F20"/>
          <w:vertAlign w:val="baseline"/>
        </w:rPr>
        <w:t>care</w:t>
      </w:r>
      <w:r>
        <w:rPr>
          <w:color w:val="231F20"/>
          <w:spacing w:val="2"/>
          <w:vertAlign w:val="baseline"/>
        </w:rPr>
        <w:t> </w:t>
      </w:r>
      <w:r>
        <w:rPr>
          <w:color w:val="231F20"/>
          <w:vertAlign w:val="baseline"/>
        </w:rPr>
        <w:t>continuum:</w:t>
      </w:r>
      <w:r>
        <w:rPr>
          <w:color w:val="231F20"/>
          <w:spacing w:val="1"/>
          <w:vertAlign w:val="baseline"/>
        </w:rPr>
        <w:t> </w:t>
      </w:r>
      <w:r>
        <w:rPr>
          <w:color w:val="231F20"/>
          <w:vertAlign w:val="baseline"/>
        </w:rPr>
        <w:t>Mental</w:t>
      </w:r>
      <w:r>
        <w:rPr>
          <w:color w:val="231F20"/>
          <w:spacing w:val="8"/>
          <w:vertAlign w:val="baseline"/>
        </w:rPr>
        <w:t> </w:t>
      </w:r>
      <w:r>
        <w:rPr>
          <w:color w:val="231F20"/>
          <w:vertAlign w:val="baseline"/>
        </w:rPr>
        <w:t>health</w:t>
      </w:r>
      <w:r>
        <w:rPr>
          <w:color w:val="231F20"/>
          <w:spacing w:val="10"/>
          <w:vertAlign w:val="baseline"/>
        </w:rPr>
        <w:t> </w:t>
      </w:r>
      <w:r>
        <w:rPr>
          <w:color w:val="231F20"/>
          <w:vertAlign w:val="baseline"/>
        </w:rPr>
        <w:t>treatment</w:t>
      </w:r>
      <w:r>
        <w:rPr>
          <w:color w:val="231F20"/>
          <w:spacing w:val="9"/>
          <w:vertAlign w:val="baseline"/>
        </w:rPr>
        <w:t> </w:t>
      </w:r>
      <w:r>
        <w:rPr>
          <w:color w:val="231F20"/>
          <w:vertAlign w:val="baseline"/>
        </w:rPr>
        <w:t>gaps</w:t>
      </w:r>
      <w:r>
        <w:rPr>
          <w:color w:val="231F20"/>
          <w:spacing w:val="10"/>
          <w:vertAlign w:val="baseline"/>
        </w:rPr>
        <w:t> </w:t>
      </w:r>
      <w:r>
        <w:rPr>
          <w:color w:val="231F20"/>
          <w:vertAlign w:val="baseline"/>
        </w:rPr>
        <w:t>are</w:t>
      </w:r>
      <w:r>
        <w:rPr>
          <w:color w:val="231F20"/>
          <w:spacing w:val="9"/>
          <w:vertAlign w:val="baseline"/>
        </w:rPr>
        <w:t> </w:t>
      </w:r>
      <w:r>
        <w:rPr>
          <w:color w:val="231F20"/>
          <w:vertAlign w:val="baseline"/>
        </w:rPr>
        <w:t>drivers</w:t>
      </w:r>
      <w:r>
        <w:rPr>
          <w:color w:val="231F20"/>
          <w:spacing w:val="10"/>
          <w:vertAlign w:val="baseline"/>
        </w:rPr>
        <w:t> </w:t>
      </w:r>
      <w:r>
        <w:rPr>
          <w:color w:val="231F20"/>
          <w:vertAlign w:val="baseline"/>
        </w:rPr>
        <w:t>of</w:t>
      </w:r>
      <w:r>
        <w:rPr>
          <w:color w:val="231F20"/>
          <w:spacing w:val="1"/>
          <w:vertAlign w:val="baseline"/>
        </w:rPr>
        <w:t> </w:t>
      </w:r>
      <w:r>
        <w:rPr>
          <w:color w:val="231F20"/>
          <w:vertAlign w:val="baseline"/>
        </w:rPr>
        <w:t>increased</w:t>
      </w:r>
      <w:r>
        <w:rPr>
          <w:color w:val="231F20"/>
          <w:spacing w:val="-3"/>
          <w:vertAlign w:val="baseline"/>
        </w:rPr>
        <w:t> </w:t>
      </w:r>
      <w:r>
        <w:rPr>
          <w:color w:val="231F20"/>
          <w:vertAlign w:val="baseline"/>
        </w:rPr>
        <w:t>HIV</w:t>
      </w:r>
      <w:r>
        <w:rPr>
          <w:color w:val="231F20"/>
          <w:spacing w:val="-7"/>
          <w:vertAlign w:val="baseline"/>
        </w:rPr>
        <w:t> </w:t>
      </w:r>
      <w:r>
        <w:rPr>
          <w:color w:val="231F20"/>
          <w:vertAlign w:val="baseline"/>
        </w:rPr>
        <w:t>acquisition</w:t>
      </w:r>
      <w:r>
        <w:rPr>
          <w:color w:val="231F20"/>
          <w:spacing w:val="-2"/>
          <w:vertAlign w:val="baseline"/>
        </w:rPr>
        <w:t> </w:t>
      </w:r>
      <w:r>
        <w:rPr>
          <w:color w:val="231F20"/>
          <w:vertAlign w:val="baseline"/>
        </w:rPr>
        <w:t>and</w:t>
      </w:r>
      <w:r>
        <w:rPr>
          <w:color w:val="231F20"/>
          <w:spacing w:val="-3"/>
          <w:vertAlign w:val="baseline"/>
        </w:rPr>
        <w:t> </w:t>
      </w:r>
      <w:r>
        <w:rPr>
          <w:color w:val="231F20"/>
          <w:vertAlign w:val="baseline"/>
        </w:rPr>
        <w:t>poor</w:t>
      </w:r>
      <w:r>
        <w:rPr>
          <w:color w:val="231F20"/>
          <w:spacing w:val="-2"/>
          <w:vertAlign w:val="baseline"/>
        </w:rPr>
        <w:t> </w:t>
      </w:r>
      <w:r>
        <w:rPr>
          <w:color w:val="231F20"/>
          <w:vertAlign w:val="baseline"/>
        </w:rPr>
        <w:t>health</w:t>
      </w:r>
      <w:r>
        <w:rPr>
          <w:color w:val="231F20"/>
          <w:spacing w:val="-2"/>
          <w:vertAlign w:val="baseline"/>
        </w:rPr>
        <w:t> </w:t>
      </w:r>
      <w:r>
        <w:rPr>
          <w:color w:val="231F20"/>
          <w:vertAlign w:val="baseline"/>
        </w:rPr>
        <w:t>outcomes.</w:t>
      </w:r>
      <w:r>
        <w:rPr>
          <w:color w:val="231F20"/>
          <w:spacing w:val="-52"/>
          <w:vertAlign w:val="baseline"/>
        </w:rPr>
        <w:t> </w:t>
      </w:r>
      <w:r>
        <w:rPr>
          <w:color w:val="231F20"/>
          <w:spacing w:val="-1"/>
          <w:vertAlign w:val="baseline"/>
        </w:rPr>
        <w:t>American</w:t>
      </w:r>
      <w:r>
        <w:rPr>
          <w:color w:val="231F20"/>
          <w:spacing w:val="53"/>
          <w:vertAlign w:val="baseline"/>
        </w:rPr>
        <w:t> </w:t>
      </w:r>
      <w:r>
        <w:rPr>
          <w:color w:val="231F20"/>
          <w:spacing w:val="-1"/>
          <w:vertAlign w:val="baseline"/>
        </w:rPr>
        <w:t>Psychological Association</w:t>
      </w:r>
      <w:r>
        <w:rPr>
          <w:color w:val="231F20"/>
          <w:spacing w:val="53"/>
          <w:vertAlign w:val="baseline"/>
        </w:rPr>
        <w:t> </w:t>
      </w:r>
      <w:r>
        <w:rPr>
          <w:color w:val="231F20"/>
          <w:spacing w:val="-1"/>
          <w:vertAlign w:val="baseline"/>
        </w:rPr>
        <w:t>Psychology</w:t>
      </w:r>
      <w:r>
        <w:rPr>
          <w:color w:val="231F20"/>
          <w:vertAlign w:val="baseline"/>
        </w:rPr>
        <w:t> </w:t>
      </w:r>
      <w:r>
        <w:rPr>
          <w:color w:val="231F20"/>
          <w:spacing w:val="-1"/>
          <w:vertAlign w:val="baseline"/>
        </w:rPr>
        <w:t>and AIDS Exchange Newsletter. </w:t>
      </w:r>
      <w:hyperlink r:id="rId44">
        <w:r>
          <w:rPr>
            <w:color w:val="3953A4"/>
            <w:spacing w:val="-1"/>
            <w:u w:val="single" w:color="3953A4"/>
            <w:vertAlign w:val="baseline"/>
          </w:rPr>
          <w:t>https://www.apa.</w:t>
        </w:r>
      </w:hyperlink>
      <w:r>
        <w:rPr>
          <w:color w:val="3953A4"/>
          <w:vertAlign w:val="baseline"/>
        </w:rPr>
        <w:t> </w:t>
      </w:r>
      <w:hyperlink r:id="rId44">
        <w:r>
          <w:rPr>
            <w:color w:val="3953A4"/>
            <w:u w:val="single" w:color="3953A4"/>
            <w:vertAlign w:val="baseline"/>
          </w:rPr>
          <w:t>org/pi/aids/resources/exchange/2019/01/continuum</w:t>
        </w:r>
      </w:hyperlink>
    </w:p>
    <w:p>
      <w:pPr>
        <w:pStyle w:val="BodyText"/>
        <w:tabs>
          <w:tab w:pos="519" w:val="left" w:leader="none"/>
        </w:tabs>
        <w:spacing w:line="228" w:lineRule="auto" w:before="88"/>
        <w:ind w:left="520" w:right="135" w:hanging="360"/>
      </w:pPr>
      <w:r>
        <w:rPr>
          <w:color w:val="231F20"/>
          <w:vertAlign w:val="superscript"/>
        </w:rPr>
        <w:t>8</w:t>
      </w:r>
      <w:r>
        <w:rPr>
          <w:color w:val="231F20"/>
          <w:vertAlign w:val="baseline"/>
        </w:rPr>
        <w:tab/>
      </w:r>
      <w:r>
        <w:rPr>
          <w:color w:val="231F20"/>
          <w:spacing w:val="-3"/>
          <w:vertAlign w:val="baseline"/>
        </w:rPr>
        <w:t>Bavinton, B. R., Pinto, </w:t>
      </w:r>
      <w:r>
        <w:rPr>
          <w:color w:val="231F20"/>
          <w:spacing w:val="-2"/>
          <w:vertAlign w:val="baseline"/>
        </w:rPr>
        <w:t>A. N., Phanuphak, N.,</w:t>
      </w:r>
      <w:r>
        <w:rPr>
          <w:color w:val="231F20"/>
          <w:spacing w:val="-1"/>
          <w:vertAlign w:val="baseline"/>
        </w:rPr>
        <w:t> </w:t>
      </w:r>
      <w:r>
        <w:rPr>
          <w:color w:val="231F20"/>
          <w:spacing w:val="-2"/>
          <w:vertAlign w:val="baseline"/>
        </w:rPr>
        <w:t>Grinsztejn, B., Prestage, G. P., </w:t>
      </w:r>
      <w:r>
        <w:rPr>
          <w:color w:val="231F20"/>
          <w:spacing w:val="-1"/>
          <w:vertAlign w:val="baseline"/>
        </w:rPr>
        <w:t>Zablotska-Manos, I.</w:t>
      </w:r>
      <w:r>
        <w:rPr>
          <w:color w:val="231F20"/>
          <w:vertAlign w:val="baseline"/>
        </w:rPr>
        <w:t> </w:t>
      </w:r>
      <w:r>
        <w:rPr>
          <w:color w:val="231F20"/>
          <w:spacing w:val="-2"/>
          <w:vertAlign w:val="baseline"/>
        </w:rPr>
        <w:t>B.,</w:t>
      </w:r>
      <w:r>
        <w:rPr>
          <w:color w:val="231F20"/>
          <w:spacing w:val="-12"/>
          <w:vertAlign w:val="baseline"/>
        </w:rPr>
        <w:t> </w:t>
      </w:r>
      <w:r>
        <w:rPr>
          <w:color w:val="231F20"/>
          <w:spacing w:val="-2"/>
          <w:vertAlign w:val="baseline"/>
        </w:rPr>
        <w:t>Jin,</w:t>
      </w:r>
      <w:r>
        <w:rPr>
          <w:color w:val="231F20"/>
          <w:spacing w:val="-12"/>
          <w:vertAlign w:val="baseline"/>
        </w:rPr>
        <w:t> </w:t>
      </w:r>
      <w:r>
        <w:rPr>
          <w:color w:val="231F20"/>
          <w:spacing w:val="-2"/>
          <w:vertAlign w:val="baseline"/>
        </w:rPr>
        <w:t>F.,</w:t>
      </w:r>
      <w:r>
        <w:rPr>
          <w:color w:val="231F20"/>
          <w:spacing w:val="-11"/>
          <w:vertAlign w:val="baseline"/>
        </w:rPr>
        <w:t> </w:t>
      </w:r>
      <w:r>
        <w:rPr>
          <w:color w:val="231F20"/>
          <w:spacing w:val="-2"/>
          <w:vertAlign w:val="baseline"/>
        </w:rPr>
        <w:t>Fairley,</w:t>
      </w:r>
      <w:r>
        <w:rPr>
          <w:color w:val="231F20"/>
          <w:spacing w:val="-12"/>
          <w:vertAlign w:val="baseline"/>
        </w:rPr>
        <w:t> </w:t>
      </w:r>
      <w:r>
        <w:rPr>
          <w:color w:val="231F20"/>
          <w:spacing w:val="-2"/>
          <w:vertAlign w:val="baseline"/>
        </w:rPr>
        <w:t>C.</w:t>
      </w:r>
      <w:r>
        <w:rPr>
          <w:color w:val="231F20"/>
          <w:spacing w:val="-11"/>
          <w:vertAlign w:val="baseline"/>
        </w:rPr>
        <w:t> </w:t>
      </w:r>
      <w:r>
        <w:rPr>
          <w:color w:val="231F20"/>
          <w:spacing w:val="-2"/>
          <w:vertAlign w:val="baseline"/>
        </w:rPr>
        <w:t>K.,</w:t>
      </w:r>
      <w:r>
        <w:rPr>
          <w:color w:val="231F20"/>
          <w:spacing w:val="-12"/>
          <w:vertAlign w:val="baseline"/>
        </w:rPr>
        <w:t> </w:t>
      </w:r>
      <w:r>
        <w:rPr>
          <w:color w:val="231F20"/>
          <w:spacing w:val="-1"/>
          <w:vertAlign w:val="baseline"/>
        </w:rPr>
        <w:t>Moore,</w:t>
      </w:r>
      <w:r>
        <w:rPr>
          <w:color w:val="231F20"/>
          <w:spacing w:val="-11"/>
          <w:vertAlign w:val="baseline"/>
        </w:rPr>
        <w:t> </w:t>
      </w:r>
      <w:r>
        <w:rPr>
          <w:color w:val="231F20"/>
          <w:spacing w:val="-1"/>
          <w:vertAlign w:val="baseline"/>
        </w:rPr>
        <w:t>R.,</w:t>
      </w:r>
      <w:r>
        <w:rPr>
          <w:color w:val="231F20"/>
          <w:spacing w:val="-12"/>
          <w:vertAlign w:val="baseline"/>
        </w:rPr>
        <w:t> </w:t>
      </w:r>
      <w:r>
        <w:rPr>
          <w:color w:val="231F20"/>
          <w:spacing w:val="-1"/>
          <w:vertAlign w:val="baseline"/>
        </w:rPr>
        <w:t>Roth,</w:t>
      </w:r>
      <w:r>
        <w:rPr>
          <w:color w:val="231F20"/>
          <w:spacing w:val="-11"/>
          <w:vertAlign w:val="baseline"/>
        </w:rPr>
        <w:t> </w:t>
      </w:r>
      <w:r>
        <w:rPr>
          <w:color w:val="231F20"/>
          <w:spacing w:val="-1"/>
          <w:vertAlign w:val="baseline"/>
        </w:rPr>
        <w:t>N.,</w:t>
      </w:r>
      <w:r>
        <w:rPr>
          <w:color w:val="231F20"/>
          <w:spacing w:val="-12"/>
          <w:vertAlign w:val="baseline"/>
        </w:rPr>
        <w:t> </w:t>
      </w:r>
      <w:r>
        <w:rPr>
          <w:color w:val="231F20"/>
          <w:spacing w:val="-1"/>
          <w:vertAlign w:val="baseline"/>
        </w:rPr>
        <w:t>Bloch,</w:t>
      </w:r>
      <w:r>
        <w:rPr>
          <w:color w:val="231F20"/>
          <w:spacing w:val="-52"/>
          <w:vertAlign w:val="baseline"/>
        </w:rPr>
        <w:t> </w:t>
      </w:r>
      <w:r>
        <w:rPr>
          <w:color w:val="231F20"/>
          <w:spacing w:val="-4"/>
          <w:vertAlign w:val="baseline"/>
        </w:rPr>
        <w:t>M.,</w:t>
      </w:r>
      <w:r>
        <w:rPr>
          <w:color w:val="231F20"/>
          <w:spacing w:val="-5"/>
          <w:vertAlign w:val="baseline"/>
        </w:rPr>
        <w:t> </w:t>
      </w:r>
      <w:r>
        <w:rPr>
          <w:color w:val="231F20"/>
          <w:spacing w:val="-4"/>
          <w:vertAlign w:val="baseline"/>
        </w:rPr>
        <w:t>Pell,</w:t>
      </w:r>
      <w:r>
        <w:rPr>
          <w:color w:val="231F20"/>
          <w:spacing w:val="-5"/>
          <w:vertAlign w:val="baseline"/>
        </w:rPr>
        <w:t> </w:t>
      </w:r>
      <w:r>
        <w:rPr>
          <w:color w:val="231F20"/>
          <w:spacing w:val="-4"/>
          <w:vertAlign w:val="baseline"/>
        </w:rPr>
        <w:t>C.,</w:t>
      </w:r>
      <w:r>
        <w:rPr>
          <w:color w:val="231F20"/>
          <w:spacing w:val="-5"/>
          <w:vertAlign w:val="baseline"/>
        </w:rPr>
        <w:t> </w:t>
      </w:r>
      <w:r>
        <w:rPr>
          <w:color w:val="231F20"/>
          <w:spacing w:val="-3"/>
          <w:vertAlign w:val="baseline"/>
        </w:rPr>
        <w:t>McNulty,</w:t>
      </w:r>
      <w:r>
        <w:rPr>
          <w:color w:val="231F20"/>
          <w:spacing w:val="-17"/>
          <w:vertAlign w:val="baseline"/>
        </w:rPr>
        <w:t> </w:t>
      </w:r>
      <w:r>
        <w:rPr>
          <w:color w:val="231F20"/>
          <w:spacing w:val="-3"/>
          <w:vertAlign w:val="baseline"/>
        </w:rPr>
        <w:t>A.</w:t>
      </w:r>
      <w:r>
        <w:rPr>
          <w:color w:val="231F20"/>
          <w:spacing w:val="-5"/>
          <w:vertAlign w:val="baseline"/>
        </w:rPr>
        <w:t> </w:t>
      </w:r>
      <w:r>
        <w:rPr>
          <w:color w:val="231F20"/>
          <w:spacing w:val="-3"/>
          <w:vertAlign w:val="baseline"/>
        </w:rPr>
        <w:t>M.,</w:t>
      </w:r>
      <w:r>
        <w:rPr>
          <w:color w:val="231F20"/>
          <w:spacing w:val="-5"/>
          <w:vertAlign w:val="baseline"/>
        </w:rPr>
        <w:t> </w:t>
      </w:r>
      <w:r>
        <w:rPr>
          <w:color w:val="231F20"/>
          <w:spacing w:val="-3"/>
          <w:vertAlign w:val="baseline"/>
        </w:rPr>
        <w:t>Baker,</w:t>
      </w:r>
      <w:r>
        <w:rPr>
          <w:color w:val="231F20"/>
          <w:spacing w:val="-5"/>
          <w:vertAlign w:val="baseline"/>
        </w:rPr>
        <w:t> </w:t>
      </w:r>
      <w:r>
        <w:rPr>
          <w:color w:val="231F20"/>
          <w:spacing w:val="-3"/>
          <w:vertAlign w:val="baseline"/>
        </w:rPr>
        <w:t>D.,</w:t>
      </w:r>
      <w:r>
        <w:rPr>
          <w:color w:val="231F20"/>
          <w:spacing w:val="-5"/>
          <w:vertAlign w:val="baseline"/>
        </w:rPr>
        <w:t> </w:t>
      </w:r>
      <w:r>
        <w:rPr>
          <w:color w:val="231F20"/>
          <w:spacing w:val="-3"/>
          <w:vertAlign w:val="baseline"/>
        </w:rPr>
        <w:t>Hoy,</w:t>
      </w:r>
      <w:r>
        <w:rPr>
          <w:color w:val="231F20"/>
          <w:spacing w:val="-5"/>
          <w:vertAlign w:val="baseline"/>
        </w:rPr>
        <w:t> </w:t>
      </w:r>
      <w:r>
        <w:rPr>
          <w:color w:val="231F20"/>
          <w:spacing w:val="-3"/>
          <w:vertAlign w:val="baseline"/>
        </w:rPr>
        <w:t>J.,</w:t>
      </w:r>
    </w:p>
    <w:p>
      <w:pPr>
        <w:pStyle w:val="BodyText"/>
        <w:spacing w:line="228" w:lineRule="auto"/>
        <w:ind w:left="519" w:right="294"/>
      </w:pPr>
      <w:r>
        <w:rPr>
          <w:color w:val="231F20"/>
          <w:spacing w:val="-4"/>
        </w:rPr>
        <w:t>Tee, B. K., Templeton, D. J., </w:t>
      </w:r>
      <w:r>
        <w:rPr>
          <w:color w:val="231F20"/>
          <w:spacing w:val="-3"/>
        </w:rPr>
        <w:t>Cooper, D. A., Emery,</w:t>
      </w:r>
      <w:r>
        <w:rPr>
          <w:color w:val="231F20"/>
          <w:spacing w:val="-52"/>
        </w:rPr>
        <w:t> </w:t>
      </w:r>
      <w:r>
        <w:rPr>
          <w:color w:val="231F20"/>
          <w:spacing w:val="-3"/>
        </w:rPr>
        <w:t>S.,… Grulich, A. E. (2018). Viral suppression </w:t>
      </w:r>
      <w:r>
        <w:rPr>
          <w:color w:val="231F20"/>
          <w:spacing w:val="-2"/>
        </w:rPr>
        <w:t>and</w:t>
      </w:r>
      <w:r>
        <w:rPr>
          <w:color w:val="231F20"/>
          <w:spacing w:val="-1"/>
        </w:rPr>
        <w:t> </w:t>
      </w:r>
      <w:r>
        <w:rPr>
          <w:color w:val="231F20"/>
          <w:spacing w:val="-3"/>
        </w:rPr>
        <w:t>HIV transmission </w:t>
      </w:r>
      <w:r>
        <w:rPr>
          <w:color w:val="231F20"/>
          <w:spacing w:val="-2"/>
        </w:rPr>
        <w:t>in serodiscordant male couples:</w:t>
      </w:r>
      <w:r>
        <w:rPr>
          <w:color w:val="231F20"/>
          <w:spacing w:val="-1"/>
        </w:rPr>
        <w:t> </w:t>
      </w:r>
      <w:r>
        <w:rPr>
          <w:color w:val="231F20"/>
          <w:spacing w:val="-3"/>
        </w:rPr>
        <w:t>An international, </w:t>
      </w:r>
      <w:r>
        <w:rPr>
          <w:color w:val="231F20"/>
          <w:spacing w:val="-2"/>
        </w:rPr>
        <w:t>prospective, observational, cohort</w:t>
      </w:r>
      <w:r>
        <w:rPr>
          <w:color w:val="231F20"/>
          <w:spacing w:val="-52"/>
        </w:rPr>
        <w:t> </w:t>
      </w:r>
      <w:r>
        <w:rPr>
          <w:color w:val="231F20"/>
          <w:spacing w:val="-3"/>
        </w:rPr>
        <w:t>study.</w:t>
      </w:r>
      <w:r>
        <w:rPr>
          <w:color w:val="231F20"/>
          <w:spacing w:val="-11"/>
        </w:rPr>
        <w:t> </w:t>
      </w:r>
      <w:r>
        <w:rPr>
          <w:i/>
          <w:color w:val="231F20"/>
          <w:spacing w:val="-3"/>
        </w:rPr>
        <w:t>The</w:t>
      </w:r>
      <w:r>
        <w:rPr>
          <w:i/>
          <w:color w:val="231F20"/>
          <w:spacing w:val="-10"/>
        </w:rPr>
        <w:t> </w:t>
      </w:r>
      <w:r>
        <w:rPr>
          <w:i/>
          <w:color w:val="231F20"/>
          <w:spacing w:val="-3"/>
        </w:rPr>
        <w:t>Lancet</w:t>
      </w:r>
      <w:r>
        <w:rPr>
          <w:i/>
          <w:color w:val="231F20"/>
          <w:spacing w:val="-10"/>
        </w:rPr>
        <w:t> </w:t>
      </w:r>
      <w:r>
        <w:rPr>
          <w:i/>
          <w:color w:val="231F20"/>
          <w:spacing w:val="-3"/>
        </w:rPr>
        <w:t>HIV,</w:t>
      </w:r>
      <w:r>
        <w:rPr>
          <w:i/>
          <w:color w:val="231F20"/>
          <w:spacing w:val="-10"/>
        </w:rPr>
        <w:t> </w:t>
      </w:r>
      <w:r>
        <w:rPr>
          <w:i/>
          <w:color w:val="231F20"/>
          <w:spacing w:val="-3"/>
        </w:rPr>
        <w:t>5</w:t>
      </w:r>
      <w:r>
        <w:rPr>
          <w:color w:val="231F20"/>
          <w:spacing w:val="-3"/>
        </w:rPr>
        <w:t>(8),</w:t>
      </w:r>
      <w:r>
        <w:rPr>
          <w:color w:val="231F20"/>
          <w:spacing w:val="-11"/>
        </w:rPr>
        <w:t> </w:t>
      </w:r>
      <w:r>
        <w:rPr>
          <w:color w:val="231F20"/>
          <w:spacing w:val="-3"/>
        </w:rPr>
        <w:t>e438-e447.</w:t>
      </w:r>
      <w:r>
        <w:rPr>
          <w:color w:val="231F20"/>
          <w:spacing w:val="-10"/>
        </w:rPr>
        <w:t> </w:t>
      </w:r>
      <w:hyperlink r:id="rId45">
        <w:r>
          <w:rPr>
            <w:color w:val="3953A4"/>
            <w:spacing w:val="-2"/>
            <w:u w:val="single" w:color="3953A4"/>
          </w:rPr>
          <w:t>https://doi.</w:t>
        </w:r>
      </w:hyperlink>
      <w:r>
        <w:rPr>
          <w:color w:val="3953A4"/>
          <w:spacing w:val="-52"/>
        </w:rPr>
        <w:t> </w:t>
      </w:r>
      <w:hyperlink r:id="rId45">
        <w:r>
          <w:rPr>
            <w:color w:val="3953A4"/>
            <w:u w:val="single" w:color="3953A4"/>
          </w:rPr>
          <w:t>org/10.1016/s2352-3018(18)30132-2</w:t>
        </w:r>
      </w:hyperlink>
    </w:p>
    <w:p>
      <w:pPr>
        <w:pStyle w:val="BodyText"/>
        <w:tabs>
          <w:tab w:pos="519" w:val="left" w:leader="none"/>
        </w:tabs>
        <w:spacing w:line="228" w:lineRule="auto" w:before="86"/>
        <w:ind w:left="520" w:right="97" w:hanging="360"/>
      </w:pPr>
      <w:r>
        <w:rPr>
          <w:color w:val="231F20"/>
          <w:vertAlign w:val="superscript"/>
        </w:rPr>
        <w:t>9</w:t>
      </w:r>
      <w:r>
        <w:rPr>
          <w:color w:val="231F20"/>
          <w:vertAlign w:val="baseline"/>
        </w:rPr>
        <w:tab/>
      </w:r>
      <w:r>
        <w:rPr>
          <w:color w:val="010202"/>
          <w:spacing w:val="-1"/>
          <w:vertAlign w:val="baseline"/>
        </w:rPr>
        <w:t>Centers for Disease Control and Prevention. </w:t>
      </w:r>
      <w:r>
        <w:rPr>
          <w:color w:val="010202"/>
          <w:vertAlign w:val="baseline"/>
        </w:rPr>
        <w:t>(2020,</w:t>
      </w:r>
      <w:r>
        <w:rPr>
          <w:color w:val="010202"/>
          <w:spacing w:val="1"/>
          <w:vertAlign w:val="baseline"/>
        </w:rPr>
        <w:t> </w:t>
      </w:r>
      <w:r>
        <w:rPr>
          <w:color w:val="010202"/>
          <w:spacing w:val="-1"/>
          <w:vertAlign w:val="baseline"/>
        </w:rPr>
        <w:t>July 30). ‘Ending the </w:t>
      </w:r>
      <w:r>
        <w:rPr>
          <w:color w:val="010202"/>
          <w:vertAlign w:val="baseline"/>
        </w:rPr>
        <w:t>HIV Epidemic’: CDC Role -</w:t>
      </w:r>
      <w:r>
        <w:rPr>
          <w:color w:val="010202"/>
          <w:spacing w:val="1"/>
          <w:vertAlign w:val="baseline"/>
        </w:rPr>
        <w:t> </w:t>
      </w:r>
      <w:r>
        <w:rPr>
          <w:color w:val="010202"/>
          <w:spacing w:val="-3"/>
          <w:vertAlign w:val="baseline"/>
        </w:rPr>
        <w:t>Diagnose.</w:t>
      </w:r>
      <w:r>
        <w:rPr>
          <w:color w:val="010202"/>
          <w:spacing w:val="-11"/>
          <w:vertAlign w:val="baseline"/>
        </w:rPr>
        <w:t> </w:t>
      </w:r>
      <w:hyperlink r:id="rId46">
        <w:r>
          <w:rPr>
            <w:color w:val="3953A4"/>
            <w:spacing w:val="-3"/>
            <w:u w:val="single" w:color="3953A4"/>
            <w:vertAlign w:val="baseline"/>
          </w:rPr>
          <w:t>https://www.cdc.gov/endhiv/diagnose.html</w:t>
        </w:r>
      </w:hyperlink>
    </w:p>
    <w:p>
      <w:pPr>
        <w:pStyle w:val="BodyText"/>
        <w:tabs>
          <w:tab w:pos="519" w:val="left" w:leader="none"/>
        </w:tabs>
        <w:spacing w:line="228" w:lineRule="auto" w:before="89"/>
        <w:ind w:left="520" w:right="207" w:hanging="360"/>
      </w:pPr>
      <w:r>
        <w:rPr>
          <w:color w:val="231F20"/>
          <w:vertAlign w:val="superscript"/>
        </w:rPr>
        <w:t>10</w:t>
      </w:r>
      <w:r>
        <w:rPr>
          <w:color w:val="231F20"/>
          <w:vertAlign w:val="baseline"/>
        </w:rPr>
        <w:tab/>
        <w:t>Mayo Clinic. (2020, January 10). HIV testing.</w:t>
      </w:r>
      <w:r>
        <w:rPr>
          <w:color w:val="231F20"/>
          <w:spacing w:val="1"/>
          <w:vertAlign w:val="baseline"/>
        </w:rPr>
        <w:t> </w:t>
      </w:r>
      <w:hyperlink r:id="rId47">
        <w:r>
          <w:rPr>
            <w:color w:val="3953A4"/>
            <w:u w:val="single" w:color="3953A4"/>
            <w:vertAlign w:val="baseline"/>
          </w:rPr>
          <w:t>https://www.mayoclinic.org/tests-procedures/hiv-</w:t>
        </w:r>
        <w:r>
          <w:rPr>
            <w:color w:val="3953A4"/>
            <w:spacing w:val="1"/>
            <w:vertAlign w:val="baseline"/>
          </w:rPr>
          <w:t> </w:t>
        </w:r>
        <w:r>
          <w:rPr>
            <w:color w:val="3953A4"/>
            <w:u w:val="single" w:color="3953A4"/>
            <w:vertAlign w:val="baseline"/>
          </w:rPr>
          <w:t>testing/about/pac-20385018#:~:text=Why%20</w:t>
        </w:r>
        <w:r>
          <w:rPr>
            <w:color w:val="3953A4"/>
            <w:spacing w:val="1"/>
            <w:vertAlign w:val="baseline"/>
          </w:rPr>
          <w:t> </w:t>
        </w:r>
        <w:r>
          <w:rPr>
            <w:color w:val="3953A4"/>
            <w:spacing w:val="-1"/>
            <w:u w:val="single" w:color="3953A4"/>
            <w:vertAlign w:val="baseline"/>
          </w:rPr>
          <w:t>it’s%20done,spreading%20the%20virus%20to%20</w:t>
        </w:r>
      </w:hyperlink>
      <w:r>
        <w:rPr>
          <w:color w:val="3953A4"/>
          <w:spacing w:val="-52"/>
          <w:vertAlign w:val="baseline"/>
        </w:rPr>
        <w:t> </w:t>
      </w:r>
      <w:r>
        <w:rPr>
          <w:color w:val="3953A4"/>
          <w:u w:val="single" w:color="3953A4"/>
          <w:vertAlign w:val="baseline"/>
        </w:rPr>
        <w:t>others</w:t>
      </w:r>
      <w:r>
        <w:rPr>
          <w:color w:val="231F20"/>
          <w:vertAlign w:val="baseline"/>
        </w:rPr>
        <w:t>.</w:t>
      </w:r>
    </w:p>
    <w:p>
      <w:pPr>
        <w:pStyle w:val="BodyText"/>
        <w:spacing w:line="228" w:lineRule="auto" w:before="89"/>
        <w:ind w:left="520" w:right="200" w:hanging="360"/>
        <w:jc w:val="both"/>
      </w:pPr>
      <w:r>
        <w:rPr>
          <w:color w:val="231F20"/>
          <w:vertAlign w:val="superscript"/>
        </w:rPr>
        <w:t>11</w:t>
      </w:r>
      <w:r>
        <w:rPr>
          <w:color w:val="231F20"/>
          <w:spacing w:val="1"/>
          <w:vertAlign w:val="baseline"/>
        </w:rPr>
        <w:t> </w:t>
      </w:r>
      <w:r>
        <w:rPr>
          <w:color w:val="010202"/>
          <w:vertAlign w:val="baseline"/>
        </w:rPr>
        <w:t>Centers for Disease Control and Prevention. (2020,</w:t>
      </w:r>
      <w:r>
        <w:rPr>
          <w:color w:val="010202"/>
          <w:spacing w:val="-53"/>
          <w:vertAlign w:val="baseline"/>
        </w:rPr>
        <w:t> </w:t>
      </w:r>
      <w:r>
        <w:rPr>
          <w:color w:val="010202"/>
          <w:vertAlign w:val="baseline"/>
        </w:rPr>
        <w:t>January</w:t>
      </w:r>
      <w:r>
        <w:rPr>
          <w:color w:val="010202"/>
          <w:spacing w:val="-7"/>
          <w:vertAlign w:val="baseline"/>
        </w:rPr>
        <w:t> </w:t>
      </w:r>
      <w:r>
        <w:rPr>
          <w:color w:val="010202"/>
          <w:vertAlign w:val="baseline"/>
        </w:rPr>
        <w:t>21).</w:t>
      </w:r>
      <w:r>
        <w:rPr>
          <w:color w:val="010202"/>
          <w:spacing w:val="-5"/>
          <w:vertAlign w:val="baseline"/>
        </w:rPr>
        <w:t> </w:t>
      </w:r>
      <w:r>
        <w:rPr>
          <w:color w:val="010202"/>
          <w:vertAlign w:val="baseline"/>
        </w:rPr>
        <w:t>HIV</w:t>
      </w:r>
      <w:r>
        <w:rPr>
          <w:color w:val="010202"/>
          <w:spacing w:val="-9"/>
          <w:vertAlign w:val="baseline"/>
        </w:rPr>
        <w:t> </w:t>
      </w:r>
      <w:r>
        <w:rPr>
          <w:color w:val="010202"/>
          <w:vertAlign w:val="baseline"/>
        </w:rPr>
        <w:t>testing.</w:t>
      </w:r>
      <w:r>
        <w:rPr>
          <w:color w:val="010202"/>
          <w:spacing w:val="-6"/>
          <w:vertAlign w:val="baseline"/>
        </w:rPr>
        <w:t> </w:t>
      </w:r>
      <w:hyperlink r:id="rId48">
        <w:r>
          <w:rPr>
            <w:color w:val="3953A4"/>
            <w:u w:val="single" w:color="3953A4"/>
            <w:vertAlign w:val="baseline"/>
          </w:rPr>
          <w:t>https://www.cdc.gov/hiv/</w:t>
        </w:r>
      </w:hyperlink>
      <w:r>
        <w:rPr>
          <w:color w:val="3953A4"/>
          <w:spacing w:val="-52"/>
          <w:vertAlign w:val="baseline"/>
        </w:rPr>
        <w:t> </w:t>
      </w:r>
      <w:hyperlink r:id="rId48">
        <w:r>
          <w:rPr>
            <w:color w:val="3953A4"/>
            <w:u w:val="single" w:color="3953A4"/>
            <w:vertAlign w:val="baseline"/>
          </w:rPr>
          <w:t>guidelines/testing.html</w:t>
        </w:r>
      </w:hyperlink>
    </w:p>
    <w:p>
      <w:pPr>
        <w:pStyle w:val="BodyText"/>
        <w:spacing w:line="246" w:lineRule="exact" w:before="79"/>
        <w:ind w:left="160"/>
        <w:jc w:val="both"/>
      </w:pPr>
      <w:r>
        <w:rPr>
          <w:color w:val="231F20"/>
          <w:vertAlign w:val="superscript"/>
        </w:rPr>
        <w:t>12</w:t>
      </w:r>
      <w:r>
        <w:rPr>
          <w:color w:val="231F20"/>
          <w:spacing w:val="102"/>
          <w:vertAlign w:val="baseline"/>
        </w:rPr>
        <w:t> </w:t>
      </w:r>
      <w:r>
        <w:rPr>
          <w:color w:val="231F20"/>
          <w:vertAlign w:val="baseline"/>
        </w:rPr>
        <w:t>Skarbinski,</w:t>
      </w:r>
      <w:r>
        <w:rPr>
          <w:color w:val="231F20"/>
          <w:spacing w:val="-6"/>
          <w:vertAlign w:val="baseline"/>
        </w:rPr>
        <w:t> </w:t>
      </w:r>
      <w:r>
        <w:rPr>
          <w:color w:val="231F20"/>
          <w:vertAlign w:val="baseline"/>
        </w:rPr>
        <w:t>J,</w:t>
      </w:r>
      <w:r>
        <w:rPr>
          <w:color w:val="231F20"/>
          <w:spacing w:val="-6"/>
          <w:vertAlign w:val="baseline"/>
        </w:rPr>
        <w:t> </w:t>
      </w:r>
      <w:r>
        <w:rPr>
          <w:color w:val="231F20"/>
          <w:vertAlign w:val="baseline"/>
        </w:rPr>
        <w:t>Rosenberg,</w:t>
      </w:r>
      <w:r>
        <w:rPr>
          <w:color w:val="231F20"/>
          <w:spacing w:val="-4"/>
          <w:vertAlign w:val="baseline"/>
        </w:rPr>
        <w:t> </w:t>
      </w:r>
      <w:r>
        <w:rPr>
          <w:color w:val="231F20"/>
          <w:vertAlign w:val="baseline"/>
        </w:rPr>
        <w:t>E,</w:t>
      </w:r>
      <w:r>
        <w:rPr>
          <w:color w:val="231F20"/>
          <w:spacing w:val="-5"/>
          <w:vertAlign w:val="baseline"/>
        </w:rPr>
        <w:t> </w:t>
      </w:r>
      <w:r>
        <w:rPr>
          <w:color w:val="231F20"/>
          <w:vertAlign w:val="baseline"/>
        </w:rPr>
        <w:t>Paz-Bailey,</w:t>
      </w:r>
      <w:r>
        <w:rPr>
          <w:color w:val="231F20"/>
          <w:spacing w:val="-5"/>
          <w:vertAlign w:val="baseline"/>
        </w:rPr>
        <w:t> </w:t>
      </w:r>
      <w:r>
        <w:rPr>
          <w:color w:val="231F20"/>
          <w:vertAlign w:val="baseline"/>
        </w:rPr>
        <w:t>G,</w:t>
      </w:r>
      <w:r>
        <w:rPr>
          <w:color w:val="231F20"/>
          <w:spacing w:val="-5"/>
          <w:vertAlign w:val="baseline"/>
        </w:rPr>
        <w:t> </w:t>
      </w:r>
      <w:r>
        <w:rPr>
          <w:color w:val="231F20"/>
          <w:vertAlign w:val="baseline"/>
        </w:rPr>
        <w:t>et</w:t>
      </w:r>
    </w:p>
    <w:p>
      <w:pPr>
        <w:pStyle w:val="BodyText"/>
        <w:spacing w:line="240" w:lineRule="exact"/>
        <w:ind w:left="520"/>
        <w:jc w:val="both"/>
      </w:pPr>
      <w:r>
        <w:rPr>
          <w:color w:val="231F20"/>
        </w:rPr>
        <w:t>al.</w:t>
      </w:r>
      <w:r>
        <w:rPr>
          <w:color w:val="231F20"/>
          <w:spacing w:val="-3"/>
        </w:rPr>
        <w:t> </w:t>
      </w:r>
      <w:r>
        <w:rPr>
          <w:color w:val="231F20"/>
        </w:rPr>
        <w:t>Human</w:t>
      </w:r>
      <w:r>
        <w:rPr>
          <w:color w:val="231F20"/>
          <w:spacing w:val="-4"/>
        </w:rPr>
        <w:t> </w:t>
      </w:r>
      <w:r>
        <w:rPr>
          <w:color w:val="231F20"/>
        </w:rPr>
        <w:t>immunodeficiency</w:t>
      </w:r>
      <w:r>
        <w:rPr>
          <w:color w:val="231F20"/>
          <w:spacing w:val="-2"/>
        </w:rPr>
        <w:t> </w:t>
      </w:r>
      <w:r>
        <w:rPr>
          <w:color w:val="231F20"/>
        </w:rPr>
        <w:t>virus</w:t>
      </w:r>
      <w:r>
        <w:rPr>
          <w:color w:val="231F20"/>
          <w:spacing w:val="-3"/>
        </w:rPr>
        <w:t> </w:t>
      </w:r>
      <w:r>
        <w:rPr>
          <w:color w:val="231F20"/>
        </w:rPr>
        <w:t>transmission</w:t>
      </w:r>
      <w:r>
        <w:rPr>
          <w:color w:val="231F20"/>
          <w:spacing w:val="-2"/>
        </w:rPr>
        <w:t> </w:t>
      </w:r>
      <w:r>
        <w:rPr>
          <w:color w:val="231F20"/>
        </w:rPr>
        <w:t>at</w:t>
      </w:r>
    </w:p>
    <w:p>
      <w:pPr>
        <w:pStyle w:val="BodyText"/>
        <w:spacing w:line="246" w:lineRule="exact"/>
        <w:ind w:left="520"/>
        <w:jc w:val="both"/>
      </w:pPr>
      <w:r>
        <w:rPr>
          <w:color w:val="231F20"/>
        </w:rPr>
        <w:t>each</w:t>
      </w:r>
      <w:r>
        <w:rPr>
          <w:color w:val="231F20"/>
          <w:spacing w:val="-2"/>
        </w:rPr>
        <w:t> </w:t>
      </w:r>
      <w:r>
        <w:rPr>
          <w:color w:val="231F20"/>
        </w:rPr>
        <w:t>step</w:t>
      </w:r>
      <w:r>
        <w:rPr>
          <w:color w:val="231F20"/>
          <w:spacing w:val="-2"/>
        </w:rPr>
        <w:t> </w:t>
      </w:r>
      <w:r>
        <w:rPr>
          <w:color w:val="231F20"/>
        </w:rPr>
        <w:t>of</w:t>
      </w:r>
      <w:r>
        <w:rPr>
          <w:color w:val="231F20"/>
          <w:spacing w:val="-2"/>
        </w:rPr>
        <w:t> </w:t>
      </w:r>
      <w:r>
        <w:rPr>
          <w:color w:val="231F20"/>
        </w:rPr>
        <w:t>the</w:t>
      </w:r>
      <w:r>
        <w:rPr>
          <w:color w:val="231F20"/>
          <w:spacing w:val="-1"/>
        </w:rPr>
        <w:t> </w:t>
      </w:r>
      <w:r>
        <w:rPr>
          <w:color w:val="231F20"/>
        </w:rPr>
        <w:t>care</w:t>
      </w:r>
      <w:r>
        <w:rPr>
          <w:color w:val="231F20"/>
          <w:spacing w:val="-2"/>
        </w:rPr>
        <w:t> </w:t>
      </w:r>
      <w:r>
        <w:rPr>
          <w:color w:val="231F20"/>
        </w:rPr>
        <w:t>continuum</w:t>
      </w:r>
      <w:r>
        <w:rPr>
          <w:color w:val="231F20"/>
          <w:spacing w:val="-1"/>
        </w:rPr>
        <w:t> </w:t>
      </w:r>
      <w:r>
        <w:rPr>
          <w:color w:val="231F20"/>
        </w:rPr>
        <w:t>in</w:t>
      </w:r>
      <w:r>
        <w:rPr>
          <w:color w:val="231F20"/>
          <w:spacing w:val="-2"/>
        </w:rPr>
        <w:t> </w:t>
      </w:r>
      <w:r>
        <w:rPr>
          <w:color w:val="231F20"/>
        </w:rPr>
        <w:t>the</w:t>
      </w:r>
      <w:r>
        <w:rPr>
          <w:color w:val="231F20"/>
          <w:spacing w:val="-1"/>
        </w:rPr>
        <w:t> </w:t>
      </w:r>
      <w:r>
        <w:rPr>
          <w:color w:val="231F20"/>
        </w:rPr>
        <w:t>United</w:t>
      </w:r>
      <w:r>
        <w:rPr>
          <w:color w:val="231F20"/>
          <w:spacing w:val="-3"/>
        </w:rPr>
        <w:t> </w:t>
      </w:r>
      <w:r>
        <w:rPr>
          <w:color w:val="231F20"/>
        </w:rPr>
        <w:t>States.</w:t>
      </w:r>
    </w:p>
    <w:p>
      <w:pPr>
        <w:pStyle w:val="BodyText"/>
        <w:spacing w:line="228" w:lineRule="auto" w:before="101"/>
        <w:ind w:left="520" w:right="1016"/>
        <w:jc w:val="both"/>
      </w:pPr>
      <w:r>
        <w:rPr/>
        <w:br w:type="column"/>
      </w:r>
      <w:r>
        <w:rPr>
          <w:color w:val="231F20"/>
          <w:spacing w:val="-1"/>
        </w:rPr>
        <w:t>JAMA Intern </w:t>
      </w:r>
      <w:r>
        <w:rPr>
          <w:color w:val="231F20"/>
        </w:rPr>
        <w:t>Med. 2015;175(4):588–596</w:t>
      </w:r>
      <w:r>
        <w:rPr>
          <w:color w:val="444445"/>
        </w:rPr>
        <w:t>. </w:t>
      </w:r>
      <w:hyperlink r:id="rId49">
        <w:r>
          <w:rPr>
            <w:color w:val="3953A4"/>
            <w:u w:val="single" w:color="3953A4"/>
          </w:rPr>
          <w:t>https://</w:t>
        </w:r>
      </w:hyperlink>
      <w:r>
        <w:rPr>
          <w:color w:val="3953A4"/>
          <w:spacing w:val="-52"/>
        </w:rPr>
        <w:t> </w:t>
      </w:r>
      <w:hyperlink r:id="rId49">
        <w:r>
          <w:rPr>
            <w:color w:val="3953A4"/>
            <w:u w:val="single" w:color="3953A4"/>
          </w:rPr>
          <w:t>jamanetwork.com/journals/jamainternalmedicine/</w:t>
        </w:r>
      </w:hyperlink>
      <w:r>
        <w:rPr>
          <w:color w:val="3953A4"/>
          <w:spacing w:val="-53"/>
        </w:rPr>
        <w:t> </w:t>
      </w:r>
      <w:hyperlink r:id="rId49">
        <w:r>
          <w:rPr>
            <w:color w:val="3953A4"/>
            <w:u w:val="single" w:color="3953A4"/>
          </w:rPr>
          <w:t>fullarticle/2130723</w:t>
        </w:r>
      </w:hyperlink>
    </w:p>
    <w:p>
      <w:pPr>
        <w:pStyle w:val="BodyText"/>
        <w:spacing w:line="247" w:lineRule="exact" w:before="81"/>
        <w:ind w:left="160"/>
        <w:jc w:val="both"/>
      </w:pPr>
      <w:r>
        <w:rPr>
          <w:color w:val="231F20"/>
          <w:w w:val="95"/>
          <w:vertAlign w:val="superscript"/>
        </w:rPr>
        <w:t>13</w:t>
      </w:r>
      <w:r>
        <w:rPr>
          <w:color w:val="231F20"/>
          <w:spacing w:val="54"/>
          <w:vertAlign w:val="baseline"/>
        </w:rPr>
        <w:t> </w:t>
      </w:r>
      <w:r>
        <w:rPr>
          <w:color w:val="231F20"/>
          <w:spacing w:val="56"/>
          <w:vertAlign w:val="baseline"/>
        </w:rPr>
        <w:t> </w:t>
      </w:r>
      <w:r>
        <w:rPr>
          <w:color w:val="231F20"/>
          <w:w w:val="95"/>
          <w:vertAlign w:val="baseline"/>
        </w:rPr>
        <w:t>Moyer,</w:t>
      </w:r>
      <w:r>
        <w:rPr>
          <w:color w:val="231F20"/>
          <w:spacing w:val="7"/>
          <w:w w:val="95"/>
          <w:vertAlign w:val="baseline"/>
        </w:rPr>
        <w:t> </w:t>
      </w:r>
      <w:r>
        <w:rPr>
          <w:color w:val="231F20"/>
          <w:w w:val="95"/>
          <w:vertAlign w:val="baseline"/>
        </w:rPr>
        <w:t>VA</w:t>
      </w:r>
      <w:r>
        <w:rPr>
          <w:color w:val="231F20"/>
          <w:spacing w:val="-3"/>
          <w:w w:val="95"/>
          <w:vertAlign w:val="baseline"/>
        </w:rPr>
        <w:t> </w:t>
      </w:r>
      <w:r>
        <w:rPr>
          <w:color w:val="231F20"/>
          <w:w w:val="95"/>
          <w:vertAlign w:val="baseline"/>
        </w:rPr>
        <w:t>US</w:t>
      </w:r>
      <w:r>
        <w:rPr>
          <w:color w:val="231F20"/>
          <w:spacing w:val="11"/>
          <w:w w:val="95"/>
          <w:vertAlign w:val="baseline"/>
        </w:rPr>
        <w:t> </w:t>
      </w:r>
      <w:r>
        <w:rPr>
          <w:color w:val="231F20"/>
          <w:w w:val="95"/>
          <w:vertAlign w:val="baseline"/>
        </w:rPr>
        <w:t>Preventive</w:t>
      </w:r>
      <w:r>
        <w:rPr>
          <w:color w:val="231F20"/>
          <w:spacing w:val="12"/>
          <w:w w:val="95"/>
          <w:vertAlign w:val="baseline"/>
        </w:rPr>
        <w:t> </w:t>
      </w:r>
      <w:r>
        <w:rPr>
          <w:color w:val="231F20"/>
          <w:w w:val="95"/>
          <w:vertAlign w:val="baseline"/>
        </w:rPr>
        <w:t>Services</w:t>
      </w:r>
      <w:r>
        <w:rPr>
          <w:color w:val="231F20"/>
          <w:spacing w:val="6"/>
          <w:w w:val="95"/>
          <w:vertAlign w:val="baseline"/>
        </w:rPr>
        <w:t> </w:t>
      </w:r>
      <w:r>
        <w:rPr>
          <w:color w:val="231F20"/>
          <w:w w:val="95"/>
          <w:vertAlign w:val="baseline"/>
        </w:rPr>
        <w:t>Task</w:t>
      </w:r>
      <w:r>
        <w:rPr>
          <w:color w:val="231F20"/>
          <w:spacing w:val="12"/>
          <w:w w:val="95"/>
          <w:vertAlign w:val="baseline"/>
        </w:rPr>
        <w:t> </w:t>
      </w:r>
      <w:r>
        <w:rPr>
          <w:color w:val="231F20"/>
          <w:w w:val="95"/>
          <w:vertAlign w:val="baseline"/>
        </w:rPr>
        <w:t>Force</w:t>
      </w:r>
    </w:p>
    <w:p>
      <w:pPr>
        <w:pStyle w:val="BodyText"/>
        <w:spacing w:line="230" w:lineRule="auto" w:before="3"/>
        <w:ind w:left="519" w:right="943"/>
      </w:pPr>
      <w:r>
        <w:rPr>
          <w:color w:val="231F20"/>
        </w:rPr>
        <w:t>. Screening for HIV: U.S. Preventive Services</w:t>
      </w:r>
      <w:r>
        <w:rPr>
          <w:color w:val="231F20"/>
          <w:spacing w:val="1"/>
        </w:rPr>
        <w:t> </w:t>
      </w:r>
      <w:r>
        <w:rPr>
          <w:color w:val="231F20"/>
          <w:spacing w:val="-1"/>
        </w:rPr>
        <w:t>Task</w:t>
      </w:r>
      <w:r>
        <w:rPr>
          <w:color w:val="231F20"/>
        </w:rPr>
        <w:t> </w:t>
      </w:r>
      <w:r>
        <w:rPr>
          <w:color w:val="231F20"/>
          <w:spacing w:val="-1"/>
        </w:rPr>
        <w:t>Force recommendation</w:t>
      </w:r>
      <w:r>
        <w:rPr>
          <w:color w:val="231F20"/>
          <w:spacing w:val="1"/>
        </w:rPr>
        <w:t> </w:t>
      </w:r>
      <w:r>
        <w:rPr>
          <w:color w:val="231F20"/>
          <w:spacing w:val="-1"/>
        </w:rPr>
        <w:t>statement.</w:t>
      </w:r>
      <w:r>
        <w:rPr>
          <w:color w:val="231F20"/>
          <w:spacing w:val="-13"/>
        </w:rPr>
        <w:t> </w:t>
      </w:r>
      <w:r>
        <w:rPr>
          <w:color w:val="231F20"/>
        </w:rPr>
        <w:t>Ann</w:t>
      </w:r>
      <w:r>
        <w:rPr>
          <w:color w:val="231F20"/>
          <w:spacing w:val="-1"/>
        </w:rPr>
        <w:t> </w:t>
      </w:r>
      <w:r>
        <w:rPr>
          <w:color w:val="231F20"/>
        </w:rPr>
        <w:t>Intern</w:t>
      </w:r>
    </w:p>
    <w:p>
      <w:pPr>
        <w:pStyle w:val="BodyText"/>
        <w:spacing w:line="238" w:lineRule="exact"/>
        <w:ind w:left="519"/>
      </w:pPr>
      <w:r>
        <w:rPr>
          <w:color w:val="231F20"/>
        </w:rPr>
        <w:t>Med.</w:t>
      </w:r>
      <w:r>
        <w:rPr>
          <w:color w:val="231F20"/>
          <w:spacing w:val="-8"/>
        </w:rPr>
        <w:t> </w:t>
      </w:r>
      <w:r>
        <w:rPr>
          <w:color w:val="231F20"/>
        </w:rPr>
        <w:t>2013;159:51–60.</w:t>
      </w:r>
      <w:r>
        <w:rPr>
          <w:color w:val="231F20"/>
          <w:spacing w:val="-7"/>
        </w:rPr>
        <w:t> </w:t>
      </w:r>
      <w:hyperlink r:id="rId50">
        <w:r>
          <w:rPr>
            <w:color w:val="3953A4"/>
            <w:u w:val="single" w:color="3953A4"/>
          </w:rPr>
          <w:t>https://www.acpjournals.org/</w:t>
        </w:r>
      </w:hyperlink>
    </w:p>
    <w:p>
      <w:pPr>
        <w:pStyle w:val="BodyText"/>
        <w:spacing w:line="247" w:lineRule="exact"/>
        <w:ind w:left="519"/>
      </w:pPr>
      <w:hyperlink r:id="rId50">
        <w:r>
          <w:rPr>
            <w:color w:val="3953A4"/>
            <w:u w:val="single" w:color="3953A4"/>
          </w:rPr>
          <w:t>doi/10.7326/0003-4819-159-1-201307020-00645</w:t>
        </w:r>
      </w:hyperlink>
    </w:p>
    <w:p>
      <w:pPr>
        <w:pStyle w:val="BodyText"/>
        <w:tabs>
          <w:tab w:pos="519" w:val="left" w:leader="none"/>
        </w:tabs>
        <w:spacing w:line="230" w:lineRule="auto" w:before="197"/>
        <w:ind w:left="520" w:right="964" w:hanging="360"/>
      </w:pPr>
      <w:r>
        <w:rPr>
          <w:color w:val="231F20"/>
          <w:vertAlign w:val="superscript"/>
        </w:rPr>
        <w:t>14</w:t>
      </w:r>
      <w:r>
        <w:rPr>
          <w:color w:val="231F20"/>
          <w:vertAlign w:val="baseline"/>
        </w:rPr>
        <w:tab/>
      </w:r>
      <w:r>
        <w:rPr>
          <w:color w:val="231F20"/>
          <w:spacing w:val="-1"/>
          <w:vertAlign w:val="baseline"/>
        </w:rPr>
        <w:t>Background: The Affordable </w:t>
      </w:r>
      <w:r>
        <w:rPr>
          <w:color w:val="231F20"/>
          <w:vertAlign w:val="baseline"/>
        </w:rPr>
        <w:t>Care Act’s new rules</w:t>
      </w:r>
      <w:r>
        <w:rPr>
          <w:color w:val="231F20"/>
          <w:spacing w:val="-52"/>
          <w:vertAlign w:val="baseline"/>
        </w:rPr>
        <w:t> </w:t>
      </w:r>
      <w:r>
        <w:rPr>
          <w:color w:val="231F20"/>
          <w:vertAlign w:val="baseline"/>
        </w:rPr>
        <w:t>on preventive care. </w:t>
      </w:r>
      <w:hyperlink r:id="rId51">
        <w:r>
          <w:rPr>
            <w:color w:val="231F20"/>
            <w:vertAlign w:val="baseline"/>
          </w:rPr>
          <w:t>CMS.gov</w:t>
        </w:r>
      </w:hyperlink>
      <w:r>
        <w:rPr>
          <w:color w:val="231F20"/>
          <w:vertAlign w:val="baseline"/>
        </w:rPr>
        <w:t> website. Published</w:t>
      </w:r>
      <w:r>
        <w:rPr>
          <w:color w:val="231F20"/>
          <w:spacing w:val="1"/>
          <w:vertAlign w:val="baseline"/>
        </w:rPr>
        <w:t> </w:t>
      </w:r>
      <w:r>
        <w:rPr>
          <w:color w:val="231F20"/>
          <w:spacing w:val="-1"/>
          <w:vertAlign w:val="baseline"/>
        </w:rPr>
        <w:t>July 14, </w:t>
      </w:r>
      <w:r>
        <w:rPr>
          <w:color w:val="231F20"/>
          <w:vertAlign w:val="baseline"/>
        </w:rPr>
        <w:t>2010. Accessed October 1, 2019. </w:t>
      </w:r>
      <w:hyperlink r:id="rId52">
        <w:r>
          <w:rPr>
            <w:color w:val="3953A4"/>
            <w:u w:val="single" w:color="3953A4"/>
            <w:vertAlign w:val="baseline"/>
          </w:rPr>
          <w:t>https://</w:t>
        </w:r>
      </w:hyperlink>
      <w:r>
        <w:rPr>
          <w:color w:val="3953A4"/>
          <w:spacing w:val="1"/>
          <w:vertAlign w:val="baseline"/>
        </w:rPr>
        <w:t> </w:t>
      </w:r>
      <w:hyperlink r:id="rId52">
        <w:r>
          <w:rPr>
            <w:color w:val="3953A4"/>
            <w:spacing w:val="-1"/>
            <w:u w:val="single" w:color="3953A4"/>
            <w:vertAlign w:val="baseline"/>
          </w:rPr>
          <w:t>www.cms.gov/CCIIO/Resources/Fact-Sheets-and-</w:t>
        </w:r>
      </w:hyperlink>
      <w:r>
        <w:rPr>
          <w:color w:val="3953A4"/>
          <w:spacing w:val="-52"/>
          <w:vertAlign w:val="baseline"/>
        </w:rPr>
        <w:t> </w:t>
      </w:r>
      <w:hyperlink r:id="rId52">
        <w:r>
          <w:rPr>
            <w:color w:val="3953A4"/>
            <w:u w:val="single" w:color="3953A4"/>
            <w:vertAlign w:val="baseline"/>
          </w:rPr>
          <w:t>FAQs/preventive-care-background.html</w:t>
        </w:r>
      </w:hyperlink>
    </w:p>
    <w:p>
      <w:pPr>
        <w:pStyle w:val="BodyText"/>
        <w:tabs>
          <w:tab w:pos="519" w:val="left" w:leader="none"/>
        </w:tabs>
        <w:spacing w:line="246" w:lineRule="exact" w:before="185"/>
        <w:ind w:left="160"/>
      </w:pPr>
      <w:r>
        <w:rPr>
          <w:color w:val="231F20"/>
          <w:vertAlign w:val="superscript"/>
        </w:rPr>
        <w:t>15</w:t>
      </w:r>
      <w:r>
        <w:rPr>
          <w:color w:val="231F20"/>
          <w:vertAlign w:val="baseline"/>
        </w:rPr>
        <w:tab/>
      </w:r>
      <w:r>
        <w:rPr>
          <w:color w:val="231F20"/>
          <w:spacing w:val="-2"/>
          <w:vertAlign w:val="baseline"/>
        </w:rPr>
        <w:t>Owens,</w:t>
      </w:r>
      <w:r>
        <w:rPr>
          <w:color w:val="231F20"/>
          <w:spacing w:val="-1"/>
          <w:vertAlign w:val="baseline"/>
        </w:rPr>
        <w:t> </w:t>
      </w:r>
      <w:r>
        <w:rPr>
          <w:color w:val="231F20"/>
          <w:spacing w:val="-2"/>
          <w:vertAlign w:val="baseline"/>
        </w:rPr>
        <w:t>D.</w:t>
      </w:r>
      <w:r>
        <w:rPr>
          <w:color w:val="231F20"/>
          <w:spacing w:val="-1"/>
          <w:vertAlign w:val="baseline"/>
        </w:rPr>
        <w:t> </w:t>
      </w:r>
      <w:r>
        <w:rPr>
          <w:color w:val="231F20"/>
          <w:spacing w:val="-2"/>
          <w:vertAlign w:val="baseline"/>
        </w:rPr>
        <w:t>K.,</w:t>
      </w:r>
      <w:r>
        <w:rPr>
          <w:color w:val="231F20"/>
          <w:spacing w:val="-1"/>
          <w:vertAlign w:val="baseline"/>
        </w:rPr>
        <w:t> </w:t>
      </w:r>
      <w:r>
        <w:rPr>
          <w:color w:val="231F20"/>
          <w:spacing w:val="-2"/>
          <w:vertAlign w:val="baseline"/>
        </w:rPr>
        <w:t>Davidson,</w:t>
      </w:r>
      <w:r>
        <w:rPr>
          <w:color w:val="231F20"/>
          <w:spacing w:val="-1"/>
          <w:vertAlign w:val="baseline"/>
        </w:rPr>
        <w:t> K.</w:t>
      </w:r>
      <w:r>
        <w:rPr>
          <w:color w:val="231F20"/>
          <w:spacing w:val="-4"/>
          <w:vertAlign w:val="baseline"/>
        </w:rPr>
        <w:t> </w:t>
      </w:r>
      <w:r>
        <w:rPr>
          <w:color w:val="231F20"/>
          <w:spacing w:val="-1"/>
          <w:vertAlign w:val="baseline"/>
        </w:rPr>
        <w:t>W.,</w:t>
      </w:r>
      <w:r>
        <w:rPr>
          <w:color w:val="231F20"/>
          <w:vertAlign w:val="baseline"/>
        </w:rPr>
        <w:t> </w:t>
      </w:r>
      <w:r>
        <w:rPr>
          <w:color w:val="231F20"/>
          <w:spacing w:val="-1"/>
          <w:vertAlign w:val="baseline"/>
        </w:rPr>
        <w:t>Krist,</w:t>
      </w:r>
      <w:r>
        <w:rPr>
          <w:color w:val="231F20"/>
          <w:spacing w:val="-13"/>
          <w:vertAlign w:val="baseline"/>
        </w:rPr>
        <w:t> </w:t>
      </w:r>
      <w:r>
        <w:rPr>
          <w:color w:val="231F20"/>
          <w:spacing w:val="-1"/>
          <w:vertAlign w:val="baseline"/>
        </w:rPr>
        <w:t>A. H., Barry,</w:t>
      </w:r>
    </w:p>
    <w:p>
      <w:pPr>
        <w:pStyle w:val="BodyText"/>
        <w:spacing w:line="228" w:lineRule="auto" w:before="4"/>
        <w:ind w:left="519" w:right="720"/>
      </w:pPr>
      <w:r>
        <w:rPr>
          <w:color w:val="231F20"/>
          <w:spacing w:val="-2"/>
        </w:rPr>
        <w:t>M. </w:t>
      </w:r>
      <w:r>
        <w:rPr>
          <w:color w:val="231F20"/>
          <w:spacing w:val="-1"/>
        </w:rPr>
        <w:t>J., Cabana, M., Caughey, A. B., Curry, S. J.,</w:t>
      </w:r>
      <w:r>
        <w:rPr>
          <w:color w:val="231F20"/>
        </w:rPr>
        <w:t> </w:t>
      </w:r>
      <w:r>
        <w:rPr>
          <w:color w:val="231F20"/>
          <w:spacing w:val="-1"/>
        </w:rPr>
        <w:t>Doubeni, C.</w:t>
      </w:r>
      <w:r>
        <w:rPr>
          <w:color w:val="231F20"/>
          <w:spacing w:val="-12"/>
        </w:rPr>
        <w:t> </w:t>
      </w:r>
      <w:r>
        <w:rPr>
          <w:color w:val="231F20"/>
          <w:spacing w:val="-1"/>
        </w:rPr>
        <w:t>A.,</w:t>
      </w:r>
      <w:r>
        <w:rPr>
          <w:color w:val="231F20"/>
        </w:rPr>
        <w:t> </w:t>
      </w:r>
      <w:r>
        <w:rPr>
          <w:color w:val="231F20"/>
          <w:spacing w:val="-1"/>
        </w:rPr>
        <w:t>Epling,</w:t>
      </w:r>
      <w:r>
        <w:rPr>
          <w:color w:val="231F20"/>
        </w:rPr>
        <w:t> </w:t>
      </w:r>
      <w:r>
        <w:rPr>
          <w:color w:val="231F20"/>
          <w:spacing w:val="-1"/>
        </w:rPr>
        <w:t>J.</w:t>
      </w:r>
      <w:r>
        <w:rPr>
          <w:color w:val="231F20"/>
          <w:spacing w:val="-4"/>
        </w:rPr>
        <w:t> </w:t>
      </w:r>
      <w:r>
        <w:rPr>
          <w:color w:val="231F20"/>
          <w:spacing w:val="-1"/>
        </w:rPr>
        <w:t>W.,</w:t>
      </w:r>
      <w:r>
        <w:rPr>
          <w:color w:val="231F20"/>
          <w:spacing w:val="1"/>
        </w:rPr>
        <w:t> </w:t>
      </w:r>
      <w:r>
        <w:rPr>
          <w:color w:val="231F20"/>
          <w:spacing w:val="-1"/>
        </w:rPr>
        <w:t>Kubik, M.,</w:t>
      </w:r>
      <w:r>
        <w:rPr>
          <w:color w:val="231F20"/>
        </w:rPr>
        <w:t> </w:t>
      </w:r>
      <w:r>
        <w:rPr>
          <w:color w:val="231F20"/>
          <w:spacing w:val="-1"/>
        </w:rPr>
        <w:t>Landefeld,</w:t>
      </w:r>
    </w:p>
    <w:p>
      <w:pPr>
        <w:pStyle w:val="BodyText"/>
        <w:spacing w:line="228" w:lineRule="auto"/>
        <w:ind w:left="519" w:right="838"/>
      </w:pPr>
      <w:r>
        <w:rPr>
          <w:color w:val="231F20"/>
        </w:rPr>
        <w:t>C. S., Mangione, C. M., Pbert, L., Silverstein, M.,</w:t>
      </w:r>
      <w:r>
        <w:rPr>
          <w:color w:val="231F20"/>
          <w:spacing w:val="1"/>
        </w:rPr>
        <w:t> </w:t>
      </w:r>
      <w:r>
        <w:rPr>
          <w:color w:val="231F20"/>
          <w:spacing w:val="-2"/>
        </w:rPr>
        <w:t>Simon, M. A., Tseng, C.-W., &amp; Wong, </w:t>
      </w:r>
      <w:r>
        <w:rPr>
          <w:color w:val="231F20"/>
          <w:spacing w:val="-1"/>
        </w:rPr>
        <w:t>J. B. (2019).</w:t>
      </w:r>
      <w:r>
        <w:rPr>
          <w:color w:val="231F20"/>
        </w:rPr>
        <w:t> Screening</w:t>
      </w:r>
      <w:r>
        <w:rPr>
          <w:color w:val="231F20"/>
          <w:spacing w:val="-3"/>
        </w:rPr>
        <w:t> </w:t>
      </w:r>
      <w:r>
        <w:rPr>
          <w:color w:val="231F20"/>
        </w:rPr>
        <w:t>for</w:t>
      </w:r>
      <w:r>
        <w:rPr>
          <w:color w:val="231F20"/>
          <w:spacing w:val="-2"/>
        </w:rPr>
        <w:t> </w:t>
      </w:r>
      <w:r>
        <w:rPr>
          <w:color w:val="231F20"/>
        </w:rPr>
        <w:t>HIV</w:t>
      </w:r>
      <w:r>
        <w:rPr>
          <w:color w:val="231F20"/>
          <w:spacing w:val="-5"/>
        </w:rPr>
        <w:t> </w:t>
      </w:r>
      <w:r>
        <w:rPr>
          <w:color w:val="231F20"/>
        </w:rPr>
        <w:t>Infection.</w:t>
      </w:r>
      <w:r>
        <w:rPr>
          <w:color w:val="231F20"/>
          <w:spacing w:val="-2"/>
        </w:rPr>
        <w:t> </w:t>
      </w:r>
      <w:r>
        <w:rPr>
          <w:i/>
          <w:color w:val="231F20"/>
        </w:rPr>
        <w:t>JAMA</w:t>
      </w:r>
      <w:r>
        <w:rPr>
          <w:color w:val="231F20"/>
        </w:rPr>
        <w:t>,</w:t>
      </w:r>
      <w:r>
        <w:rPr>
          <w:color w:val="231F20"/>
          <w:spacing w:val="-1"/>
        </w:rPr>
        <w:t> </w:t>
      </w:r>
      <w:r>
        <w:rPr>
          <w:i/>
          <w:color w:val="231F20"/>
        </w:rPr>
        <w:t>321</w:t>
      </w:r>
      <w:r>
        <w:rPr>
          <w:color w:val="231F20"/>
        </w:rPr>
        <w:t>(23),</w:t>
      </w:r>
      <w:r>
        <w:rPr>
          <w:color w:val="231F20"/>
          <w:spacing w:val="-2"/>
        </w:rPr>
        <w:t> </w:t>
      </w:r>
      <w:r>
        <w:rPr>
          <w:color w:val="231F20"/>
        </w:rPr>
        <w:t>2326.</w:t>
      </w:r>
      <w:r>
        <w:rPr>
          <w:color w:val="3953A4"/>
          <w:spacing w:val="-52"/>
        </w:rPr>
        <w:t> </w:t>
      </w:r>
      <w:hyperlink r:id="rId53">
        <w:r>
          <w:rPr>
            <w:color w:val="3953A4"/>
            <w:u w:val="single" w:color="3953A4"/>
          </w:rPr>
          <w:t>https://doi.org/10.1001/jama.2019.6587</w:t>
        </w:r>
      </w:hyperlink>
    </w:p>
    <w:p>
      <w:pPr>
        <w:tabs>
          <w:tab w:pos="519" w:val="left" w:leader="none"/>
        </w:tabs>
        <w:spacing w:line="228" w:lineRule="auto" w:before="88"/>
        <w:ind w:left="519" w:right="890" w:hanging="360"/>
        <w:jc w:val="left"/>
        <w:rPr>
          <w:sz w:val="22"/>
        </w:rPr>
      </w:pPr>
      <w:r>
        <w:rPr>
          <w:color w:val="231F20"/>
          <w:sz w:val="22"/>
          <w:vertAlign w:val="superscript"/>
        </w:rPr>
        <w:t>16</w:t>
      </w:r>
      <w:r>
        <w:rPr>
          <w:color w:val="231F20"/>
          <w:sz w:val="22"/>
          <w:vertAlign w:val="baseline"/>
        </w:rPr>
        <w:tab/>
        <w:t>Centers</w:t>
      </w:r>
      <w:r>
        <w:rPr>
          <w:color w:val="231F20"/>
          <w:spacing w:val="-3"/>
          <w:sz w:val="22"/>
          <w:vertAlign w:val="baseline"/>
        </w:rPr>
        <w:t> </w:t>
      </w:r>
      <w:r>
        <w:rPr>
          <w:color w:val="231F20"/>
          <w:sz w:val="22"/>
          <w:vertAlign w:val="baseline"/>
        </w:rPr>
        <w:t>for</w:t>
      </w:r>
      <w:r>
        <w:rPr>
          <w:color w:val="231F20"/>
          <w:spacing w:val="-3"/>
          <w:sz w:val="22"/>
          <w:vertAlign w:val="baseline"/>
        </w:rPr>
        <w:t> </w:t>
      </w:r>
      <w:r>
        <w:rPr>
          <w:color w:val="231F20"/>
          <w:sz w:val="22"/>
          <w:vertAlign w:val="baseline"/>
        </w:rPr>
        <w:t>Disease</w:t>
      </w:r>
      <w:r>
        <w:rPr>
          <w:color w:val="231F20"/>
          <w:spacing w:val="-3"/>
          <w:sz w:val="22"/>
          <w:vertAlign w:val="baseline"/>
        </w:rPr>
        <w:t> </w:t>
      </w:r>
      <w:r>
        <w:rPr>
          <w:color w:val="231F20"/>
          <w:sz w:val="22"/>
          <w:vertAlign w:val="baseline"/>
        </w:rPr>
        <w:t>Control</w:t>
      </w:r>
      <w:r>
        <w:rPr>
          <w:color w:val="231F20"/>
          <w:spacing w:val="-3"/>
          <w:sz w:val="22"/>
          <w:vertAlign w:val="baseline"/>
        </w:rPr>
        <w:t> </w:t>
      </w:r>
      <w:r>
        <w:rPr>
          <w:color w:val="231F20"/>
          <w:sz w:val="22"/>
          <w:vertAlign w:val="baseline"/>
        </w:rPr>
        <w:t>and</w:t>
      </w:r>
      <w:r>
        <w:rPr>
          <w:color w:val="231F20"/>
          <w:spacing w:val="-2"/>
          <w:sz w:val="22"/>
          <w:vertAlign w:val="baseline"/>
        </w:rPr>
        <w:t> </w:t>
      </w:r>
      <w:r>
        <w:rPr>
          <w:color w:val="231F20"/>
          <w:sz w:val="22"/>
          <w:vertAlign w:val="baseline"/>
        </w:rPr>
        <w:t>Prevention.</w:t>
      </w:r>
      <w:r>
        <w:rPr>
          <w:color w:val="231F20"/>
          <w:spacing w:val="-4"/>
          <w:sz w:val="22"/>
          <w:vertAlign w:val="baseline"/>
        </w:rPr>
        <w:t> </w:t>
      </w:r>
      <w:r>
        <w:rPr>
          <w:color w:val="231F20"/>
          <w:sz w:val="22"/>
          <w:vertAlign w:val="baseline"/>
        </w:rPr>
        <w:t>(2020,</w:t>
      </w:r>
      <w:r>
        <w:rPr>
          <w:color w:val="231F20"/>
          <w:spacing w:val="-52"/>
          <w:sz w:val="22"/>
          <w:vertAlign w:val="baseline"/>
        </w:rPr>
        <w:t> </w:t>
      </w:r>
      <w:r>
        <w:rPr>
          <w:color w:val="231F20"/>
          <w:sz w:val="22"/>
          <w:vertAlign w:val="baseline"/>
        </w:rPr>
        <w:t>August 4). </w:t>
      </w:r>
      <w:r>
        <w:rPr>
          <w:i/>
          <w:color w:val="231F20"/>
          <w:sz w:val="22"/>
          <w:vertAlign w:val="baseline"/>
        </w:rPr>
        <w:t>HIV Testing: Let’s Stop HIV Together</w:t>
      </w:r>
      <w:r>
        <w:rPr>
          <w:color w:val="231F20"/>
          <w:sz w:val="22"/>
          <w:vertAlign w:val="baseline"/>
        </w:rPr>
        <w:t>.</w:t>
      </w:r>
      <w:r>
        <w:rPr>
          <w:color w:val="231F20"/>
          <w:spacing w:val="1"/>
          <w:sz w:val="22"/>
          <w:vertAlign w:val="baseline"/>
        </w:rPr>
        <w:t> </w:t>
      </w:r>
      <w:hyperlink r:id="rId54">
        <w:r>
          <w:rPr>
            <w:color w:val="3953A4"/>
            <w:sz w:val="22"/>
            <w:u w:val="single" w:color="3953A4"/>
            <w:vertAlign w:val="baseline"/>
          </w:rPr>
          <w:t>https://www.cdc.gov/stophivtogether/hiv-testing/</w:t>
        </w:r>
      </w:hyperlink>
      <w:r>
        <w:rPr>
          <w:color w:val="3953A4"/>
          <w:spacing w:val="1"/>
          <w:sz w:val="22"/>
          <w:vertAlign w:val="baseline"/>
        </w:rPr>
        <w:t> </w:t>
      </w:r>
      <w:hyperlink r:id="rId54">
        <w:r>
          <w:rPr>
            <w:color w:val="3953A4"/>
            <w:sz w:val="22"/>
            <w:u w:val="single" w:color="3953A4"/>
            <w:vertAlign w:val="baseline"/>
          </w:rPr>
          <w:t>index.html</w:t>
        </w:r>
      </w:hyperlink>
    </w:p>
    <w:p>
      <w:pPr>
        <w:pStyle w:val="BodyText"/>
        <w:tabs>
          <w:tab w:pos="519" w:val="left" w:leader="none"/>
        </w:tabs>
        <w:spacing w:line="228" w:lineRule="auto" w:before="89"/>
        <w:ind w:left="519" w:right="767" w:hanging="360"/>
      </w:pPr>
      <w:r>
        <w:rPr>
          <w:color w:val="231F20"/>
          <w:vertAlign w:val="superscript"/>
        </w:rPr>
        <w:t>17</w:t>
      </w:r>
      <w:r>
        <w:rPr>
          <w:color w:val="231F20"/>
          <w:vertAlign w:val="baseline"/>
        </w:rPr>
        <w:tab/>
        <w:t>Centers for Disease Control and Prevention.</w:t>
      </w:r>
      <w:r>
        <w:rPr>
          <w:color w:val="231F20"/>
          <w:spacing w:val="1"/>
          <w:vertAlign w:val="baseline"/>
        </w:rPr>
        <w:t> </w:t>
      </w:r>
      <w:r>
        <w:rPr>
          <w:color w:val="231F20"/>
          <w:vertAlign w:val="baseline"/>
        </w:rPr>
        <w:t>GetTested:</w:t>
      </w:r>
      <w:r>
        <w:rPr>
          <w:color w:val="231F20"/>
          <w:spacing w:val="-10"/>
          <w:vertAlign w:val="baseline"/>
        </w:rPr>
        <w:t> </w:t>
      </w:r>
      <w:r>
        <w:rPr>
          <w:color w:val="231F20"/>
          <w:vertAlign w:val="baseline"/>
        </w:rPr>
        <w:t>National</w:t>
      </w:r>
      <w:r>
        <w:rPr>
          <w:color w:val="231F20"/>
          <w:spacing w:val="-10"/>
          <w:vertAlign w:val="baseline"/>
        </w:rPr>
        <w:t> </w:t>
      </w:r>
      <w:r>
        <w:rPr>
          <w:color w:val="231F20"/>
          <w:vertAlign w:val="baseline"/>
        </w:rPr>
        <w:t>HIV,</w:t>
      </w:r>
      <w:r>
        <w:rPr>
          <w:color w:val="231F20"/>
          <w:spacing w:val="-10"/>
          <w:vertAlign w:val="baseline"/>
        </w:rPr>
        <w:t> </w:t>
      </w:r>
      <w:r>
        <w:rPr>
          <w:color w:val="231F20"/>
          <w:vertAlign w:val="baseline"/>
        </w:rPr>
        <w:t>STD,</w:t>
      </w:r>
      <w:r>
        <w:rPr>
          <w:color w:val="231F20"/>
          <w:spacing w:val="-10"/>
          <w:vertAlign w:val="baseline"/>
        </w:rPr>
        <w:t> </w:t>
      </w:r>
      <w:r>
        <w:rPr>
          <w:color w:val="231F20"/>
          <w:vertAlign w:val="baseline"/>
        </w:rPr>
        <w:t>and</w:t>
      </w:r>
      <w:r>
        <w:rPr>
          <w:color w:val="231F20"/>
          <w:spacing w:val="-9"/>
          <w:vertAlign w:val="baseline"/>
        </w:rPr>
        <w:t> </w:t>
      </w:r>
      <w:r>
        <w:rPr>
          <w:color w:val="231F20"/>
          <w:vertAlign w:val="baseline"/>
        </w:rPr>
        <w:t>hepatitis</w:t>
      </w:r>
      <w:r>
        <w:rPr>
          <w:color w:val="231F20"/>
          <w:spacing w:val="-10"/>
          <w:vertAlign w:val="baseline"/>
        </w:rPr>
        <w:t> </w:t>
      </w:r>
      <w:r>
        <w:rPr>
          <w:color w:val="231F20"/>
          <w:vertAlign w:val="baseline"/>
        </w:rPr>
        <w:t>testing.</w:t>
      </w:r>
      <w:r>
        <w:rPr>
          <w:color w:val="231F20"/>
          <w:spacing w:val="-52"/>
          <w:vertAlign w:val="baseline"/>
        </w:rPr>
        <w:t> </w:t>
      </w:r>
      <w:hyperlink r:id="rId55">
        <w:r>
          <w:rPr>
            <w:color w:val="3953A4"/>
            <w:u w:val="single" w:color="3953A4"/>
            <w:vertAlign w:val="baseline"/>
          </w:rPr>
          <w:t>https://gettested.cdc.gov/</w:t>
        </w:r>
      </w:hyperlink>
    </w:p>
    <w:p>
      <w:pPr>
        <w:pStyle w:val="BodyText"/>
        <w:tabs>
          <w:tab w:pos="508" w:val="left" w:leader="none"/>
        </w:tabs>
        <w:spacing w:line="230" w:lineRule="auto" w:before="89"/>
        <w:ind w:left="519" w:right="828" w:hanging="360"/>
      </w:pPr>
      <w:r>
        <w:rPr>
          <w:color w:val="231F20"/>
          <w:vertAlign w:val="superscript"/>
        </w:rPr>
        <w:t>18</w:t>
      </w:r>
      <w:r>
        <w:rPr>
          <w:color w:val="231F20"/>
          <w:vertAlign w:val="baseline"/>
        </w:rPr>
        <w:tab/>
      </w:r>
      <w:r>
        <w:rPr>
          <w:color w:val="212121"/>
          <w:vertAlign w:val="baseline"/>
        </w:rPr>
        <w:t>Centers</w:t>
      </w:r>
      <w:r>
        <w:rPr>
          <w:color w:val="212121"/>
          <w:spacing w:val="-3"/>
          <w:vertAlign w:val="baseline"/>
        </w:rPr>
        <w:t> </w:t>
      </w:r>
      <w:r>
        <w:rPr>
          <w:color w:val="212121"/>
          <w:vertAlign w:val="baseline"/>
        </w:rPr>
        <w:t>for</w:t>
      </w:r>
      <w:r>
        <w:rPr>
          <w:color w:val="212121"/>
          <w:spacing w:val="-3"/>
          <w:vertAlign w:val="baseline"/>
        </w:rPr>
        <w:t> </w:t>
      </w:r>
      <w:r>
        <w:rPr>
          <w:color w:val="212121"/>
          <w:vertAlign w:val="baseline"/>
        </w:rPr>
        <w:t>Disease</w:t>
      </w:r>
      <w:r>
        <w:rPr>
          <w:color w:val="212121"/>
          <w:spacing w:val="-3"/>
          <w:vertAlign w:val="baseline"/>
        </w:rPr>
        <w:t> </w:t>
      </w:r>
      <w:r>
        <w:rPr>
          <w:color w:val="212121"/>
          <w:vertAlign w:val="baseline"/>
        </w:rPr>
        <w:t>Control</w:t>
      </w:r>
      <w:r>
        <w:rPr>
          <w:color w:val="212121"/>
          <w:spacing w:val="-3"/>
          <w:vertAlign w:val="baseline"/>
        </w:rPr>
        <w:t> </w:t>
      </w:r>
      <w:r>
        <w:rPr>
          <w:color w:val="212121"/>
          <w:vertAlign w:val="baseline"/>
        </w:rPr>
        <w:t>and</w:t>
      </w:r>
      <w:r>
        <w:rPr>
          <w:color w:val="212121"/>
          <w:spacing w:val="-2"/>
          <w:vertAlign w:val="baseline"/>
        </w:rPr>
        <w:t> </w:t>
      </w:r>
      <w:r>
        <w:rPr>
          <w:color w:val="212121"/>
          <w:vertAlign w:val="baseline"/>
        </w:rPr>
        <w:t>Prevention.</w:t>
      </w:r>
      <w:r>
        <w:rPr>
          <w:color w:val="212121"/>
          <w:spacing w:val="-4"/>
          <w:vertAlign w:val="baseline"/>
        </w:rPr>
        <w:t> </w:t>
      </w:r>
      <w:r>
        <w:rPr>
          <w:color w:val="212121"/>
          <w:vertAlign w:val="baseline"/>
        </w:rPr>
        <w:t>(2018).</w:t>
      </w:r>
      <w:r>
        <w:rPr>
          <w:color w:val="212121"/>
          <w:spacing w:val="-52"/>
          <w:vertAlign w:val="baseline"/>
        </w:rPr>
        <w:t> </w:t>
      </w:r>
      <w:r>
        <w:rPr>
          <w:color w:val="212121"/>
          <w:vertAlign w:val="baseline"/>
        </w:rPr>
        <w:t>Quick reference guide: recommended laboratory</w:t>
      </w:r>
      <w:r>
        <w:rPr>
          <w:color w:val="212121"/>
          <w:spacing w:val="1"/>
          <w:vertAlign w:val="baseline"/>
        </w:rPr>
        <w:t> </w:t>
      </w:r>
      <w:r>
        <w:rPr>
          <w:color w:val="212121"/>
          <w:vertAlign w:val="baseline"/>
        </w:rPr>
        <w:t>HIV testing algorithm for serum or </w:t>
      </w:r>
      <w:r>
        <w:rPr>
          <w:color w:val="231F20"/>
          <w:vertAlign w:val="baseline"/>
        </w:rPr>
        <w:t>plasma speci-</w:t>
      </w:r>
      <w:r>
        <w:rPr>
          <w:color w:val="231F20"/>
          <w:spacing w:val="1"/>
          <w:vertAlign w:val="baseline"/>
        </w:rPr>
        <w:t> </w:t>
      </w:r>
      <w:r>
        <w:rPr>
          <w:color w:val="231F20"/>
          <w:vertAlign w:val="baseline"/>
        </w:rPr>
        <w:t>mens. </w:t>
      </w:r>
      <w:hyperlink r:id="rId56">
        <w:r>
          <w:rPr>
            <w:color w:val="3953A4"/>
            <w:u w:val="single" w:color="3953A4"/>
            <w:vertAlign w:val="baseline"/>
          </w:rPr>
          <w:t>https://stacks.cdc.gov/view/cdc/50872</w:t>
        </w:r>
      </w:hyperlink>
    </w:p>
    <w:p>
      <w:pPr>
        <w:pStyle w:val="BodyText"/>
        <w:tabs>
          <w:tab w:pos="519" w:val="left" w:leader="none"/>
        </w:tabs>
        <w:spacing w:line="228" w:lineRule="auto" w:before="196"/>
        <w:ind w:left="520" w:right="810" w:hanging="360"/>
      </w:pPr>
      <w:r>
        <w:rPr>
          <w:color w:val="231F20"/>
          <w:vertAlign w:val="superscript"/>
        </w:rPr>
        <w:t>19</w:t>
      </w:r>
      <w:r>
        <w:rPr>
          <w:color w:val="231F20"/>
          <w:vertAlign w:val="baseline"/>
        </w:rPr>
        <w:tab/>
      </w:r>
      <w:r>
        <w:rPr>
          <w:color w:val="231F20"/>
          <w:spacing w:val="-1"/>
          <w:vertAlign w:val="baseline"/>
        </w:rPr>
        <w:t>Substance Abuse and Mental Health Services</w:t>
      </w:r>
      <w:r>
        <w:rPr>
          <w:color w:val="231F20"/>
          <w:vertAlign w:val="baseline"/>
        </w:rPr>
        <w:t> Administration, &amp; McCance-Katz, Elinore. (2019,</w:t>
      </w:r>
      <w:r>
        <w:rPr>
          <w:color w:val="231F20"/>
          <w:spacing w:val="1"/>
          <w:vertAlign w:val="baseline"/>
        </w:rPr>
        <w:t> </w:t>
      </w:r>
      <w:r>
        <w:rPr>
          <w:color w:val="231F20"/>
          <w:vertAlign w:val="baseline"/>
        </w:rPr>
        <w:t>November 21). Dear colleauge letter from Dr.</w:t>
      </w:r>
      <w:r>
        <w:rPr>
          <w:color w:val="231F20"/>
          <w:spacing w:val="1"/>
          <w:vertAlign w:val="baseline"/>
        </w:rPr>
        <w:t> </w:t>
      </w:r>
      <w:r>
        <w:rPr>
          <w:color w:val="231F20"/>
          <w:vertAlign w:val="baseline"/>
        </w:rPr>
        <w:t>McCance-Katz on oral fluids HIV testing. </w:t>
      </w:r>
      <w:hyperlink r:id="rId57">
        <w:r>
          <w:rPr>
            <w:color w:val="3953A4"/>
            <w:u w:val="single" w:color="3953A4"/>
            <w:vertAlign w:val="baseline"/>
          </w:rPr>
          <w:t>https://</w:t>
        </w:r>
      </w:hyperlink>
      <w:r>
        <w:rPr>
          <w:color w:val="3953A4"/>
          <w:spacing w:val="1"/>
          <w:vertAlign w:val="baseline"/>
        </w:rPr>
        <w:t> </w:t>
      </w:r>
      <w:hyperlink r:id="rId57">
        <w:r>
          <w:rPr>
            <w:color w:val="3953A4"/>
            <w:spacing w:val="-1"/>
            <w:u w:val="single" w:color="3953A4"/>
            <w:vertAlign w:val="baseline"/>
          </w:rPr>
          <w:t>www.samhsa.gov/sites/default/files/oral-fluids-dear-</w:t>
        </w:r>
      </w:hyperlink>
      <w:r>
        <w:rPr>
          <w:color w:val="3953A4"/>
          <w:spacing w:val="-52"/>
          <w:vertAlign w:val="baseline"/>
        </w:rPr>
        <w:t> </w:t>
      </w:r>
      <w:hyperlink r:id="rId57">
        <w:r>
          <w:rPr>
            <w:color w:val="3953A4"/>
            <w:u w:val="single" w:color="3953A4"/>
            <w:vertAlign w:val="baseline"/>
          </w:rPr>
          <w:t>colleague-letter.pdf</w:t>
        </w:r>
      </w:hyperlink>
    </w:p>
    <w:p>
      <w:pPr>
        <w:pStyle w:val="BodyText"/>
        <w:tabs>
          <w:tab w:pos="519" w:val="left" w:leader="none"/>
        </w:tabs>
        <w:spacing w:line="228" w:lineRule="auto" w:before="88"/>
        <w:ind w:left="519" w:right="733" w:hanging="360"/>
      </w:pPr>
      <w:r>
        <w:rPr>
          <w:color w:val="231F20"/>
          <w:vertAlign w:val="superscript"/>
        </w:rPr>
        <w:t>20</w:t>
      </w:r>
      <w:r>
        <w:rPr>
          <w:color w:val="231F20"/>
          <w:vertAlign w:val="baseline"/>
        </w:rPr>
        <w:tab/>
        <w:t>Centers</w:t>
      </w:r>
      <w:r>
        <w:rPr>
          <w:color w:val="231F20"/>
          <w:spacing w:val="-5"/>
          <w:vertAlign w:val="baseline"/>
        </w:rPr>
        <w:t> </w:t>
      </w:r>
      <w:r>
        <w:rPr>
          <w:color w:val="231F20"/>
          <w:vertAlign w:val="baseline"/>
        </w:rPr>
        <w:t>for</w:t>
      </w:r>
      <w:r>
        <w:rPr>
          <w:color w:val="231F20"/>
          <w:spacing w:val="-4"/>
          <w:vertAlign w:val="baseline"/>
        </w:rPr>
        <w:t> </w:t>
      </w:r>
      <w:r>
        <w:rPr>
          <w:color w:val="231F20"/>
          <w:vertAlign w:val="baseline"/>
        </w:rPr>
        <w:t>Disease</w:t>
      </w:r>
      <w:r>
        <w:rPr>
          <w:color w:val="231F20"/>
          <w:spacing w:val="-6"/>
          <w:vertAlign w:val="baseline"/>
        </w:rPr>
        <w:t> </w:t>
      </w:r>
      <w:r>
        <w:rPr>
          <w:color w:val="231F20"/>
          <w:vertAlign w:val="baseline"/>
        </w:rPr>
        <w:t>Control</w:t>
      </w:r>
      <w:r>
        <w:rPr>
          <w:color w:val="231F20"/>
          <w:spacing w:val="-4"/>
          <w:vertAlign w:val="baseline"/>
        </w:rPr>
        <w:t> </w:t>
      </w:r>
      <w:r>
        <w:rPr>
          <w:color w:val="231F20"/>
          <w:vertAlign w:val="baseline"/>
        </w:rPr>
        <w:t>and</w:t>
      </w:r>
      <w:r>
        <w:rPr>
          <w:color w:val="231F20"/>
          <w:spacing w:val="-5"/>
          <w:vertAlign w:val="baseline"/>
        </w:rPr>
        <w:t> </w:t>
      </w:r>
      <w:r>
        <w:rPr>
          <w:color w:val="231F20"/>
          <w:vertAlign w:val="baseline"/>
        </w:rPr>
        <w:t>Prevention.</w:t>
      </w:r>
      <w:r>
        <w:rPr>
          <w:color w:val="231F20"/>
          <w:spacing w:val="-3"/>
          <w:vertAlign w:val="baseline"/>
        </w:rPr>
        <w:t> </w:t>
      </w:r>
      <w:r>
        <w:rPr>
          <w:i/>
          <w:color w:val="231F20"/>
          <w:vertAlign w:val="baseline"/>
        </w:rPr>
        <w:t>Types</w:t>
      </w:r>
      <w:r>
        <w:rPr>
          <w:i/>
          <w:color w:val="231F20"/>
          <w:spacing w:val="-5"/>
          <w:vertAlign w:val="baseline"/>
        </w:rPr>
        <w:t> </w:t>
      </w:r>
      <w:r>
        <w:rPr>
          <w:i/>
          <w:color w:val="231F20"/>
          <w:vertAlign w:val="baseline"/>
        </w:rPr>
        <w:t>of</w:t>
      </w:r>
      <w:r>
        <w:rPr>
          <w:i/>
          <w:color w:val="231F20"/>
          <w:spacing w:val="-52"/>
          <w:vertAlign w:val="baseline"/>
        </w:rPr>
        <w:t> </w:t>
      </w:r>
      <w:r>
        <w:rPr>
          <w:i/>
          <w:color w:val="231F20"/>
          <w:vertAlign w:val="baseline"/>
        </w:rPr>
        <w:t>HIV Tests. </w:t>
      </w:r>
      <w:r>
        <w:rPr>
          <w:color w:val="231F20"/>
          <w:vertAlign w:val="baseline"/>
        </w:rPr>
        <w:t>(2020, June 8). </w:t>
      </w:r>
      <w:hyperlink r:id="rId58">
        <w:r>
          <w:rPr>
            <w:color w:val="3953A4"/>
            <w:u w:val="single" w:color="3953A4"/>
            <w:vertAlign w:val="baseline"/>
          </w:rPr>
          <w:t>https://www.cdc.gov/hiv/</w:t>
        </w:r>
      </w:hyperlink>
      <w:r>
        <w:rPr>
          <w:color w:val="3953A4"/>
          <w:spacing w:val="1"/>
          <w:vertAlign w:val="baseline"/>
        </w:rPr>
        <w:t> </w:t>
      </w:r>
      <w:hyperlink r:id="rId58">
        <w:r>
          <w:rPr>
            <w:color w:val="3953A4"/>
            <w:u w:val="single" w:color="3953A4"/>
            <w:vertAlign w:val="baseline"/>
          </w:rPr>
          <w:t>basics/hiv-testing/test-types.html</w:t>
        </w:r>
      </w:hyperlink>
    </w:p>
    <w:p>
      <w:pPr>
        <w:pStyle w:val="BodyText"/>
        <w:tabs>
          <w:tab w:pos="519" w:val="left" w:leader="none"/>
        </w:tabs>
        <w:spacing w:line="228" w:lineRule="auto" w:before="89"/>
        <w:ind w:left="520" w:right="889" w:hanging="361"/>
      </w:pPr>
      <w:r>
        <w:rPr>
          <w:color w:val="231F20"/>
          <w:vertAlign w:val="superscript"/>
        </w:rPr>
        <w:t>21</w:t>
      </w:r>
      <w:r>
        <w:rPr>
          <w:color w:val="231F20"/>
          <w:vertAlign w:val="baseline"/>
        </w:rPr>
        <w:tab/>
        <w:t>Centers for Disease Control and Prevention. (2020,</w:t>
      </w:r>
      <w:r>
        <w:rPr>
          <w:color w:val="231F20"/>
          <w:spacing w:val="-53"/>
          <w:vertAlign w:val="baseline"/>
        </w:rPr>
        <w:t> </w:t>
      </w:r>
      <w:r>
        <w:rPr>
          <w:color w:val="231F20"/>
          <w:vertAlign w:val="baseline"/>
        </w:rPr>
        <w:t>May 21). Viral hepatitis: People with coinfected</w:t>
      </w:r>
      <w:r>
        <w:rPr>
          <w:color w:val="231F20"/>
          <w:spacing w:val="1"/>
          <w:vertAlign w:val="baseline"/>
        </w:rPr>
        <w:t> </w:t>
      </w:r>
      <w:r>
        <w:rPr>
          <w:color w:val="231F20"/>
          <w:vertAlign w:val="baseline"/>
        </w:rPr>
        <w:t>with</w:t>
      </w:r>
      <w:r>
        <w:rPr>
          <w:color w:val="231F20"/>
          <w:spacing w:val="-5"/>
          <w:vertAlign w:val="baseline"/>
        </w:rPr>
        <w:t> </w:t>
      </w:r>
      <w:r>
        <w:rPr>
          <w:color w:val="231F20"/>
          <w:vertAlign w:val="baseline"/>
        </w:rPr>
        <w:t>HIV</w:t>
      </w:r>
      <w:r>
        <w:rPr>
          <w:color w:val="231F20"/>
          <w:spacing w:val="-7"/>
          <w:vertAlign w:val="baseline"/>
        </w:rPr>
        <w:t> </w:t>
      </w:r>
      <w:r>
        <w:rPr>
          <w:color w:val="231F20"/>
          <w:vertAlign w:val="baseline"/>
        </w:rPr>
        <w:t>and</w:t>
      </w:r>
      <w:r>
        <w:rPr>
          <w:color w:val="231F20"/>
          <w:spacing w:val="-3"/>
          <w:vertAlign w:val="baseline"/>
        </w:rPr>
        <w:t> </w:t>
      </w:r>
      <w:r>
        <w:rPr>
          <w:color w:val="231F20"/>
          <w:vertAlign w:val="baseline"/>
        </w:rPr>
        <w:t>viral</w:t>
      </w:r>
      <w:r>
        <w:rPr>
          <w:color w:val="231F20"/>
          <w:spacing w:val="-3"/>
          <w:vertAlign w:val="baseline"/>
        </w:rPr>
        <w:t> </w:t>
      </w:r>
      <w:r>
        <w:rPr>
          <w:color w:val="231F20"/>
          <w:vertAlign w:val="baseline"/>
        </w:rPr>
        <w:t>hepatitis.</w:t>
      </w:r>
      <w:r>
        <w:rPr>
          <w:color w:val="231F20"/>
          <w:spacing w:val="-4"/>
          <w:vertAlign w:val="baseline"/>
        </w:rPr>
        <w:t> </w:t>
      </w:r>
      <w:hyperlink r:id="rId59">
        <w:r>
          <w:rPr>
            <w:color w:val="3953A4"/>
            <w:u w:val="single" w:color="3953A4"/>
            <w:vertAlign w:val="baseline"/>
          </w:rPr>
          <w:t>https://www.cdc.gov/</w:t>
        </w:r>
      </w:hyperlink>
    </w:p>
    <w:p>
      <w:pPr>
        <w:spacing w:after="0" w:line="228" w:lineRule="auto"/>
        <w:sectPr>
          <w:type w:val="continuous"/>
          <w:pgSz w:w="12240" w:h="15840"/>
          <w:pgMar w:header="0" w:footer="666" w:top="1500" w:bottom="0" w:left="560" w:right="0"/>
          <w:cols w:num="2" w:equalWidth="0">
            <w:col w:w="5231" w:space="529"/>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BodyText"/>
        <w:spacing w:before="91"/>
        <w:ind w:left="520"/>
      </w:pPr>
      <w:hyperlink r:id="rId59">
        <w:r>
          <w:rPr>
            <w:color w:val="3953A4"/>
            <w:u w:val="single" w:color="3953A4"/>
          </w:rPr>
          <w:t>hepatitis/populations/hiv.htm</w:t>
        </w:r>
      </w:hyperlink>
    </w:p>
    <w:p>
      <w:pPr>
        <w:pStyle w:val="BodyText"/>
        <w:tabs>
          <w:tab w:pos="519" w:val="left" w:leader="none"/>
        </w:tabs>
        <w:spacing w:line="228" w:lineRule="auto" w:before="87"/>
        <w:ind w:left="519" w:right="748" w:hanging="360"/>
      </w:pPr>
      <w:r>
        <w:rPr>
          <w:color w:val="231F20"/>
          <w:vertAlign w:val="superscript"/>
        </w:rPr>
        <w:t>22</w:t>
      </w:r>
      <w:r>
        <w:rPr>
          <w:color w:val="231F20"/>
          <w:vertAlign w:val="baseline"/>
        </w:rPr>
        <w:tab/>
      </w:r>
      <w:r>
        <w:rPr>
          <w:color w:val="231F20"/>
          <w:spacing w:val="-1"/>
          <w:vertAlign w:val="baseline"/>
        </w:rPr>
        <w:t>Blank,</w:t>
      </w:r>
      <w:r>
        <w:rPr>
          <w:color w:val="231F20"/>
          <w:spacing w:val="4"/>
          <w:vertAlign w:val="baseline"/>
        </w:rPr>
        <w:t> </w:t>
      </w:r>
      <w:r>
        <w:rPr>
          <w:color w:val="231F20"/>
          <w:vertAlign w:val="baseline"/>
        </w:rPr>
        <w:t>M.</w:t>
      </w:r>
      <w:r>
        <w:rPr>
          <w:color w:val="231F20"/>
          <w:spacing w:val="3"/>
          <w:vertAlign w:val="baseline"/>
        </w:rPr>
        <w:t> </w:t>
      </w:r>
      <w:r>
        <w:rPr>
          <w:color w:val="231F20"/>
          <w:vertAlign w:val="baseline"/>
        </w:rPr>
        <w:t>B.,</w:t>
      </w:r>
      <w:r>
        <w:rPr>
          <w:color w:val="231F20"/>
          <w:spacing w:val="4"/>
          <w:vertAlign w:val="baseline"/>
        </w:rPr>
        <w:t> </w:t>
      </w:r>
      <w:r>
        <w:rPr>
          <w:color w:val="231F20"/>
          <w:vertAlign w:val="baseline"/>
        </w:rPr>
        <w:t>Himelhoch,</w:t>
      </w:r>
      <w:r>
        <w:rPr>
          <w:color w:val="231F20"/>
          <w:spacing w:val="3"/>
          <w:vertAlign w:val="baseline"/>
        </w:rPr>
        <w:t> </w:t>
      </w:r>
      <w:r>
        <w:rPr>
          <w:color w:val="231F20"/>
          <w:vertAlign w:val="baseline"/>
        </w:rPr>
        <w:t>S.</w:t>
      </w:r>
      <w:r>
        <w:rPr>
          <w:color w:val="231F20"/>
          <w:spacing w:val="3"/>
          <w:vertAlign w:val="baseline"/>
        </w:rPr>
        <w:t> </w:t>
      </w:r>
      <w:r>
        <w:rPr>
          <w:color w:val="231F20"/>
          <w:vertAlign w:val="baseline"/>
        </w:rPr>
        <w:t>S.,</w:t>
      </w:r>
      <w:r>
        <w:rPr>
          <w:color w:val="231F20"/>
          <w:spacing w:val="3"/>
          <w:vertAlign w:val="baseline"/>
        </w:rPr>
        <w:t> </w:t>
      </w:r>
      <w:r>
        <w:rPr>
          <w:color w:val="231F20"/>
          <w:vertAlign w:val="baseline"/>
        </w:rPr>
        <w:t>Balaji,</w:t>
      </w:r>
      <w:r>
        <w:rPr>
          <w:color w:val="231F20"/>
          <w:spacing w:val="-9"/>
          <w:vertAlign w:val="baseline"/>
        </w:rPr>
        <w:t> </w:t>
      </w:r>
      <w:r>
        <w:rPr>
          <w:color w:val="231F20"/>
          <w:vertAlign w:val="baseline"/>
        </w:rPr>
        <w:t>A.</w:t>
      </w:r>
      <w:r>
        <w:rPr>
          <w:color w:val="231F20"/>
          <w:spacing w:val="1"/>
          <w:vertAlign w:val="baseline"/>
        </w:rPr>
        <w:t> </w:t>
      </w:r>
      <w:r>
        <w:rPr>
          <w:color w:val="231F20"/>
          <w:vertAlign w:val="baseline"/>
        </w:rPr>
        <w:t>B.,</w:t>
      </w:r>
      <w:r>
        <w:rPr>
          <w:color w:val="231F20"/>
          <w:spacing w:val="-3"/>
          <w:vertAlign w:val="baseline"/>
        </w:rPr>
        <w:t> </w:t>
      </w:r>
      <w:r>
        <w:rPr>
          <w:color w:val="231F20"/>
          <w:vertAlign w:val="baseline"/>
        </w:rPr>
        <w:t>Metzger,</w:t>
      </w:r>
      <w:r>
        <w:rPr>
          <w:color w:val="231F20"/>
          <w:spacing w:val="-2"/>
          <w:vertAlign w:val="baseline"/>
        </w:rPr>
        <w:t> </w:t>
      </w:r>
      <w:r>
        <w:rPr>
          <w:color w:val="231F20"/>
          <w:vertAlign w:val="baseline"/>
        </w:rPr>
        <w:t>D.</w:t>
      </w:r>
      <w:r>
        <w:rPr>
          <w:color w:val="231F20"/>
          <w:spacing w:val="-4"/>
          <w:vertAlign w:val="baseline"/>
        </w:rPr>
        <w:t> </w:t>
      </w:r>
      <w:r>
        <w:rPr>
          <w:color w:val="231F20"/>
          <w:vertAlign w:val="baseline"/>
        </w:rPr>
        <w:t>S.,</w:t>
      </w:r>
      <w:r>
        <w:rPr>
          <w:color w:val="231F20"/>
          <w:spacing w:val="-3"/>
          <w:vertAlign w:val="baseline"/>
        </w:rPr>
        <w:t> </w:t>
      </w:r>
      <w:r>
        <w:rPr>
          <w:color w:val="231F20"/>
          <w:vertAlign w:val="baseline"/>
        </w:rPr>
        <w:t>Dixon,</w:t>
      </w:r>
      <w:r>
        <w:rPr>
          <w:color w:val="231F20"/>
          <w:spacing w:val="-4"/>
          <w:vertAlign w:val="baseline"/>
        </w:rPr>
        <w:t> </w:t>
      </w:r>
      <w:r>
        <w:rPr>
          <w:color w:val="231F20"/>
          <w:vertAlign w:val="baseline"/>
        </w:rPr>
        <w:t>L.</w:t>
      </w:r>
      <w:r>
        <w:rPr>
          <w:color w:val="231F20"/>
          <w:spacing w:val="-2"/>
          <w:vertAlign w:val="baseline"/>
        </w:rPr>
        <w:t> </w:t>
      </w:r>
      <w:r>
        <w:rPr>
          <w:color w:val="231F20"/>
          <w:vertAlign w:val="baseline"/>
        </w:rPr>
        <w:t>B.,</w:t>
      </w:r>
      <w:r>
        <w:rPr>
          <w:color w:val="231F20"/>
          <w:spacing w:val="-3"/>
          <w:vertAlign w:val="baseline"/>
        </w:rPr>
        <w:t> </w:t>
      </w:r>
      <w:r>
        <w:rPr>
          <w:color w:val="231F20"/>
          <w:vertAlign w:val="baseline"/>
        </w:rPr>
        <w:t>Rose,</w:t>
      </w:r>
      <w:r>
        <w:rPr>
          <w:color w:val="231F20"/>
          <w:spacing w:val="-2"/>
          <w:vertAlign w:val="baseline"/>
        </w:rPr>
        <w:t> </w:t>
      </w:r>
      <w:r>
        <w:rPr>
          <w:color w:val="231F20"/>
          <w:vertAlign w:val="baseline"/>
        </w:rPr>
        <w:t>C.</w:t>
      </w:r>
      <w:r>
        <w:rPr>
          <w:color w:val="231F20"/>
          <w:spacing w:val="-3"/>
          <w:vertAlign w:val="baseline"/>
        </w:rPr>
        <w:t> </w:t>
      </w:r>
      <w:r>
        <w:rPr>
          <w:color w:val="231F20"/>
          <w:vertAlign w:val="baseline"/>
        </w:rPr>
        <w:t>E.,</w:t>
      </w:r>
    </w:p>
    <w:p>
      <w:pPr>
        <w:pStyle w:val="BodyText"/>
        <w:spacing w:line="228" w:lineRule="auto"/>
        <w:ind w:left="519" w:right="618"/>
        <w:jc w:val="both"/>
      </w:pPr>
      <w:r>
        <w:rPr>
          <w:color w:val="231F20"/>
          <w:spacing w:val="-3"/>
        </w:rPr>
        <w:t>Oraka, E., </w:t>
      </w:r>
      <w:r>
        <w:rPr>
          <w:color w:val="231F20"/>
          <w:spacing w:val="-2"/>
        </w:rPr>
        <w:t>Davis-Vogel, A., Thompson, W. W.,</w:t>
      </w:r>
      <w:r>
        <w:rPr>
          <w:color w:val="231F20"/>
          <w:spacing w:val="-52"/>
        </w:rPr>
        <w:t> </w:t>
      </w:r>
      <w:r>
        <w:rPr>
          <w:color w:val="231F20"/>
          <w:spacing w:val="-1"/>
        </w:rPr>
        <w:t>&amp; Heffelfinger, J. D. (2014). A multisite </w:t>
      </w:r>
      <w:r>
        <w:rPr>
          <w:color w:val="231F20"/>
        </w:rPr>
        <w:t>study</w:t>
      </w:r>
      <w:r>
        <w:rPr>
          <w:color w:val="231F20"/>
          <w:spacing w:val="-52"/>
        </w:rPr>
        <w:t> </w:t>
      </w:r>
      <w:r>
        <w:rPr>
          <w:color w:val="231F20"/>
        </w:rPr>
        <w:t>of</w:t>
      </w:r>
      <w:r>
        <w:rPr>
          <w:color w:val="231F20"/>
          <w:spacing w:val="-1"/>
        </w:rPr>
        <w:t> </w:t>
      </w:r>
      <w:r>
        <w:rPr>
          <w:color w:val="231F20"/>
        </w:rPr>
        <w:t>the</w:t>
      </w:r>
      <w:r>
        <w:rPr>
          <w:color w:val="231F20"/>
          <w:spacing w:val="-1"/>
        </w:rPr>
        <w:t> </w:t>
      </w:r>
      <w:r>
        <w:rPr>
          <w:color w:val="231F20"/>
        </w:rPr>
        <w:t>prevalence of</w:t>
      </w:r>
      <w:r>
        <w:rPr>
          <w:color w:val="231F20"/>
          <w:spacing w:val="-1"/>
        </w:rPr>
        <w:t> </w:t>
      </w:r>
      <w:r>
        <w:rPr>
          <w:color w:val="231F20"/>
        </w:rPr>
        <w:t>HIV</w:t>
      </w:r>
      <w:r>
        <w:rPr>
          <w:color w:val="231F20"/>
          <w:spacing w:val="-5"/>
        </w:rPr>
        <w:t> </w:t>
      </w:r>
      <w:r>
        <w:rPr>
          <w:color w:val="231F20"/>
        </w:rPr>
        <w:t>with</w:t>
      </w:r>
      <w:r>
        <w:rPr>
          <w:color w:val="231F20"/>
          <w:spacing w:val="-2"/>
        </w:rPr>
        <w:t> </w:t>
      </w:r>
      <w:r>
        <w:rPr>
          <w:color w:val="231F20"/>
        </w:rPr>
        <w:t>rapid testing</w:t>
      </w:r>
      <w:r>
        <w:rPr>
          <w:color w:val="231F20"/>
          <w:spacing w:val="-1"/>
        </w:rPr>
        <w:t> </w:t>
      </w:r>
      <w:r>
        <w:rPr>
          <w:color w:val="231F20"/>
        </w:rPr>
        <w:t>in</w:t>
      </w:r>
    </w:p>
    <w:p>
      <w:pPr>
        <w:pStyle w:val="BodyText"/>
        <w:spacing w:line="228" w:lineRule="auto"/>
        <w:ind w:left="519" w:right="31"/>
      </w:pPr>
      <w:r>
        <w:rPr>
          <w:color w:val="231F20"/>
          <w:spacing w:val="-1"/>
        </w:rPr>
        <w:t>mental health settings. American </w:t>
      </w:r>
      <w:r>
        <w:rPr>
          <w:color w:val="231F20"/>
        </w:rPr>
        <w:t>Journal of Public</w:t>
      </w:r>
      <w:r>
        <w:rPr>
          <w:color w:val="231F20"/>
          <w:spacing w:val="1"/>
        </w:rPr>
        <w:t> </w:t>
      </w:r>
      <w:r>
        <w:rPr>
          <w:color w:val="231F20"/>
        </w:rPr>
        <w:t>Health,</w:t>
      </w:r>
      <w:r>
        <w:rPr>
          <w:color w:val="231F20"/>
          <w:spacing w:val="-5"/>
        </w:rPr>
        <w:t> </w:t>
      </w:r>
      <w:r>
        <w:rPr>
          <w:color w:val="231F20"/>
        </w:rPr>
        <w:t>104(12),</w:t>
      </w:r>
      <w:r>
        <w:rPr>
          <w:color w:val="231F20"/>
          <w:spacing w:val="-3"/>
        </w:rPr>
        <w:t> </w:t>
      </w:r>
      <w:r>
        <w:rPr>
          <w:color w:val="231F20"/>
        </w:rPr>
        <w:t>2377–2384.</w:t>
      </w:r>
      <w:r>
        <w:rPr>
          <w:color w:val="231F20"/>
          <w:spacing w:val="-4"/>
        </w:rPr>
        <w:t> </w:t>
      </w:r>
      <w:hyperlink r:id="rId60">
        <w:r>
          <w:rPr>
            <w:color w:val="3953A4"/>
            <w:u w:val="single" w:color="3953A4"/>
          </w:rPr>
          <w:t>https://doi.org/10.2105/</w:t>
        </w:r>
      </w:hyperlink>
      <w:r>
        <w:rPr>
          <w:color w:val="3953A4"/>
          <w:spacing w:val="-52"/>
        </w:rPr>
        <w:t> </w:t>
      </w:r>
      <w:hyperlink r:id="rId60">
        <w:r>
          <w:rPr>
            <w:color w:val="3953A4"/>
            <w:u w:val="single" w:color="3953A4"/>
          </w:rPr>
          <w:t>AJPH.2013.301633</w:t>
        </w:r>
      </w:hyperlink>
    </w:p>
    <w:p>
      <w:pPr>
        <w:pStyle w:val="BodyText"/>
        <w:tabs>
          <w:tab w:pos="519" w:val="left" w:leader="none"/>
        </w:tabs>
        <w:spacing w:line="228" w:lineRule="auto" w:before="87"/>
        <w:ind w:left="520" w:right="268" w:hanging="361"/>
      </w:pPr>
      <w:r>
        <w:rPr>
          <w:color w:val="231F20"/>
          <w:vertAlign w:val="superscript"/>
        </w:rPr>
        <w:t>23</w:t>
      </w:r>
      <w:r>
        <w:rPr>
          <w:color w:val="231F20"/>
          <w:vertAlign w:val="baseline"/>
        </w:rPr>
        <w:tab/>
      </w:r>
      <w:r>
        <w:rPr>
          <w:color w:val="231F20"/>
          <w:spacing w:val="-1"/>
          <w:vertAlign w:val="baseline"/>
        </w:rPr>
        <w:t>Yehia,</w:t>
      </w:r>
      <w:r>
        <w:rPr>
          <w:color w:val="231F20"/>
          <w:spacing w:val="-10"/>
          <w:vertAlign w:val="baseline"/>
        </w:rPr>
        <w:t> </w:t>
      </w:r>
      <w:r>
        <w:rPr>
          <w:color w:val="231F20"/>
          <w:vertAlign w:val="baseline"/>
        </w:rPr>
        <w:t>B.</w:t>
      </w:r>
      <w:r>
        <w:rPr>
          <w:color w:val="231F20"/>
          <w:spacing w:val="-9"/>
          <w:vertAlign w:val="baseline"/>
        </w:rPr>
        <w:t> </w:t>
      </w:r>
      <w:r>
        <w:rPr>
          <w:color w:val="231F20"/>
          <w:vertAlign w:val="baseline"/>
        </w:rPr>
        <w:t>R.,</w:t>
      </w:r>
      <w:r>
        <w:rPr>
          <w:color w:val="231F20"/>
          <w:spacing w:val="-9"/>
          <w:vertAlign w:val="baseline"/>
        </w:rPr>
        <w:t> </w:t>
      </w:r>
      <w:r>
        <w:rPr>
          <w:color w:val="231F20"/>
          <w:vertAlign w:val="baseline"/>
        </w:rPr>
        <w:t>Cui,</w:t>
      </w:r>
      <w:r>
        <w:rPr>
          <w:color w:val="231F20"/>
          <w:spacing w:val="-14"/>
          <w:vertAlign w:val="baseline"/>
        </w:rPr>
        <w:t> </w:t>
      </w:r>
      <w:r>
        <w:rPr>
          <w:color w:val="231F20"/>
          <w:vertAlign w:val="baseline"/>
        </w:rPr>
        <w:t>W.,</w:t>
      </w:r>
      <w:r>
        <w:rPr>
          <w:color w:val="231F20"/>
          <w:spacing w:val="-12"/>
          <w:vertAlign w:val="baseline"/>
        </w:rPr>
        <w:t> </w:t>
      </w:r>
      <w:r>
        <w:rPr>
          <w:color w:val="231F20"/>
          <w:vertAlign w:val="baseline"/>
        </w:rPr>
        <w:t>Thompson,</w:t>
      </w:r>
      <w:r>
        <w:rPr>
          <w:color w:val="231F20"/>
          <w:spacing w:val="-13"/>
          <w:vertAlign w:val="baseline"/>
        </w:rPr>
        <w:t> </w:t>
      </w:r>
      <w:r>
        <w:rPr>
          <w:color w:val="231F20"/>
          <w:vertAlign w:val="baseline"/>
        </w:rPr>
        <w:t>W.</w:t>
      </w:r>
      <w:r>
        <w:rPr>
          <w:color w:val="231F20"/>
          <w:spacing w:val="-12"/>
          <w:vertAlign w:val="baseline"/>
        </w:rPr>
        <w:t> </w:t>
      </w:r>
      <w:r>
        <w:rPr>
          <w:color w:val="231F20"/>
          <w:vertAlign w:val="baseline"/>
        </w:rPr>
        <w:t>W.,</w:t>
      </w:r>
      <w:r>
        <w:rPr>
          <w:color w:val="231F20"/>
          <w:spacing w:val="-9"/>
          <w:vertAlign w:val="baseline"/>
        </w:rPr>
        <w:t> </w:t>
      </w:r>
      <w:r>
        <w:rPr>
          <w:color w:val="231F20"/>
          <w:vertAlign w:val="baseline"/>
        </w:rPr>
        <w:t>Zack,</w:t>
      </w:r>
      <w:r>
        <w:rPr>
          <w:color w:val="231F20"/>
          <w:spacing w:val="-10"/>
          <w:vertAlign w:val="baseline"/>
        </w:rPr>
        <w:t> </w:t>
      </w:r>
      <w:r>
        <w:rPr>
          <w:color w:val="231F20"/>
          <w:vertAlign w:val="baseline"/>
        </w:rPr>
        <w:t>M.</w:t>
      </w:r>
      <w:r>
        <w:rPr>
          <w:color w:val="231F20"/>
          <w:spacing w:val="-52"/>
          <w:vertAlign w:val="baseline"/>
        </w:rPr>
        <w:t> </w:t>
      </w:r>
      <w:r>
        <w:rPr>
          <w:color w:val="231F20"/>
          <w:vertAlign w:val="baseline"/>
        </w:rPr>
        <w:t>M., McKnight-Eily, L., DiNenno, E., Rose, C. E.,</w:t>
      </w:r>
      <w:r>
        <w:rPr>
          <w:color w:val="231F20"/>
          <w:spacing w:val="1"/>
          <w:vertAlign w:val="baseline"/>
        </w:rPr>
        <w:t> </w:t>
      </w:r>
      <w:r>
        <w:rPr>
          <w:color w:val="231F20"/>
          <w:vertAlign w:val="baseline"/>
        </w:rPr>
        <w:t>&amp; Blank, M. B. (2014). HIV testing among adults</w:t>
      </w:r>
      <w:r>
        <w:rPr>
          <w:color w:val="231F20"/>
          <w:spacing w:val="1"/>
          <w:vertAlign w:val="baseline"/>
        </w:rPr>
        <w:t> </w:t>
      </w:r>
      <w:r>
        <w:rPr>
          <w:color w:val="231F20"/>
          <w:spacing w:val="-1"/>
          <w:vertAlign w:val="baseline"/>
        </w:rPr>
        <w:t>with</w:t>
      </w:r>
      <w:r>
        <w:rPr>
          <w:color w:val="231F20"/>
          <w:spacing w:val="-2"/>
          <w:vertAlign w:val="baseline"/>
        </w:rPr>
        <w:t> </w:t>
      </w:r>
      <w:r>
        <w:rPr>
          <w:color w:val="231F20"/>
          <w:vertAlign w:val="baseline"/>
        </w:rPr>
        <w:t>mental</w:t>
      </w:r>
      <w:r>
        <w:rPr>
          <w:color w:val="231F20"/>
          <w:spacing w:val="-1"/>
          <w:vertAlign w:val="baseline"/>
        </w:rPr>
        <w:t> </w:t>
      </w:r>
      <w:r>
        <w:rPr>
          <w:color w:val="231F20"/>
          <w:vertAlign w:val="baseline"/>
        </w:rPr>
        <w:t>illness</w:t>
      </w:r>
      <w:r>
        <w:rPr>
          <w:color w:val="231F20"/>
          <w:spacing w:val="-1"/>
          <w:vertAlign w:val="baseline"/>
        </w:rPr>
        <w:t> </w:t>
      </w:r>
      <w:r>
        <w:rPr>
          <w:color w:val="231F20"/>
          <w:vertAlign w:val="baseline"/>
        </w:rPr>
        <w:t>in</w:t>
      </w:r>
      <w:r>
        <w:rPr>
          <w:color w:val="231F20"/>
          <w:spacing w:val="-1"/>
          <w:vertAlign w:val="baseline"/>
        </w:rPr>
        <w:t> </w:t>
      </w:r>
      <w:r>
        <w:rPr>
          <w:color w:val="231F20"/>
          <w:vertAlign w:val="baseline"/>
        </w:rPr>
        <w:t>the</w:t>
      </w:r>
      <w:r>
        <w:rPr>
          <w:color w:val="231F20"/>
          <w:spacing w:val="-1"/>
          <w:vertAlign w:val="baseline"/>
        </w:rPr>
        <w:t> </w:t>
      </w:r>
      <w:r>
        <w:rPr>
          <w:color w:val="231F20"/>
          <w:vertAlign w:val="baseline"/>
        </w:rPr>
        <w:t>United</w:t>
      </w:r>
      <w:r>
        <w:rPr>
          <w:color w:val="231F20"/>
          <w:spacing w:val="-2"/>
          <w:vertAlign w:val="baseline"/>
        </w:rPr>
        <w:t> </w:t>
      </w:r>
      <w:r>
        <w:rPr>
          <w:color w:val="231F20"/>
          <w:vertAlign w:val="baseline"/>
        </w:rPr>
        <w:t>States.</w:t>
      </w:r>
      <w:r>
        <w:rPr>
          <w:color w:val="231F20"/>
          <w:spacing w:val="-14"/>
          <w:vertAlign w:val="baseline"/>
        </w:rPr>
        <w:t> </w:t>
      </w:r>
      <w:r>
        <w:rPr>
          <w:color w:val="231F20"/>
          <w:vertAlign w:val="baseline"/>
        </w:rPr>
        <w:t>AIDS</w:t>
      </w:r>
    </w:p>
    <w:p>
      <w:pPr>
        <w:pStyle w:val="BodyText"/>
        <w:spacing w:line="228" w:lineRule="auto"/>
        <w:ind w:left="520" w:right="54"/>
      </w:pPr>
      <w:r>
        <w:rPr>
          <w:color w:val="231F20"/>
        </w:rPr>
        <w:t>Patient Care and STDs, 28(12), 628–634. </w:t>
      </w:r>
      <w:hyperlink r:id="rId61">
        <w:r>
          <w:rPr>
            <w:color w:val="3953A4"/>
            <w:u w:val="single" w:color="3953A4"/>
          </w:rPr>
          <w:t>https://doi.</w:t>
        </w:r>
      </w:hyperlink>
      <w:r>
        <w:rPr>
          <w:color w:val="3953A4"/>
          <w:spacing w:val="-53"/>
        </w:rPr>
        <w:t> </w:t>
      </w:r>
      <w:hyperlink r:id="rId61">
        <w:r>
          <w:rPr>
            <w:color w:val="3953A4"/>
            <w:u w:val="single" w:color="3953A4"/>
          </w:rPr>
          <w:t>org/10.1089/apc.2014.0196</w:t>
        </w:r>
      </w:hyperlink>
    </w:p>
    <w:p>
      <w:pPr>
        <w:pStyle w:val="BodyText"/>
        <w:tabs>
          <w:tab w:pos="519" w:val="left" w:leader="none"/>
        </w:tabs>
        <w:spacing w:line="228" w:lineRule="auto" w:before="88"/>
        <w:ind w:left="520" w:right="38" w:hanging="360"/>
      </w:pPr>
      <w:r>
        <w:rPr>
          <w:color w:val="231F20"/>
          <w:vertAlign w:val="superscript"/>
        </w:rPr>
        <w:t>24</w:t>
      </w:r>
      <w:r>
        <w:rPr>
          <w:color w:val="231F20"/>
          <w:vertAlign w:val="baseline"/>
        </w:rPr>
        <w:tab/>
      </w:r>
      <w:r>
        <w:rPr>
          <w:color w:val="231F20"/>
          <w:spacing w:val="-2"/>
          <w:vertAlign w:val="baseline"/>
        </w:rPr>
        <w:t>Mizuno, Y., Purcell, D. W., Knowlton, A. R.,</w:t>
      </w:r>
      <w:r>
        <w:rPr>
          <w:color w:val="231F20"/>
          <w:spacing w:val="-1"/>
          <w:vertAlign w:val="baseline"/>
        </w:rPr>
        <w:t> </w:t>
      </w:r>
      <w:r>
        <w:rPr>
          <w:color w:val="231F20"/>
          <w:vertAlign w:val="baseline"/>
        </w:rPr>
        <w:t>Wilkinson,</w:t>
      </w:r>
      <w:r>
        <w:rPr>
          <w:color w:val="231F20"/>
          <w:spacing w:val="-5"/>
          <w:vertAlign w:val="baseline"/>
        </w:rPr>
        <w:t> </w:t>
      </w:r>
      <w:r>
        <w:rPr>
          <w:color w:val="231F20"/>
          <w:vertAlign w:val="baseline"/>
        </w:rPr>
        <w:t>J.</w:t>
      </w:r>
      <w:r>
        <w:rPr>
          <w:color w:val="231F20"/>
          <w:spacing w:val="-4"/>
          <w:vertAlign w:val="baseline"/>
        </w:rPr>
        <w:t> </w:t>
      </w:r>
      <w:r>
        <w:rPr>
          <w:color w:val="231F20"/>
          <w:vertAlign w:val="baseline"/>
        </w:rPr>
        <w:t>D.,</w:t>
      </w:r>
      <w:r>
        <w:rPr>
          <w:color w:val="231F20"/>
          <w:spacing w:val="-5"/>
          <w:vertAlign w:val="baseline"/>
        </w:rPr>
        <w:t> </w:t>
      </w:r>
      <w:r>
        <w:rPr>
          <w:color w:val="231F20"/>
          <w:vertAlign w:val="baseline"/>
        </w:rPr>
        <w:t>Gourevitch,</w:t>
      </w:r>
      <w:r>
        <w:rPr>
          <w:color w:val="231F20"/>
          <w:spacing w:val="-4"/>
          <w:vertAlign w:val="baseline"/>
        </w:rPr>
        <w:t> </w:t>
      </w:r>
      <w:r>
        <w:rPr>
          <w:color w:val="231F20"/>
          <w:vertAlign w:val="baseline"/>
        </w:rPr>
        <w:t>M.</w:t>
      </w:r>
      <w:r>
        <w:rPr>
          <w:color w:val="231F20"/>
          <w:spacing w:val="-4"/>
          <w:vertAlign w:val="baseline"/>
        </w:rPr>
        <w:t> </w:t>
      </w:r>
      <w:r>
        <w:rPr>
          <w:color w:val="231F20"/>
          <w:vertAlign w:val="baseline"/>
        </w:rPr>
        <w:t>N.,</w:t>
      </w:r>
      <w:r>
        <w:rPr>
          <w:color w:val="231F20"/>
          <w:spacing w:val="-5"/>
          <w:vertAlign w:val="baseline"/>
        </w:rPr>
        <w:t> </w:t>
      </w:r>
      <w:r>
        <w:rPr>
          <w:color w:val="231F20"/>
          <w:vertAlign w:val="baseline"/>
        </w:rPr>
        <w:t>&amp;</w:t>
      </w:r>
      <w:r>
        <w:rPr>
          <w:color w:val="231F20"/>
          <w:spacing w:val="-4"/>
          <w:vertAlign w:val="baseline"/>
        </w:rPr>
        <w:t> </w:t>
      </w:r>
      <w:r>
        <w:rPr>
          <w:color w:val="231F20"/>
          <w:vertAlign w:val="baseline"/>
        </w:rPr>
        <w:t>Knight,</w:t>
      </w:r>
      <w:r>
        <w:rPr>
          <w:color w:val="231F20"/>
          <w:spacing w:val="-4"/>
          <w:vertAlign w:val="baseline"/>
        </w:rPr>
        <w:t> </w:t>
      </w:r>
      <w:r>
        <w:rPr>
          <w:color w:val="231F20"/>
          <w:vertAlign w:val="baseline"/>
        </w:rPr>
        <w:t>K.</w:t>
      </w:r>
      <w:r>
        <w:rPr>
          <w:color w:val="231F20"/>
          <w:spacing w:val="-5"/>
          <w:vertAlign w:val="baseline"/>
        </w:rPr>
        <w:t> </w:t>
      </w:r>
      <w:r>
        <w:rPr>
          <w:color w:val="231F20"/>
          <w:vertAlign w:val="baseline"/>
        </w:rPr>
        <w:t>R.</w:t>
      </w:r>
      <w:r>
        <w:rPr>
          <w:color w:val="231F20"/>
          <w:spacing w:val="-52"/>
          <w:vertAlign w:val="baseline"/>
        </w:rPr>
        <w:t> </w:t>
      </w:r>
      <w:r>
        <w:rPr>
          <w:color w:val="231F20"/>
          <w:vertAlign w:val="baseline"/>
        </w:rPr>
        <w:t>(2015). Syndemic vulnerability, sexual and injection</w:t>
      </w:r>
      <w:r>
        <w:rPr>
          <w:color w:val="231F20"/>
          <w:spacing w:val="1"/>
          <w:vertAlign w:val="baseline"/>
        </w:rPr>
        <w:t> </w:t>
      </w:r>
      <w:r>
        <w:rPr>
          <w:color w:val="231F20"/>
          <w:vertAlign w:val="baseline"/>
        </w:rPr>
        <w:t>risk behaviors, and HIV continuum of care outcomes</w:t>
      </w:r>
      <w:r>
        <w:rPr>
          <w:color w:val="231F20"/>
          <w:spacing w:val="-52"/>
          <w:vertAlign w:val="baseline"/>
        </w:rPr>
        <w:t> </w:t>
      </w:r>
      <w:r>
        <w:rPr>
          <w:color w:val="231F20"/>
          <w:spacing w:val="-1"/>
          <w:vertAlign w:val="baseline"/>
        </w:rPr>
        <w:t>in HIV-positive </w:t>
      </w:r>
      <w:r>
        <w:rPr>
          <w:color w:val="231F20"/>
          <w:vertAlign w:val="baseline"/>
        </w:rPr>
        <w:t>injection drug users. AIDS and</w:t>
      </w:r>
      <w:r>
        <w:rPr>
          <w:color w:val="231F20"/>
          <w:spacing w:val="1"/>
          <w:vertAlign w:val="baseline"/>
        </w:rPr>
        <w:t> </w:t>
      </w:r>
      <w:r>
        <w:rPr>
          <w:color w:val="231F20"/>
          <w:vertAlign w:val="baseline"/>
        </w:rPr>
        <w:t>Behavior, 19(4), 684–693. </w:t>
      </w:r>
      <w:hyperlink r:id="rId62">
        <w:r>
          <w:rPr>
            <w:color w:val="3953A4"/>
            <w:u w:val="single" w:color="3953A4"/>
            <w:vertAlign w:val="baseline"/>
          </w:rPr>
          <w:t>https://doi.org/10.1007/</w:t>
        </w:r>
      </w:hyperlink>
      <w:r>
        <w:rPr>
          <w:color w:val="3953A4"/>
          <w:spacing w:val="1"/>
          <w:vertAlign w:val="baseline"/>
        </w:rPr>
        <w:t> </w:t>
      </w:r>
      <w:hyperlink r:id="rId62">
        <w:r>
          <w:rPr>
            <w:color w:val="3953A4"/>
            <w:u w:val="single" w:color="3953A4"/>
            <w:vertAlign w:val="baseline"/>
          </w:rPr>
          <w:t>s10461-014-0890-0</w:t>
        </w:r>
      </w:hyperlink>
    </w:p>
    <w:p>
      <w:pPr>
        <w:pStyle w:val="BodyText"/>
        <w:tabs>
          <w:tab w:pos="519" w:val="left" w:leader="none"/>
        </w:tabs>
        <w:spacing w:line="228" w:lineRule="auto" w:before="88"/>
        <w:ind w:left="519" w:right="416" w:hanging="360"/>
      </w:pPr>
      <w:r>
        <w:rPr>
          <w:color w:val="231F20"/>
          <w:vertAlign w:val="superscript"/>
        </w:rPr>
        <w:t>25</w:t>
      </w:r>
      <w:r>
        <w:rPr>
          <w:color w:val="231F20"/>
          <w:vertAlign w:val="baseline"/>
        </w:rPr>
        <w:tab/>
      </w:r>
      <w:r>
        <w:rPr>
          <w:color w:val="231F20"/>
          <w:spacing w:val="-2"/>
          <w:vertAlign w:val="baseline"/>
        </w:rPr>
        <w:t>Yehia,</w:t>
      </w:r>
      <w:r>
        <w:rPr>
          <w:color w:val="231F20"/>
          <w:spacing w:val="1"/>
          <w:vertAlign w:val="baseline"/>
        </w:rPr>
        <w:t> </w:t>
      </w:r>
      <w:r>
        <w:rPr>
          <w:color w:val="231F20"/>
          <w:spacing w:val="-2"/>
          <w:vertAlign w:val="baseline"/>
        </w:rPr>
        <w:t>B.</w:t>
      </w:r>
      <w:r>
        <w:rPr>
          <w:color w:val="231F20"/>
          <w:spacing w:val="2"/>
          <w:vertAlign w:val="baseline"/>
        </w:rPr>
        <w:t> </w:t>
      </w:r>
      <w:r>
        <w:rPr>
          <w:color w:val="231F20"/>
          <w:spacing w:val="-2"/>
          <w:vertAlign w:val="baseline"/>
        </w:rPr>
        <w:t>R.,</w:t>
      </w:r>
      <w:r>
        <w:rPr>
          <w:color w:val="231F20"/>
          <w:spacing w:val="2"/>
          <w:vertAlign w:val="baseline"/>
        </w:rPr>
        <w:t> </w:t>
      </w:r>
      <w:r>
        <w:rPr>
          <w:color w:val="231F20"/>
          <w:spacing w:val="-2"/>
          <w:vertAlign w:val="baseline"/>
        </w:rPr>
        <w:t>Stephens-Shield,</w:t>
      </w:r>
      <w:r>
        <w:rPr>
          <w:color w:val="231F20"/>
          <w:spacing w:val="-12"/>
          <w:vertAlign w:val="baseline"/>
        </w:rPr>
        <w:t> </w:t>
      </w:r>
      <w:r>
        <w:rPr>
          <w:color w:val="231F20"/>
          <w:spacing w:val="-1"/>
          <w:vertAlign w:val="baseline"/>
        </w:rPr>
        <w:t>A.</w:t>
      </w:r>
      <w:r>
        <w:rPr>
          <w:color w:val="231F20"/>
          <w:spacing w:val="1"/>
          <w:vertAlign w:val="baseline"/>
        </w:rPr>
        <w:t> </w:t>
      </w:r>
      <w:r>
        <w:rPr>
          <w:color w:val="231F20"/>
          <w:spacing w:val="-1"/>
          <w:vertAlign w:val="baseline"/>
        </w:rPr>
        <w:t>J.,</w:t>
      </w:r>
      <w:r>
        <w:rPr>
          <w:color w:val="231F20"/>
          <w:vertAlign w:val="baseline"/>
        </w:rPr>
        <w:t> </w:t>
      </w:r>
      <w:r>
        <w:rPr>
          <w:color w:val="231F20"/>
          <w:spacing w:val="-1"/>
          <w:vertAlign w:val="baseline"/>
        </w:rPr>
        <w:t>Momplaisir,</w:t>
      </w:r>
      <w:r>
        <w:rPr>
          <w:color w:val="231F20"/>
          <w:spacing w:val="-52"/>
          <w:vertAlign w:val="baseline"/>
        </w:rPr>
        <w:t> </w:t>
      </w:r>
      <w:r>
        <w:rPr>
          <w:color w:val="231F20"/>
          <w:vertAlign w:val="baseline"/>
        </w:rPr>
        <w:t>F., Taylor, L., Gross, R., Dubé, B., Glanz, K., &amp;</w:t>
      </w:r>
      <w:r>
        <w:rPr>
          <w:color w:val="231F20"/>
          <w:spacing w:val="1"/>
          <w:vertAlign w:val="baseline"/>
        </w:rPr>
        <w:t> </w:t>
      </w:r>
      <w:r>
        <w:rPr>
          <w:color w:val="231F20"/>
          <w:spacing w:val="-2"/>
          <w:vertAlign w:val="baseline"/>
        </w:rPr>
        <w:t>Brady, K. A. </w:t>
      </w:r>
      <w:r>
        <w:rPr>
          <w:color w:val="231F20"/>
          <w:spacing w:val="-1"/>
          <w:vertAlign w:val="baseline"/>
        </w:rPr>
        <w:t>(2015). Health outcomes of HIV-</w:t>
      </w:r>
      <w:r>
        <w:rPr>
          <w:color w:val="231F20"/>
          <w:vertAlign w:val="baseline"/>
        </w:rPr>
        <w:t> infected</w:t>
      </w:r>
      <w:r>
        <w:rPr>
          <w:color w:val="231F20"/>
          <w:spacing w:val="-1"/>
          <w:vertAlign w:val="baseline"/>
        </w:rPr>
        <w:t> </w:t>
      </w:r>
      <w:r>
        <w:rPr>
          <w:color w:val="231F20"/>
          <w:vertAlign w:val="baseline"/>
        </w:rPr>
        <w:t>people</w:t>
      </w:r>
      <w:r>
        <w:rPr>
          <w:color w:val="231F20"/>
          <w:spacing w:val="-1"/>
          <w:vertAlign w:val="baseline"/>
        </w:rPr>
        <w:t> </w:t>
      </w:r>
      <w:r>
        <w:rPr>
          <w:color w:val="231F20"/>
          <w:vertAlign w:val="baseline"/>
        </w:rPr>
        <w:t>with</w:t>
      </w:r>
      <w:r>
        <w:rPr>
          <w:color w:val="231F20"/>
          <w:spacing w:val="-1"/>
          <w:vertAlign w:val="baseline"/>
        </w:rPr>
        <w:t> </w:t>
      </w:r>
      <w:r>
        <w:rPr>
          <w:color w:val="231F20"/>
          <w:vertAlign w:val="baseline"/>
        </w:rPr>
        <w:t>mental</w:t>
      </w:r>
      <w:r>
        <w:rPr>
          <w:color w:val="231F20"/>
          <w:spacing w:val="-1"/>
          <w:vertAlign w:val="baseline"/>
        </w:rPr>
        <w:t> </w:t>
      </w:r>
      <w:r>
        <w:rPr>
          <w:color w:val="231F20"/>
          <w:vertAlign w:val="baseline"/>
        </w:rPr>
        <w:t>illness.</w:t>
      </w:r>
      <w:r>
        <w:rPr>
          <w:color w:val="231F20"/>
          <w:spacing w:val="-13"/>
          <w:vertAlign w:val="baseline"/>
        </w:rPr>
        <w:t> </w:t>
      </w:r>
      <w:r>
        <w:rPr>
          <w:color w:val="231F20"/>
          <w:vertAlign w:val="baseline"/>
        </w:rPr>
        <w:t>AIDS</w:t>
      </w:r>
      <w:r>
        <w:rPr>
          <w:color w:val="231F20"/>
          <w:spacing w:val="-2"/>
          <w:vertAlign w:val="baseline"/>
        </w:rPr>
        <w:t> </w:t>
      </w:r>
      <w:r>
        <w:rPr>
          <w:color w:val="231F20"/>
          <w:vertAlign w:val="baseline"/>
        </w:rPr>
        <w:t>and</w:t>
      </w:r>
    </w:p>
    <w:p>
      <w:pPr>
        <w:pStyle w:val="BodyText"/>
        <w:spacing w:line="228" w:lineRule="auto"/>
        <w:ind w:left="520" w:right="48" w:hanging="1"/>
      </w:pPr>
      <w:r>
        <w:rPr>
          <w:color w:val="231F20"/>
        </w:rPr>
        <w:t>Behavior,</w:t>
      </w:r>
      <w:r>
        <w:rPr>
          <w:color w:val="231F20"/>
          <w:spacing w:val="-9"/>
        </w:rPr>
        <w:t> </w:t>
      </w:r>
      <w:r>
        <w:rPr>
          <w:color w:val="231F20"/>
        </w:rPr>
        <w:t>19(8),</w:t>
      </w:r>
      <w:r>
        <w:rPr>
          <w:color w:val="231F20"/>
          <w:spacing w:val="-9"/>
        </w:rPr>
        <w:t> </w:t>
      </w:r>
      <w:r>
        <w:rPr>
          <w:color w:val="231F20"/>
        </w:rPr>
        <w:t>1491–1500.</w:t>
      </w:r>
      <w:r>
        <w:rPr>
          <w:color w:val="231F20"/>
          <w:spacing w:val="-8"/>
        </w:rPr>
        <w:t> </w:t>
      </w:r>
      <w:hyperlink r:id="rId63">
        <w:r>
          <w:rPr>
            <w:color w:val="3953A4"/>
            <w:u w:val="single" w:color="3953A4"/>
          </w:rPr>
          <w:t>https://doi.org/10.1007/</w:t>
        </w:r>
      </w:hyperlink>
      <w:r>
        <w:rPr>
          <w:color w:val="3953A4"/>
          <w:spacing w:val="-52"/>
        </w:rPr>
        <w:t> </w:t>
      </w:r>
      <w:hyperlink r:id="rId63">
        <w:r>
          <w:rPr>
            <w:color w:val="3953A4"/>
            <w:u w:val="single" w:color="3953A4"/>
          </w:rPr>
          <w:t>s10461-015-1080-4</w:t>
        </w:r>
      </w:hyperlink>
    </w:p>
    <w:p>
      <w:pPr>
        <w:pStyle w:val="BodyText"/>
        <w:tabs>
          <w:tab w:pos="519" w:val="left" w:leader="none"/>
        </w:tabs>
        <w:spacing w:line="228" w:lineRule="auto" w:before="88"/>
        <w:ind w:left="519" w:right="209" w:hanging="360"/>
      </w:pPr>
      <w:r>
        <w:rPr>
          <w:color w:val="231F20"/>
          <w:vertAlign w:val="superscript"/>
        </w:rPr>
        <w:t>26</w:t>
      </w:r>
      <w:r>
        <w:rPr>
          <w:color w:val="231F20"/>
          <w:vertAlign w:val="baseline"/>
        </w:rPr>
        <w:tab/>
      </w:r>
      <w:hyperlink r:id="rId37">
        <w:r>
          <w:rPr>
            <w:color w:val="231F20"/>
            <w:vertAlign w:val="baseline"/>
          </w:rPr>
          <w:t>HIV.gov</w:t>
        </w:r>
      </w:hyperlink>
      <w:r>
        <w:rPr>
          <w:color w:val="231F20"/>
          <w:vertAlign w:val="baseline"/>
        </w:rPr>
        <w:t>. (2020, May 8). ‘Ending the HIV</w:t>
      </w:r>
      <w:r>
        <w:rPr>
          <w:color w:val="231F20"/>
          <w:spacing w:val="1"/>
          <w:vertAlign w:val="baseline"/>
        </w:rPr>
        <w:t> </w:t>
      </w:r>
      <w:r>
        <w:rPr>
          <w:color w:val="231F20"/>
          <w:vertAlign w:val="baseline"/>
        </w:rPr>
        <w:t>Epidemic’:</w:t>
      </w:r>
      <w:r>
        <w:rPr>
          <w:color w:val="231F20"/>
          <w:spacing w:val="-5"/>
          <w:vertAlign w:val="baseline"/>
        </w:rPr>
        <w:t> </w:t>
      </w:r>
      <w:r>
        <w:rPr>
          <w:color w:val="231F20"/>
          <w:vertAlign w:val="baseline"/>
        </w:rPr>
        <w:t>Key</w:t>
      </w:r>
      <w:r>
        <w:rPr>
          <w:color w:val="231F20"/>
          <w:spacing w:val="-5"/>
          <w:vertAlign w:val="baseline"/>
        </w:rPr>
        <w:t> </w:t>
      </w:r>
      <w:r>
        <w:rPr>
          <w:color w:val="231F20"/>
          <w:vertAlign w:val="baseline"/>
        </w:rPr>
        <w:t>strategies</w:t>
      </w:r>
      <w:r>
        <w:rPr>
          <w:color w:val="231F20"/>
          <w:spacing w:val="-5"/>
          <w:vertAlign w:val="baseline"/>
        </w:rPr>
        <w:t> </w:t>
      </w:r>
      <w:r>
        <w:rPr>
          <w:color w:val="231F20"/>
          <w:vertAlign w:val="baseline"/>
        </w:rPr>
        <w:t>in</w:t>
      </w:r>
      <w:r>
        <w:rPr>
          <w:color w:val="231F20"/>
          <w:spacing w:val="-4"/>
          <w:vertAlign w:val="baseline"/>
        </w:rPr>
        <w:t> </w:t>
      </w:r>
      <w:r>
        <w:rPr>
          <w:color w:val="231F20"/>
          <w:vertAlign w:val="baseline"/>
        </w:rPr>
        <w:t>the</w:t>
      </w:r>
      <w:r>
        <w:rPr>
          <w:color w:val="231F20"/>
          <w:spacing w:val="-4"/>
          <w:vertAlign w:val="baseline"/>
        </w:rPr>
        <w:t> </w:t>
      </w:r>
      <w:r>
        <w:rPr>
          <w:color w:val="231F20"/>
          <w:vertAlign w:val="baseline"/>
        </w:rPr>
        <w:t>plan.</w:t>
      </w:r>
      <w:r>
        <w:rPr>
          <w:color w:val="231F20"/>
          <w:spacing w:val="-5"/>
          <w:vertAlign w:val="baseline"/>
        </w:rPr>
        <w:t> </w:t>
      </w:r>
      <w:hyperlink r:id="rId64">
        <w:r>
          <w:rPr>
            <w:color w:val="3953A4"/>
            <w:u w:val="single" w:color="3953A4"/>
            <w:vertAlign w:val="baseline"/>
          </w:rPr>
          <w:t>https://www.</w:t>
        </w:r>
      </w:hyperlink>
      <w:r>
        <w:rPr>
          <w:color w:val="3953A4"/>
          <w:spacing w:val="-52"/>
          <w:vertAlign w:val="baseline"/>
        </w:rPr>
        <w:t> </w:t>
      </w:r>
      <w:hyperlink r:id="rId64">
        <w:r>
          <w:rPr>
            <w:color w:val="3953A4"/>
            <w:u w:val="single" w:color="3953A4"/>
            <w:vertAlign w:val="baseline"/>
          </w:rPr>
          <w:t>hiv.gov/federal-response/ending-the-hiv-epidemic/</w:t>
        </w:r>
      </w:hyperlink>
      <w:r>
        <w:rPr>
          <w:color w:val="3953A4"/>
          <w:spacing w:val="-52"/>
          <w:vertAlign w:val="baseline"/>
        </w:rPr>
        <w:t> </w:t>
      </w:r>
      <w:hyperlink r:id="rId64">
        <w:r>
          <w:rPr>
            <w:color w:val="3953A4"/>
            <w:u w:val="single" w:color="3953A4"/>
            <w:vertAlign w:val="baseline"/>
          </w:rPr>
          <w:t>key-strategies</w:t>
        </w:r>
      </w:hyperlink>
    </w:p>
    <w:p>
      <w:pPr>
        <w:pStyle w:val="BodyText"/>
        <w:tabs>
          <w:tab w:pos="519" w:val="left" w:leader="none"/>
        </w:tabs>
        <w:spacing w:line="228" w:lineRule="auto" w:before="89"/>
        <w:ind w:left="520" w:right="47" w:hanging="360"/>
      </w:pPr>
      <w:r>
        <w:rPr>
          <w:color w:val="231F20"/>
          <w:vertAlign w:val="superscript"/>
        </w:rPr>
        <w:t>27</w:t>
      </w:r>
      <w:r>
        <w:rPr>
          <w:color w:val="231F20"/>
          <w:vertAlign w:val="baseline"/>
        </w:rPr>
        <w:tab/>
      </w:r>
      <w:r>
        <w:rPr>
          <w:color w:val="231F20"/>
          <w:spacing w:val="-2"/>
          <w:vertAlign w:val="baseline"/>
        </w:rPr>
        <w:t>Wejnert, C., Hess, K. L., </w:t>
      </w:r>
      <w:r>
        <w:rPr>
          <w:color w:val="231F20"/>
          <w:spacing w:val="-1"/>
          <w:vertAlign w:val="baseline"/>
        </w:rPr>
        <w:t>Hall, H. I., Van Handel, M.,</w:t>
      </w:r>
      <w:r>
        <w:rPr>
          <w:color w:val="231F20"/>
          <w:spacing w:val="-52"/>
          <w:vertAlign w:val="baseline"/>
        </w:rPr>
        <w:t> </w:t>
      </w:r>
      <w:r>
        <w:rPr>
          <w:color w:val="231F20"/>
          <w:spacing w:val="-3"/>
          <w:vertAlign w:val="baseline"/>
        </w:rPr>
        <w:t>Hayes, D., Fulton, P. J., An, Q., Koenig, L. J., Prejean,</w:t>
      </w:r>
      <w:r>
        <w:rPr>
          <w:color w:val="231F20"/>
          <w:spacing w:val="-52"/>
          <w:vertAlign w:val="baseline"/>
        </w:rPr>
        <w:t> </w:t>
      </w:r>
      <w:r>
        <w:rPr>
          <w:color w:val="231F20"/>
          <w:spacing w:val="-4"/>
          <w:vertAlign w:val="baseline"/>
        </w:rPr>
        <w:t>J., &amp; Valleroy, </w:t>
      </w:r>
      <w:r>
        <w:rPr>
          <w:color w:val="231F20"/>
          <w:spacing w:val="-3"/>
          <w:vertAlign w:val="baseline"/>
        </w:rPr>
        <w:t>L. A. (2016). Vital signs: Trends in</w:t>
      </w:r>
      <w:r>
        <w:rPr>
          <w:color w:val="231F20"/>
          <w:spacing w:val="-2"/>
          <w:vertAlign w:val="baseline"/>
        </w:rPr>
        <w:t> HIV</w:t>
      </w:r>
      <w:r>
        <w:rPr>
          <w:color w:val="231F20"/>
          <w:spacing w:val="-12"/>
          <w:vertAlign w:val="baseline"/>
        </w:rPr>
        <w:t> </w:t>
      </w:r>
      <w:r>
        <w:rPr>
          <w:color w:val="231F20"/>
          <w:spacing w:val="-2"/>
          <w:vertAlign w:val="baseline"/>
        </w:rPr>
        <w:t>diagnoses,</w:t>
      </w:r>
      <w:r>
        <w:rPr>
          <w:color w:val="231F20"/>
          <w:spacing w:val="-7"/>
          <w:vertAlign w:val="baseline"/>
        </w:rPr>
        <w:t> </w:t>
      </w:r>
      <w:r>
        <w:rPr>
          <w:color w:val="231F20"/>
          <w:spacing w:val="-1"/>
          <w:vertAlign w:val="baseline"/>
        </w:rPr>
        <w:t>risk</w:t>
      </w:r>
      <w:r>
        <w:rPr>
          <w:color w:val="231F20"/>
          <w:spacing w:val="-7"/>
          <w:vertAlign w:val="baseline"/>
        </w:rPr>
        <w:t> </w:t>
      </w:r>
      <w:r>
        <w:rPr>
          <w:color w:val="231F20"/>
          <w:spacing w:val="-1"/>
          <w:vertAlign w:val="baseline"/>
        </w:rPr>
        <w:t>behaviors,</w:t>
      </w:r>
      <w:r>
        <w:rPr>
          <w:color w:val="231F20"/>
          <w:spacing w:val="-7"/>
          <w:vertAlign w:val="baseline"/>
        </w:rPr>
        <w:t> </w:t>
      </w:r>
      <w:r>
        <w:rPr>
          <w:color w:val="231F20"/>
          <w:spacing w:val="-1"/>
          <w:vertAlign w:val="baseline"/>
        </w:rPr>
        <w:t>and</w:t>
      </w:r>
      <w:r>
        <w:rPr>
          <w:color w:val="231F20"/>
          <w:spacing w:val="-8"/>
          <w:vertAlign w:val="baseline"/>
        </w:rPr>
        <w:t> </w:t>
      </w:r>
      <w:r>
        <w:rPr>
          <w:color w:val="231F20"/>
          <w:spacing w:val="-1"/>
          <w:vertAlign w:val="baseline"/>
        </w:rPr>
        <w:t>prevention</w:t>
      </w:r>
      <w:r>
        <w:rPr>
          <w:color w:val="231F20"/>
          <w:spacing w:val="-7"/>
          <w:vertAlign w:val="baseline"/>
        </w:rPr>
        <w:t> </w:t>
      </w:r>
      <w:r>
        <w:rPr>
          <w:color w:val="231F20"/>
          <w:spacing w:val="-1"/>
          <w:vertAlign w:val="baseline"/>
        </w:rPr>
        <w:t>among</w:t>
      </w:r>
      <w:r>
        <w:rPr>
          <w:color w:val="231F20"/>
          <w:spacing w:val="-52"/>
          <w:vertAlign w:val="baseline"/>
        </w:rPr>
        <w:t> </w:t>
      </w:r>
      <w:r>
        <w:rPr>
          <w:color w:val="231F20"/>
          <w:spacing w:val="-1"/>
          <w:vertAlign w:val="baseline"/>
        </w:rPr>
        <w:t>persons who inject drugs—United </w:t>
      </w:r>
      <w:r>
        <w:rPr>
          <w:color w:val="231F20"/>
          <w:vertAlign w:val="baseline"/>
        </w:rPr>
        <w:t>States. </w:t>
      </w:r>
      <w:r>
        <w:rPr>
          <w:i/>
          <w:color w:val="231F20"/>
          <w:vertAlign w:val="baseline"/>
        </w:rPr>
        <w:t>Morbidity</w:t>
      </w:r>
      <w:r>
        <w:rPr>
          <w:i/>
          <w:color w:val="231F20"/>
          <w:spacing w:val="1"/>
          <w:vertAlign w:val="baseline"/>
        </w:rPr>
        <w:t> </w:t>
      </w:r>
      <w:r>
        <w:rPr>
          <w:i/>
          <w:color w:val="231F20"/>
          <w:spacing w:val="-1"/>
          <w:vertAlign w:val="baseline"/>
        </w:rPr>
        <w:t>and</w:t>
      </w:r>
      <w:r>
        <w:rPr>
          <w:i/>
          <w:color w:val="231F20"/>
          <w:spacing w:val="-13"/>
          <w:vertAlign w:val="baseline"/>
        </w:rPr>
        <w:t> </w:t>
      </w:r>
      <w:r>
        <w:rPr>
          <w:i/>
          <w:color w:val="231F20"/>
          <w:spacing w:val="-1"/>
          <w:vertAlign w:val="baseline"/>
        </w:rPr>
        <w:t>Mortality</w:t>
      </w:r>
      <w:r>
        <w:rPr>
          <w:i/>
          <w:color w:val="231F20"/>
          <w:spacing w:val="-12"/>
          <w:vertAlign w:val="baseline"/>
        </w:rPr>
        <w:t> </w:t>
      </w:r>
      <w:r>
        <w:rPr>
          <w:i/>
          <w:color w:val="231F20"/>
          <w:spacing w:val="-1"/>
          <w:vertAlign w:val="baseline"/>
        </w:rPr>
        <w:t>Weekly</w:t>
      </w:r>
      <w:r>
        <w:rPr>
          <w:i/>
          <w:color w:val="231F20"/>
          <w:spacing w:val="-12"/>
          <w:vertAlign w:val="baseline"/>
        </w:rPr>
        <w:t> </w:t>
      </w:r>
      <w:r>
        <w:rPr>
          <w:i/>
          <w:color w:val="231F20"/>
          <w:spacing w:val="-1"/>
          <w:vertAlign w:val="baseline"/>
        </w:rPr>
        <w:t>Report</w:t>
      </w:r>
      <w:r>
        <w:rPr>
          <w:i/>
          <w:color w:val="231F20"/>
          <w:spacing w:val="-12"/>
          <w:vertAlign w:val="baseline"/>
        </w:rPr>
        <w:t> </w:t>
      </w:r>
      <w:r>
        <w:rPr>
          <w:i/>
          <w:color w:val="231F20"/>
          <w:spacing w:val="-1"/>
          <w:vertAlign w:val="baseline"/>
        </w:rPr>
        <w:t>(MMWR),</w:t>
      </w:r>
      <w:r>
        <w:rPr>
          <w:i/>
          <w:color w:val="231F20"/>
          <w:spacing w:val="-12"/>
          <w:vertAlign w:val="baseline"/>
        </w:rPr>
        <w:t> </w:t>
      </w:r>
      <w:r>
        <w:rPr>
          <w:i/>
          <w:color w:val="231F20"/>
          <w:spacing w:val="-1"/>
          <w:vertAlign w:val="baseline"/>
        </w:rPr>
        <w:t>65</w:t>
      </w:r>
      <w:r>
        <w:rPr>
          <w:color w:val="231F20"/>
          <w:spacing w:val="-1"/>
          <w:vertAlign w:val="baseline"/>
        </w:rPr>
        <w:t>(47),</w:t>
      </w:r>
      <w:r>
        <w:rPr>
          <w:color w:val="231F20"/>
          <w:spacing w:val="-12"/>
          <w:vertAlign w:val="baseline"/>
        </w:rPr>
        <w:t> </w:t>
      </w:r>
      <w:r>
        <w:rPr>
          <w:color w:val="231F20"/>
          <w:spacing w:val="-1"/>
          <w:vertAlign w:val="baseline"/>
        </w:rPr>
        <w:t>1336-</w:t>
      </w:r>
      <w:r>
        <w:rPr>
          <w:color w:val="231F20"/>
          <w:spacing w:val="-52"/>
          <w:vertAlign w:val="baseline"/>
        </w:rPr>
        <w:t> </w:t>
      </w:r>
      <w:r>
        <w:rPr>
          <w:color w:val="231F20"/>
          <w:spacing w:val="-1"/>
          <w:vertAlign w:val="baseline"/>
        </w:rPr>
        <w:t>1342.</w:t>
      </w:r>
      <w:r>
        <w:rPr>
          <w:color w:val="231F20"/>
          <w:spacing w:val="-11"/>
          <w:vertAlign w:val="baseline"/>
        </w:rPr>
        <w:t> </w:t>
      </w:r>
      <w:hyperlink r:id="rId65">
        <w:r>
          <w:rPr>
            <w:color w:val="3953A4"/>
            <w:spacing w:val="-1"/>
            <w:u w:val="single" w:color="3953A4"/>
            <w:vertAlign w:val="baseline"/>
          </w:rPr>
          <w:t>https://doi.org/10.15585/mmwr.mm6547e1</w:t>
        </w:r>
      </w:hyperlink>
    </w:p>
    <w:p>
      <w:pPr>
        <w:tabs>
          <w:tab w:pos="519" w:val="left" w:leader="none"/>
        </w:tabs>
        <w:spacing w:line="228" w:lineRule="auto" w:before="88"/>
        <w:ind w:left="519" w:right="208" w:hanging="360"/>
        <w:jc w:val="left"/>
        <w:rPr>
          <w:sz w:val="22"/>
        </w:rPr>
      </w:pPr>
      <w:r>
        <w:rPr>
          <w:color w:val="231F20"/>
          <w:sz w:val="22"/>
          <w:vertAlign w:val="superscript"/>
        </w:rPr>
        <w:t>28</w:t>
      </w:r>
      <w:r>
        <w:rPr>
          <w:color w:val="231F20"/>
          <w:sz w:val="22"/>
          <w:vertAlign w:val="baseline"/>
        </w:rPr>
        <w:tab/>
        <w:t>Centers for Disease Control and Prevention. (2019,</w:t>
      </w:r>
      <w:r>
        <w:rPr>
          <w:color w:val="231F20"/>
          <w:spacing w:val="-53"/>
          <w:sz w:val="22"/>
          <w:vertAlign w:val="baseline"/>
        </w:rPr>
        <w:t> </w:t>
      </w:r>
      <w:r>
        <w:rPr>
          <w:color w:val="231F20"/>
          <w:sz w:val="22"/>
          <w:vertAlign w:val="baseline"/>
        </w:rPr>
        <w:t>August 21). </w:t>
      </w:r>
      <w:r>
        <w:rPr>
          <w:i/>
          <w:color w:val="231F20"/>
          <w:sz w:val="22"/>
          <w:vertAlign w:val="baseline"/>
        </w:rPr>
        <w:t>HIV and people who inject drugs.</w:t>
      </w:r>
      <w:r>
        <w:rPr>
          <w:i/>
          <w:color w:val="231F20"/>
          <w:spacing w:val="1"/>
          <w:sz w:val="22"/>
          <w:vertAlign w:val="baseline"/>
        </w:rPr>
        <w:t> </w:t>
      </w:r>
      <w:hyperlink r:id="rId66">
        <w:r>
          <w:rPr>
            <w:color w:val="3953A4"/>
            <w:sz w:val="22"/>
            <w:u w:val="single" w:color="3953A4"/>
            <w:vertAlign w:val="baseline"/>
          </w:rPr>
          <w:t>https://www.cdc.gov/hiv/group/hiv-idu.html</w:t>
        </w:r>
      </w:hyperlink>
    </w:p>
    <w:p>
      <w:pPr>
        <w:pStyle w:val="BodyText"/>
        <w:tabs>
          <w:tab w:pos="519" w:val="left" w:leader="none"/>
        </w:tabs>
        <w:spacing w:line="228" w:lineRule="auto" w:before="89"/>
        <w:ind w:left="520" w:right="296" w:hanging="360"/>
      </w:pPr>
      <w:r>
        <w:rPr>
          <w:color w:val="231F20"/>
          <w:vertAlign w:val="superscript"/>
        </w:rPr>
        <w:t>29</w:t>
      </w:r>
      <w:r>
        <w:rPr>
          <w:color w:val="231F20"/>
          <w:vertAlign w:val="baseline"/>
        </w:rPr>
        <w:tab/>
      </w:r>
      <w:r>
        <w:rPr>
          <w:color w:val="231F20"/>
          <w:spacing w:val="-4"/>
          <w:vertAlign w:val="baseline"/>
        </w:rPr>
        <w:t>Centers for Disease Control </w:t>
      </w:r>
      <w:r>
        <w:rPr>
          <w:color w:val="231F20"/>
          <w:spacing w:val="-3"/>
          <w:vertAlign w:val="baseline"/>
        </w:rPr>
        <w:t>and Prevention. (2019,</w:t>
      </w:r>
      <w:r>
        <w:rPr>
          <w:color w:val="231F20"/>
          <w:spacing w:val="-2"/>
          <w:vertAlign w:val="baseline"/>
        </w:rPr>
        <w:t> </w:t>
      </w:r>
      <w:r>
        <w:rPr>
          <w:color w:val="231F20"/>
          <w:spacing w:val="-4"/>
          <w:vertAlign w:val="baseline"/>
        </w:rPr>
        <w:t>August</w:t>
      </w:r>
      <w:r>
        <w:rPr>
          <w:color w:val="231F20"/>
          <w:spacing w:val="-9"/>
          <w:vertAlign w:val="baseline"/>
        </w:rPr>
        <w:t> </w:t>
      </w:r>
      <w:r>
        <w:rPr>
          <w:color w:val="231F20"/>
          <w:spacing w:val="-4"/>
          <w:vertAlign w:val="baseline"/>
        </w:rPr>
        <w:t>6).</w:t>
      </w:r>
      <w:r>
        <w:rPr>
          <w:color w:val="231F20"/>
          <w:spacing w:val="-9"/>
          <w:vertAlign w:val="baseline"/>
        </w:rPr>
        <w:t> </w:t>
      </w:r>
      <w:r>
        <w:rPr>
          <w:i/>
          <w:color w:val="231F20"/>
          <w:spacing w:val="-4"/>
          <w:vertAlign w:val="baseline"/>
        </w:rPr>
        <w:t>Basic</w:t>
      </w:r>
      <w:r>
        <w:rPr>
          <w:i/>
          <w:color w:val="231F20"/>
          <w:spacing w:val="-9"/>
          <w:vertAlign w:val="baseline"/>
        </w:rPr>
        <w:t> </w:t>
      </w:r>
      <w:r>
        <w:rPr>
          <w:i/>
          <w:color w:val="231F20"/>
          <w:spacing w:val="-4"/>
          <w:vertAlign w:val="baseline"/>
        </w:rPr>
        <w:t>statistics</w:t>
      </w:r>
      <w:r>
        <w:rPr>
          <w:color w:val="231F20"/>
          <w:spacing w:val="-4"/>
          <w:vertAlign w:val="baseline"/>
        </w:rPr>
        <w:t>.</w:t>
      </w:r>
      <w:r>
        <w:rPr>
          <w:color w:val="231F20"/>
          <w:spacing w:val="-9"/>
          <w:vertAlign w:val="baseline"/>
        </w:rPr>
        <w:t> </w:t>
      </w:r>
      <w:hyperlink r:id="rId67">
        <w:r>
          <w:rPr>
            <w:color w:val="3953A4"/>
            <w:spacing w:val="-4"/>
            <w:u w:val="single" w:color="3953A4"/>
            <w:vertAlign w:val="baseline"/>
          </w:rPr>
          <w:t>https://www.cdc.gov/hiv/</w:t>
        </w:r>
      </w:hyperlink>
      <w:r>
        <w:rPr>
          <w:color w:val="3953A4"/>
          <w:spacing w:val="-52"/>
          <w:vertAlign w:val="baseline"/>
        </w:rPr>
        <w:t> </w:t>
      </w:r>
      <w:hyperlink r:id="rId67">
        <w:r>
          <w:rPr>
            <w:color w:val="3953A4"/>
            <w:u w:val="single" w:color="3953A4"/>
            <w:vertAlign w:val="baseline"/>
          </w:rPr>
          <w:t>basics/statistics.html</w:t>
        </w:r>
      </w:hyperlink>
    </w:p>
    <w:p>
      <w:pPr>
        <w:pStyle w:val="BodyText"/>
        <w:tabs>
          <w:tab w:pos="519" w:val="left" w:leader="none"/>
        </w:tabs>
        <w:spacing w:line="246" w:lineRule="exact" w:before="78"/>
        <w:ind w:left="160"/>
      </w:pPr>
      <w:r>
        <w:rPr>
          <w:color w:val="231F20"/>
          <w:vertAlign w:val="superscript"/>
        </w:rPr>
        <w:t>30</w:t>
      </w:r>
      <w:r>
        <w:rPr>
          <w:color w:val="231F20"/>
          <w:vertAlign w:val="baseline"/>
        </w:rPr>
        <w:tab/>
      </w:r>
      <w:r>
        <w:rPr>
          <w:color w:val="231F20"/>
          <w:spacing w:val="-3"/>
          <w:vertAlign w:val="baseline"/>
        </w:rPr>
        <w:t>Bryant,</w:t>
      </w:r>
      <w:r>
        <w:rPr>
          <w:color w:val="231F20"/>
          <w:spacing w:val="-11"/>
          <w:vertAlign w:val="baseline"/>
        </w:rPr>
        <w:t> </w:t>
      </w:r>
      <w:r>
        <w:rPr>
          <w:color w:val="231F20"/>
          <w:spacing w:val="-3"/>
          <w:vertAlign w:val="baseline"/>
        </w:rPr>
        <w:t>K.</w:t>
      </w:r>
      <w:r>
        <w:rPr>
          <w:color w:val="231F20"/>
          <w:spacing w:val="-11"/>
          <w:vertAlign w:val="baseline"/>
        </w:rPr>
        <w:t> </w:t>
      </w:r>
      <w:r>
        <w:rPr>
          <w:color w:val="231F20"/>
          <w:spacing w:val="-3"/>
          <w:vertAlign w:val="baseline"/>
        </w:rPr>
        <w:t>J.,</w:t>
      </w:r>
      <w:r>
        <w:rPr>
          <w:color w:val="231F20"/>
          <w:spacing w:val="-11"/>
          <w:vertAlign w:val="baseline"/>
        </w:rPr>
        <w:t> </w:t>
      </w:r>
      <w:r>
        <w:rPr>
          <w:color w:val="231F20"/>
          <w:spacing w:val="-3"/>
          <w:vertAlign w:val="baseline"/>
        </w:rPr>
        <w:t>Nelson,</w:t>
      </w:r>
      <w:r>
        <w:rPr>
          <w:color w:val="231F20"/>
          <w:spacing w:val="-10"/>
          <w:vertAlign w:val="baseline"/>
        </w:rPr>
        <w:t> </w:t>
      </w:r>
      <w:r>
        <w:rPr>
          <w:color w:val="231F20"/>
          <w:spacing w:val="-3"/>
          <w:vertAlign w:val="baseline"/>
        </w:rPr>
        <w:t>S.,</w:t>
      </w:r>
      <w:r>
        <w:rPr>
          <w:color w:val="231F20"/>
          <w:spacing w:val="-11"/>
          <w:vertAlign w:val="baseline"/>
        </w:rPr>
        <w:t> </w:t>
      </w:r>
      <w:r>
        <w:rPr>
          <w:color w:val="231F20"/>
          <w:spacing w:val="-3"/>
          <w:vertAlign w:val="baseline"/>
        </w:rPr>
        <w:t>Braithwaite,</w:t>
      </w:r>
      <w:r>
        <w:rPr>
          <w:color w:val="231F20"/>
          <w:spacing w:val="-11"/>
          <w:vertAlign w:val="baseline"/>
        </w:rPr>
        <w:t> </w:t>
      </w:r>
      <w:r>
        <w:rPr>
          <w:color w:val="231F20"/>
          <w:spacing w:val="-3"/>
          <w:vertAlign w:val="baseline"/>
        </w:rPr>
        <w:t>R.</w:t>
      </w:r>
      <w:r>
        <w:rPr>
          <w:color w:val="231F20"/>
          <w:spacing w:val="-11"/>
          <w:vertAlign w:val="baseline"/>
        </w:rPr>
        <w:t> </w:t>
      </w:r>
      <w:r>
        <w:rPr>
          <w:color w:val="231F20"/>
          <w:spacing w:val="-3"/>
          <w:vertAlign w:val="baseline"/>
        </w:rPr>
        <w:t>S.,</w:t>
      </w:r>
      <w:r>
        <w:rPr>
          <w:color w:val="231F20"/>
          <w:spacing w:val="-10"/>
          <w:vertAlign w:val="baseline"/>
        </w:rPr>
        <w:t> </w:t>
      </w:r>
      <w:r>
        <w:rPr>
          <w:color w:val="231F20"/>
          <w:spacing w:val="-3"/>
          <w:vertAlign w:val="baseline"/>
        </w:rPr>
        <w:t>&amp;</w:t>
      </w:r>
      <w:r>
        <w:rPr>
          <w:color w:val="231F20"/>
          <w:spacing w:val="-11"/>
          <w:vertAlign w:val="baseline"/>
        </w:rPr>
        <w:t> </w:t>
      </w:r>
      <w:r>
        <w:rPr>
          <w:color w:val="231F20"/>
          <w:spacing w:val="-2"/>
          <w:vertAlign w:val="baseline"/>
        </w:rPr>
        <w:t>Roach,</w:t>
      </w:r>
    </w:p>
    <w:p>
      <w:pPr>
        <w:spacing w:line="228" w:lineRule="auto" w:before="4"/>
        <w:ind w:left="520" w:right="50" w:firstLine="0"/>
        <w:jc w:val="left"/>
        <w:rPr>
          <w:sz w:val="22"/>
        </w:rPr>
      </w:pPr>
      <w:r>
        <w:rPr>
          <w:color w:val="231F20"/>
          <w:spacing w:val="-4"/>
          <w:sz w:val="22"/>
        </w:rPr>
        <w:t>D.</w:t>
      </w:r>
      <w:r>
        <w:rPr>
          <w:color w:val="231F20"/>
          <w:spacing w:val="-9"/>
          <w:sz w:val="22"/>
        </w:rPr>
        <w:t> </w:t>
      </w:r>
      <w:r>
        <w:rPr>
          <w:color w:val="231F20"/>
          <w:spacing w:val="-4"/>
          <w:sz w:val="22"/>
        </w:rPr>
        <w:t>(2010).</w:t>
      </w:r>
      <w:r>
        <w:rPr>
          <w:color w:val="231F20"/>
          <w:spacing w:val="-8"/>
          <w:sz w:val="22"/>
        </w:rPr>
        <w:t> </w:t>
      </w:r>
      <w:r>
        <w:rPr>
          <w:color w:val="231F20"/>
          <w:spacing w:val="-4"/>
          <w:sz w:val="22"/>
        </w:rPr>
        <w:t>Integrating</w:t>
      </w:r>
      <w:r>
        <w:rPr>
          <w:color w:val="231F20"/>
          <w:spacing w:val="-9"/>
          <w:sz w:val="22"/>
        </w:rPr>
        <w:t> </w:t>
      </w:r>
      <w:r>
        <w:rPr>
          <w:color w:val="231F20"/>
          <w:spacing w:val="-4"/>
          <w:sz w:val="22"/>
        </w:rPr>
        <w:t>HIV/AIDS</w:t>
      </w:r>
      <w:r>
        <w:rPr>
          <w:color w:val="231F20"/>
          <w:spacing w:val="-8"/>
          <w:sz w:val="22"/>
        </w:rPr>
        <w:t> </w:t>
      </w:r>
      <w:r>
        <w:rPr>
          <w:color w:val="231F20"/>
          <w:spacing w:val="-3"/>
          <w:sz w:val="22"/>
        </w:rPr>
        <w:t>and</w:t>
      </w:r>
      <w:r>
        <w:rPr>
          <w:color w:val="231F20"/>
          <w:spacing w:val="-9"/>
          <w:sz w:val="22"/>
        </w:rPr>
        <w:t> </w:t>
      </w:r>
      <w:r>
        <w:rPr>
          <w:color w:val="231F20"/>
          <w:spacing w:val="-3"/>
          <w:sz w:val="22"/>
        </w:rPr>
        <w:t>alcohol</w:t>
      </w:r>
      <w:r>
        <w:rPr>
          <w:color w:val="231F20"/>
          <w:spacing w:val="-8"/>
          <w:sz w:val="22"/>
        </w:rPr>
        <w:t> </w:t>
      </w:r>
      <w:r>
        <w:rPr>
          <w:color w:val="231F20"/>
          <w:spacing w:val="-3"/>
          <w:sz w:val="22"/>
        </w:rPr>
        <w:t>research.</w:t>
      </w:r>
      <w:r>
        <w:rPr>
          <w:color w:val="231F20"/>
          <w:spacing w:val="-52"/>
          <w:sz w:val="22"/>
        </w:rPr>
        <w:t> </w:t>
      </w:r>
      <w:r>
        <w:rPr>
          <w:i/>
          <w:color w:val="231F20"/>
          <w:spacing w:val="-2"/>
          <w:sz w:val="22"/>
        </w:rPr>
        <w:t>Alcohol Research &amp; Health: </w:t>
      </w:r>
      <w:r>
        <w:rPr>
          <w:i/>
          <w:color w:val="231F20"/>
          <w:spacing w:val="-1"/>
          <w:sz w:val="22"/>
        </w:rPr>
        <w:t>The Journal of the</w:t>
      </w:r>
      <w:r>
        <w:rPr>
          <w:i/>
          <w:color w:val="231F20"/>
          <w:sz w:val="22"/>
        </w:rPr>
        <w:t> </w:t>
      </w:r>
      <w:r>
        <w:rPr>
          <w:i/>
          <w:color w:val="231F20"/>
          <w:spacing w:val="-4"/>
          <w:sz w:val="22"/>
        </w:rPr>
        <w:t>National Institute on Alcohol </w:t>
      </w:r>
      <w:r>
        <w:rPr>
          <w:i/>
          <w:color w:val="231F20"/>
          <w:spacing w:val="-3"/>
          <w:sz w:val="22"/>
        </w:rPr>
        <w:t>Abuse and Alcoholism,</w:t>
      </w:r>
      <w:r>
        <w:rPr>
          <w:i/>
          <w:color w:val="231F20"/>
          <w:spacing w:val="-2"/>
          <w:sz w:val="22"/>
        </w:rPr>
        <w:t> </w:t>
      </w:r>
      <w:r>
        <w:rPr>
          <w:i/>
          <w:color w:val="231F20"/>
          <w:spacing w:val="-4"/>
          <w:sz w:val="22"/>
        </w:rPr>
        <w:t>33</w:t>
      </w:r>
      <w:r>
        <w:rPr>
          <w:color w:val="231F20"/>
          <w:spacing w:val="-4"/>
          <w:sz w:val="22"/>
        </w:rPr>
        <w:t>(3), 167-178.</w:t>
      </w:r>
      <w:r>
        <w:rPr>
          <w:color w:val="3953A4"/>
          <w:spacing w:val="-4"/>
          <w:sz w:val="22"/>
        </w:rPr>
        <w:t> </w:t>
      </w:r>
      <w:hyperlink r:id="rId68">
        <w:r>
          <w:rPr>
            <w:color w:val="3953A4"/>
            <w:spacing w:val="-4"/>
            <w:sz w:val="22"/>
            <w:u w:val="single" w:color="3953A4"/>
          </w:rPr>
          <w:t>https://www.ncbi.nlm.nih.gov/</w:t>
        </w:r>
      </w:hyperlink>
      <w:r>
        <w:rPr>
          <w:color w:val="3953A4"/>
          <w:spacing w:val="-3"/>
          <w:sz w:val="22"/>
        </w:rPr>
        <w:t> </w:t>
      </w:r>
      <w:hyperlink r:id="rId68">
        <w:r>
          <w:rPr>
            <w:color w:val="3953A4"/>
            <w:sz w:val="22"/>
            <w:u w:val="single" w:color="3953A4"/>
          </w:rPr>
          <w:t>pubmed/23584058</w:t>
        </w:r>
      </w:hyperlink>
    </w:p>
    <w:p>
      <w:pPr>
        <w:pStyle w:val="BodyText"/>
        <w:tabs>
          <w:tab w:pos="519" w:val="left" w:leader="none"/>
        </w:tabs>
        <w:spacing w:line="228" w:lineRule="auto" w:before="101"/>
        <w:ind w:left="520" w:right="767" w:hanging="360"/>
      </w:pPr>
      <w:r>
        <w:rPr/>
        <w:br w:type="column"/>
      </w:r>
      <w:r>
        <w:rPr>
          <w:color w:val="231F20"/>
          <w:vertAlign w:val="superscript"/>
        </w:rPr>
        <w:t>31</w:t>
      </w:r>
      <w:r>
        <w:rPr>
          <w:color w:val="231F20"/>
          <w:vertAlign w:val="baseline"/>
        </w:rPr>
        <w:tab/>
      </w:r>
      <w:r>
        <w:rPr>
          <w:color w:val="231F20"/>
          <w:spacing w:val="-3"/>
          <w:vertAlign w:val="baseline"/>
        </w:rPr>
        <w:t>Woolf,</w:t>
      </w:r>
      <w:r>
        <w:rPr>
          <w:color w:val="231F20"/>
          <w:spacing w:val="-4"/>
          <w:vertAlign w:val="baseline"/>
        </w:rPr>
        <w:t> </w:t>
      </w:r>
      <w:r>
        <w:rPr>
          <w:color w:val="231F20"/>
          <w:spacing w:val="-3"/>
          <w:vertAlign w:val="baseline"/>
        </w:rPr>
        <w:t>S.</w:t>
      </w:r>
      <w:r>
        <w:rPr>
          <w:color w:val="231F20"/>
          <w:spacing w:val="-4"/>
          <w:vertAlign w:val="baseline"/>
        </w:rPr>
        <w:t> </w:t>
      </w:r>
      <w:r>
        <w:rPr>
          <w:color w:val="231F20"/>
          <w:spacing w:val="-3"/>
          <w:vertAlign w:val="baseline"/>
        </w:rPr>
        <w:t>E.,</w:t>
      </w:r>
      <w:r>
        <w:rPr>
          <w:color w:val="231F20"/>
          <w:spacing w:val="-4"/>
          <w:vertAlign w:val="baseline"/>
        </w:rPr>
        <w:t> </w:t>
      </w:r>
      <w:r>
        <w:rPr>
          <w:color w:val="231F20"/>
          <w:spacing w:val="-3"/>
          <w:vertAlign w:val="baseline"/>
        </w:rPr>
        <w:t>&amp; Maisto,</w:t>
      </w:r>
      <w:r>
        <w:rPr>
          <w:color w:val="231F20"/>
          <w:spacing w:val="-4"/>
          <w:vertAlign w:val="baseline"/>
        </w:rPr>
        <w:t> </w:t>
      </w:r>
      <w:r>
        <w:rPr>
          <w:color w:val="231F20"/>
          <w:spacing w:val="-2"/>
          <w:vertAlign w:val="baseline"/>
        </w:rPr>
        <w:t>S.</w:t>
      </w:r>
      <w:r>
        <w:rPr>
          <w:color w:val="231F20"/>
          <w:spacing w:val="-17"/>
          <w:vertAlign w:val="baseline"/>
        </w:rPr>
        <w:t> </w:t>
      </w:r>
      <w:r>
        <w:rPr>
          <w:color w:val="231F20"/>
          <w:spacing w:val="-2"/>
          <w:vertAlign w:val="baseline"/>
        </w:rPr>
        <w:t>A.</w:t>
      </w:r>
      <w:r>
        <w:rPr>
          <w:color w:val="231F20"/>
          <w:spacing w:val="-4"/>
          <w:vertAlign w:val="baseline"/>
        </w:rPr>
        <w:t> </w:t>
      </w:r>
      <w:r>
        <w:rPr>
          <w:color w:val="231F20"/>
          <w:spacing w:val="-2"/>
          <w:vertAlign w:val="baseline"/>
        </w:rPr>
        <w:t>(2009).</w:t>
      </w:r>
      <w:r>
        <w:rPr>
          <w:color w:val="231F20"/>
          <w:spacing w:val="-17"/>
          <w:vertAlign w:val="baseline"/>
        </w:rPr>
        <w:t> </w:t>
      </w:r>
      <w:r>
        <w:rPr>
          <w:color w:val="231F20"/>
          <w:spacing w:val="-2"/>
          <w:vertAlign w:val="baseline"/>
        </w:rPr>
        <w:t>Alcohol</w:t>
      </w:r>
      <w:r>
        <w:rPr>
          <w:color w:val="231F20"/>
          <w:spacing w:val="-4"/>
          <w:vertAlign w:val="baseline"/>
        </w:rPr>
        <w:t> </w:t>
      </w:r>
      <w:r>
        <w:rPr>
          <w:color w:val="231F20"/>
          <w:spacing w:val="-2"/>
          <w:vertAlign w:val="baseline"/>
        </w:rPr>
        <w:t>use</w:t>
      </w:r>
      <w:r>
        <w:rPr>
          <w:color w:val="231F20"/>
          <w:spacing w:val="-4"/>
          <w:vertAlign w:val="baseline"/>
        </w:rPr>
        <w:t> </w:t>
      </w:r>
      <w:r>
        <w:rPr>
          <w:color w:val="231F20"/>
          <w:spacing w:val="-2"/>
          <w:vertAlign w:val="baseline"/>
        </w:rPr>
        <w:t>and</w:t>
      </w:r>
      <w:r>
        <w:rPr>
          <w:color w:val="231F20"/>
          <w:spacing w:val="-52"/>
          <w:vertAlign w:val="baseline"/>
        </w:rPr>
        <w:t> </w:t>
      </w:r>
      <w:r>
        <w:rPr>
          <w:color w:val="231F20"/>
          <w:spacing w:val="-1"/>
          <w:vertAlign w:val="baseline"/>
        </w:rPr>
        <w:t>risk</w:t>
      </w:r>
      <w:r>
        <w:rPr>
          <w:color w:val="231F20"/>
          <w:spacing w:val="-11"/>
          <w:vertAlign w:val="baseline"/>
        </w:rPr>
        <w:t> </w:t>
      </w:r>
      <w:r>
        <w:rPr>
          <w:color w:val="231F20"/>
          <w:vertAlign w:val="baseline"/>
        </w:rPr>
        <w:t>of</w:t>
      </w:r>
      <w:r>
        <w:rPr>
          <w:color w:val="231F20"/>
          <w:spacing w:val="-10"/>
          <w:vertAlign w:val="baseline"/>
        </w:rPr>
        <w:t> </w:t>
      </w:r>
      <w:r>
        <w:rPr>
          <w:color w:val="231F20"/>
          <w:vertAlign w:val="baseline"/>
        </w:rPr>
        <w:t>HIV</w:t>
      </w:r>
      <w:r>
        <w:rPr>
          <w:color w:val="231F20"/>
          <w:spacing w:val="-13"/>
          <w:vertAlign w:val="baseline"/>
        </w:rPr>
        <w:t> </w:t>
      </w:r>
      <w:r>
        <w:rPr>
          <w:color w:val="231F20"/>
          <w:vertAlign w:val="baseline"/>
        </w:rPr>
        <w:t>infection</w:t>
      </w:r>
      <w:r>
        <w:rPr>
          <w:color w:val="231F20"/>
          <w:spacing w:val="-11"/>
          <w:vertAlign w:val="baseline"/>
        </w:rPr>
        <w:t> </w:t>
      </w:r>
      <w:r>
        <w:rPr>
          <w:color w:val="231F20"/>
          <w:vertAlign w:val="baseline"/>
        </w:rPr>
        <w:t>among</w:t>
      </w:r>
      <w:r>
        <w:rPr>
          <w:color w:val="231F20"/>
          <w:spacing w:val="-10"/>
          <w:vertAlign w:val="baseline"/>
        </w:rPr>
        <w:t> </w:t>
      </w:r>
      <w:r>
        <w:rPr>
          <w:color w:val="231F20"/>
          <w:vertAlign w:val="baseline"/>
        </w:rPr>
        <w:t>men</w:t>
      </w:r>
      <w:r>
        <w:rPr>
          <w:color w:val="231F20"/>
          <w:spacing w:val="-10"/>
          <w:vertAlign w:val="baseline"/>
        </w:rPr>
        <w:t> </w:t>
      </w:r>
      <w:r>
        <w:rPr>
          <w:color w:val="231F20"/>
          <w:vertAlign w:val="baseline"/>
        </w:rPr>
        <w:t>who</w:t>
      </w:r>
      <w:r>
        <w:rPr>
          <w:color w:val="231F20"/>
          <w:spacing w:val="-11"/>
          <w:vertAlign w:val="baseline"/>
        </w:rPr>
        <w:t> </w:t>
      </w:r>
      <w:r>
        <w:rPr>
          <w:color w:val="231F20"/>
          <w:vertAlign w:val="baseline"/>
        </w:rPr>
        <w:t>have</w:t>
      </w:r>
      <w:r>
        <w:rPr>
          <w:color w:val="231F20"/>
          <w:spacing w:val="-10"/>
          <w:vertAlign w:val="baseline"/>
        </w:rPr>
        <w:t> </w:t>
      </w:r>
      <w:r>
        <w:rPr>
          <w:color w:val="231F20"/>
          <w:vertAlign w:val="baseline"/>
        </w:rPr>
        <w:t>sex</w:t>
      </w:r>
      <w:r>
        <w:rPr>
          <w:color w:val="231F20"/>
          <w:spacing w:val="-11"/>
          <w:vertAlign w:val="baseline"/>
        </w:rPr>
        <w:t> </w:t>
      </w:r>
      <w:r>
        <w:rPr>
          <w:color w:val="231F20"/>
          <w:vertAlign w:val="baseline"/>
        </w:rPr>
        <w:t>with</w:t>
      </w:r>
      <w:r>
        <w:rPr>
          <w:color w:val="231F20"/>
          <w:spacing w:val="1"/>
          <w:vertAlign w:val="baseline"/>
        </w:rPr>
        <w:t> </w:t>
      </w:r>
      <w:r>
        <w:rPr>
          <w:color w:val="231F20"/>
          <w:spacing w:val="-2"/>
          <w:vertAlign w:val="baseline"/>
        </w:rPr>
        <w:t>men.</w:t>
      </w:r>
      <w:r>
        <w:rPr>
          <w:color w:val="231F20"/>
          <w:spacing w:val="-12"/>
          <w:vertAlign w:val="baseline"/>
        </w:rPr>
        <w:t> </w:t>
      </w:r>
      <w:r>
        <w:rPr>
          <w:i/>
          <w:color w:val="231F20"/>
          <w:spacing w:val="-2"/>
          <w:vertAlign w:val="baseline"/>
        </w:rPr>
        <w:t>AIDS</w:t>
      </w:r>
      <w:r>
        <w:rPr>
          <w:i/>
          <w:color w:val="231F20"/>
          <w:spacing w:val="-11"/>
          <w:vertAlign w:val="baseline"/>
        </w:rPr>
        <w:t> </w:t>
      </w:r>
      <w:r>
        <w:rPr>
          <w:i/>
          <w:color w:val="231F20"/>
          <w:spacing w:val="-2"/>
          <w:vertAlign w:val="baseline"/>
        </w:rPr>
        <w:t>and</w:t>
      </w:r>
      <w:r>
        <w:rPr>
          <w:i/>
          <w:color w:val="231F20"/>
          <w:spacing w:val="-10"/>
          <w:vertAlign w:val="baseline"/>
        </w:rPr>
        <w:t> </w:t>
      </w:r>
      <w:r>
        <w:rPr>
          <w:i/>
          <w:color w:val="231F20"/>
          <w:spacing w:val="-1"/>
          <w:vertAlign w:val="baseline"/>
        </w:rPr>
        <w:t>Behavior,</w:t>
      </w:r>
      <w:r>
        <w:rPr>
          <w:i/>
          <w:color w:val="231F20"/>
          <w:spacing w:val="-11"/>
          <w:vertAlign w:val="baseline"/>
        </w:rPr>
        <w:t> </w:t>
      </w:r>
      <w:r>
        <w:rPr>
          <w:i/>
          <w:color w:val="231F20"/>
          <w:spacing w:val="-1"/>
          <w:vertAlign w:val="baseline"/>
        </w:rPr>
        <w:t>13</w:t>
      </w:r>
      <w:r>
        <w:rPr>
          <w:color w:val="231F20"/>
          <w:spacing w:val="-1"/>
          <w:vertAlign w:val="baseline"/>
        </w:rPr>
        <w:t>(4),</w:t>
      </w:r>
      <w:r>
        <w:rPr>
          <w:color w:val="231F20"/>
          <w:spacing w:val="-11"/>
          <w:vertAlign w:val="baseline"/>
        </w:rPr>
        <w:t> </w:t>
      </w:r>
      <w:r>
        <w:rPr>
          <w:color w:val="231F20"/>
          <w:spacing w:val="-1"/>
          <w:vertAlign w:val="baseline"/>
        </w:rPr>
        <w:t>757-782.</w:t>
      </w:r>
      <w:r>
        <w:rPr>
          <w:color w:val="231F20"/>
          <w:spacing w:val="-10"/>
          <w:vertAlign w:val="baseline"/>
        </w:rPr>
        <w:t> </w:t>
      </w:r>
      <w:hyperlink r:id="rId69">
        <w:r>
          <w:rPr>
            <w:color w:val="3953A4"/>
            <w:spacing w:val="-1"/>
            <w:u w:val="single" w:color="3953A4"/>
            <w:vertAlign w:val="baseline"/>
          </w:rPr>
          <w:t>https://doi.</w:t>
        </w:r>
      </w:hyperlink>
      <w:r>
        <w:rPr>
          <w:color w:val="3953A4"/>
          <w:vertAlign w:val="baseline"/>
        </w:rPr>
        <w:t> </w:t>
      </w:r>
      <w:hyperlink r:id="rId69">
        <w:r>
          <w:rPr>
            <w:color w:val="3953A4"/>
            <w:u w:val="single" w:color="3953A4"/>
            <w:vertAlign w:val="baseline"/>
          </w:rPr>
          <w:t>org/10.1007/s10461-007-9354-0</w:t>
        </w:r>
      </w:hyperlink>
    </w:p>
    <w:p>
      <w:pPr>
        <w:pStyle w:val="BodyText"/>
        <w:tabs>
          <w:tab w:pos="519" w:val="left" w:leader="none"/>
        </w:tabs>
        <w:spacing w:line="228" w:lineRule="auto" w:before="89"/>
        <w:ind w:left="520" w:right="1021" w:hanging="360"/>
      </w:pPr>
      <w:r>
        <w:rPr>
          <w:color w:val="231F20"/>
          <w:vertAlign w:val="superscript"/>
        </w:rPr>
        <w:t>32</w:t>
      </w:r>
      <w:r>
        <w:rPr>
          <w:color w:val="231F20"/>
          <w:vertAlign w:val="baseline"/>
        </w:rPr>
        <w:tab/>
        <w:t>Kerr, D. C., Washburn, I. J., Morris, M. K.,</w:t>
      </w:r>
      <w:r>
        <w:rPr>
          <w:color w:val="231F20"/>
          <w:spacing w:val="1"/>
          <w:vertAlign w:val="baseline"/>
        </w:rPr>
        <w:t> </w:t>
      </w:r>
      <w:r>
        <w:rPr>
          <w:color w:val="231F20"/>
          <w:spacing w:val="-1"/>
          <w:vertAlign w:val="baseline"/>
        </w:rPr>
        <w:t>Lewis, </w:t>
      </w:r>
      <w:r>
        <w:rPr>
          <w:color w:val="231F20"/>
          <w:vertAlign w:val="baseline"/>
        </w:rPr>
        <w:t>K.</w:t>
      </w:r>
      <w:r>
        <w:rPr>
          <w:color w:val="231F20"/>
          <w:spacing w:val="-14"/>
          <w:vertAlign w:val="baseline"/>
        </w:rPr>
        <w:t> </w:t>
      </w:r>
      <w:r>
        <w:rPr>
          <w:color w:val="231F20"/>
          <w:vertAlign w:val="baseline"/>
        </w:rPr>
        <w:t>A.,</w:t>
      </w:r>
      <w:r>
        <w:rPr>
          <w:color w:val="231F20"/>
          <w:spacing w:val="-2"/>
          <w:vertAlign w:val="baseline"/>
        </w:rPr>
        <w:t> </w:t>
      </w:r>
      <w:r>
        <w:rPr>
          <w:color w:val="231F20"/>
          <w:vertAlign w:val="baseline"/>
        </w:rPr>
        <w:t>&amp;</w:t>
      </w:r>
      <w:r>
        <w:rPr>
          <w:color w:val="231F20"/>
          <w:spacing w:val="-5"/>
          <w:vertAlign w:val="baseline"/>
        </w:rPr>
        <w:t> </w:t>
      </w:r>
      <w:r>
        <w:rPr>
          <w:color w:val="231F20"/>
          <w:vertAlign w:val="baseline"/>
        </w:rPr>
        <w:t>Tiberio,</w:t>
      </w:r>
      <w:r>
        <w:rPr>
          <w:color w:val="231F20"/>
          <w:spacing w:val="-1"/>
          <w:vertAlign w:val="baseline"/>
        </w:rPr>
        <w:t> </w:t>
      </w:r>
      <w:r>
        <w:rPr>
          <w:color w:val="231F20"/>
          <w:vertAlign w:val="baseline"/>
        </w:rPr>
        <w:t>S.</w:t>
      </w:r>
      <w:r>
        <w:rPr>
          <w:color w:val="231F20"/>
          <w:spacing w:val="-2"/>
          <w:vertAlign w:val="baseline"/>
        </w:rPr>
        <w:t> </w:t>
      </w:r>
      <w:r>
        <w:rPr>
          <w:color w:val="231F20"/>
          <w:vertAlign w:val="baseline"/>
        </w:rPr>
        <w:t>S.</w:t>
      </w:r>
      <w:r>
        <w:rPr>
          <w:color w:val="231F20"/>
          <w:spacing w:val="-1"/>
          <w:vertAlign w:val="baseline"/>
        </w:rPr>
        <w:t> </w:t>
      </w:r>
      <w:r>
        <w:rPr>
          <w:color w:val="231F20"/>
          <w:vertAlign w:val="baseline"/>
        </w:rPr>
        <w:t>(2015).</w:t>
      </w:r>
      <w:r>
        <w:rPr>
          <w:color w:val="231F20"/>
          <w:spacing w:val="-1"/>
          <w:vertAlign w:val="baseline"/>
        </w:rPr>
        <w:t> </w:t>
      </w:r>
      <w:r>
        <w:rPr>
          <w:color w:val="231F20"/>
          <w:vertAlign w:val="baseline"/>
        </w:rPr>
        <w:t>Event-level</w:t>
      </w:r>
      <w:r>
        <w:rPr>
          <w:color w:val="231F20"/>
          <w:spacing w:val="-52"/>
          <w:vertAlign w:val="baseline"/>
        </w:rPr>
        <w:t> </w:t>
      </w:r>
      <w:r>
        <w:rPr>
          <w:color w:val="231F20"/>
          <w:vertAlign w:val="baseline"/>
        </w:rPr>
        <w:t>associations of marijuana and heavy alcohol use</w:t>
      </w:r>
    </w:p>
    <w:p>
      <w:pPr>
        <w:spacing w:line="228" w:lineRule="auto" w:before="0"/>
        <w:ind w:left="520" w:right="760" w:firstLine="0"/>
        <w:jc w:val="left"/>
        <w:rPr>
          <w:sz w:val="22"/>
        </w:rPr>
      </w:pPr>
      <w:r>
        <w:rPr>
          <w:color w:val="231F20"/>
          <w:sz w:val="22"/>
        </w:rPr>
        <w:t>with intercourse and condom use. </w:t>
      </w:r>
      <w:r>
        <w:rPr>
          <w:i/>
          <w:color w:val="231F20"/>
          <w:sz w:val="22"/>
        </w:rPr>
        <w:t>Journal of Studies</w:t>
      </w:r>
      <w:r>
        <w:rPr>
          <w:i/>
          <w:color w:val="231F20"/>
          <w:spacing w:val="-53"/>
          <w:sz w:val="22"/>
        </w:rPr>
        <w:t> </w:t>
      </w:r>
      <w:r>
        <w:rPr>
          <w:i/>
          <w:color w:val="231F20"/>
          <w:sz w:val="22"/>
        </w:rPr>
        <w:t>on Alcohol and Drugs, 76</w:t>
      </w:r>
      <w:r>
        <w:rPr>
          <w:color w:val="231F20"/>
          <w:sz w:val="22"/>
        </w:rPr>
        <w:t>(5), 733-737. </w:t>
      </w:r>
      <w:hyperlink r:id="rId70">
        <w:r>
          <w:rPr>
            <w:color w:val="3953A4"/>
            <w:sz w:val="22"/>
            <w:u w:val="single" w:color="3953A4"/>
          </w:rPr>
          <w:t>https://doi.</w:t>
        </w:r>
      </w:hyperlink>
      <w:r>
        <w:rPr>
          <w:color w:val="3953A4"/>
          <w:spacing w:val="1"/>
          <w:sz w:val="22"/>
        </w:rPr>
        <w:t> </w:t>
      </w:r>
      <w:hyperlink r:id="rId70">
        <w:r>
          <w:rPr>
            <w:color w:val="3953A4"/>
            <w:sz w:val="22"/>
            <w:u w:val="single" w:color="3953A4"/>
          </w:rPr>
          <w:t>org/10.15288/jsad.2015.76.733</w:t>
        </w:r>
      </w:hyperlink>
    </w:p>
    <w:p>
      <w:pPr>
        <w:pStyle w:val="BodyText"/>
        <w:tabs>
          <w:tab w:pos="519" w:val="left" w:leader="none"/>
        </w:tabs>
        <w:spacing w:line="228" w:lineRule="auto" w:before="88"/>
        <w:ind w:left="520" w:right="800" w:hanging="360"/>
      </w:pPr>
      <w:r>
        <w:rPr>
          <w:color w:val="231F20"/>
          <w:vertAlign w:val="superscript"/>
        </w:rPr>
        <w:t>33</w:t>
      </w:r>
      <w:r>
        <w:rPr>
          <w:color w:val="231F20"/>
          <w:vertAlign w:val="baseline"/>
        </w:rPr>
        <w:tab/>
      </w:r>
      <w:r>
        <w:rPr>
          <w:color w:val="231F20"/>
          <w:spacing w:val="-1"/>
          <w:vertAlign w:val="baseline"/>
        </w:rPr>
        <w:t>Hoenigl, M., Chaillon, A., Moore, </w:t>
      </w:r>
      <w:r>
        <w:rPr>
          <w:color w:val="231F20"/>
          <w:vertAlign w:val="baseline"/>
        </w:rPr>
        <w:t>D. J., Morris, S.</w:t>
      </w:r>
      <w:r>
        <w:rPr>
          <w:color w:val="231F20"/>
          <w:spacing w:val="1"/>
          <w:vertAlign w:val="baseline"/>
        </w:rPr>
        <w:t> </w:t>
      </w:r>
      <w:r>
        <w:rPr>
          <w:color w:val="231F20"/>
          <w:vertAlign w:val="baseline"/>
        </w:rPr>
        <w:t>R., Smith, D. M., &amp; Little, S. J. (2016). Clear links</w:t>
      </w:r>
      <w:r>
        <w:rPr>
          <w:color w:val="231F20"/>
          <w:spacing w:val="1"/>
          <w:vertAlign w:val="baseline"/>
        </w:rPr>
        <w:t> </w:t>
      </w:r>
      <w:r>
        <w:rPr>
          <w:color w:val="231F20"/>
          <w:vertAlign w:val="baseline"/>
        </w:rPr>
        <w:t>between starting methamphetamine and increasing</w:t>
      </w:r>
      <w:r>
        <w:rPr>
          <w:color w:val="231F20"/>
          <w:spacing w:val="1"/>
          <w:vertAlign w:val="baseline"/>
        </w:rPr>
        <w:t> </w:t>
      </w:r>
      <w:r>
        <w:rPr>
          <w:color w:val="231F20"/>
          <w:vertAlign w:val="baseline"/>
        </w:rPr>
        <w:t>sexual risk behavior: A cohort study among men</w:t>
      </w:r>
      <w:r>
        <w:rPr>
          <w:color w:val="231F20"/>
          <w:spacing w:val="1"/>
          <w:vertAlign w:val="baseline"/>
        </w:rPr>
        <w:t> </w:t>
      </w:r>
      <w:r>
        <w:rPr>
          <w:color w:val="231F20"/>
          <w:vertAlign w:val="baseline"/>
        </w:rPr>
        <w:t>who have sex with men. </w:t>
      </w:r>
      <w:r>
        <w:rPr>
          <w:i/>
          <w:color w:val="231F20"/>
          <w:vertAlign w:val="baseline"/>
        </w:rPr>
        <w:t>Journal of Acquired</w:t>
      </w:r>
      <w:r>
        <w:rPr>
          <w:i/>
          <w:color w:val="231F20"/>
          <w:spacing w:val="1"/>
          <w:vertAlign w:val="baseline"/>
        </w:rPr>
        <w:t> </w:t>
      </w:r>
      <w:r>
        <w:rPr>
          <w:i/>
          <w:color w:val="231F20"/>
          <w:vertAlign w:val="baseline"/>
        </w:rPr>
        <w:t>Immune</w:t>
      </w:r>
      <w:r>
        <w:rPr>
          <w:i/>
          <w:color w:val="231F20"/>
          <w:spacing w:val="-6"/>
          <w:vertAlign w:val="baseline"/>
        </w:rPr>
        <w:t> </w:t>
      </w:r>
      <w:r>
        <w:rPr>
          <w:i/>
          <w:color w:val="231F20"/>
          <w:vertAlign w:val="baseline"/>
        </w:rPr>
        <w:t>Deficiency</w:t>
      </w:r>
      <w:r>
        <w:rPr>
          <w:i/>
          <w:color w:val="231F20"/>
          <w:spacing w:val="-6"/>
          <w:vertAlign w:val="baseline"/>
        </w:rPr>
        <w:t> </w:t>
      </w:r>
      <w:r>
        <w:rPr>
          <w:i/>
          <w:color w:val="231F20"/>
          <w:vertAlign w:val="baseline"/>
        </w:rPr>
        <w:t>Syndromes</w:t>
      </w:r>
      <w:r>
        <w:rPr>
          <w:i/>
          <w:color w:val="231F20"/>
          <w:spacing w:val="-6"/>
          <w:vertAlign w:val="baseline"/>
        </w:rPr>
        <w:t> </w:t>
      </w:r>
      <w:r>
        <w:rPr>
          <w:i/>
          <w:color w:val="231F20"/>
          <w:vertAlign w:val="baseline"/>
        </w:rPr>
        <w:t>(JAIDS),</w:t>
      </w:r>
      <w:r>
        <w:rPr>
          <w:i/>
          <w:color w:val="231F20"/>
          <w:spacing w:val="-5"/>
          <w:vertAlign w:val="baseline"/>
        </w:rPr>
        <w:t> </w:t>
      </w:r>
      <w:r>
        <w:rPr>
          <w:i/>
          <w:color w:val="231F20"/>
          <w:vertAlign w:val="baseline"/>
        </w:rPr>
        <w:t>71</w:t>
      </w:r>
      <w:r>
        <w:rPr>
          <w:color w:val="231F20"/>
          <w:vertAlign w:val="baseline"/>
        </w:rPr>
        <w:t>(5),</w:t>
      </w:r>
      <w:r>
        <w:rPr>
          <w:color w:val="231F20"/>
          <w:spacing w:val="-6"/>
          <w:vertAlign w:val="baseline"/>
        </w:rPr>
        <w:t> </w:t>
      </w:r>
      <w:r>
        <w:rPr>
          <w:color w:val="231F20"/>
          <w:vertAlign w:val="baseline"/>
        </w:rPr>
        <w:t>551-</w:t>
      </w:r>
      <w:r>
        <w:rPr>
          <w:color w:val="231F20"/>
          <w:spacing w:val="-52"/>
          <w:vertAlign w:val="baseline"/>
        </w:rPr>
        <w:t> </w:t>
      </w:r>
      <w:r>
        <w:rPr>
          <w:color w:val="231F20"/>
          <w:spacing w:val="-1"/>
          <w:vertAlign w:val="baseline"/>
        </w:rPr>
        <w:t>557.</w:t>
      </w:r>
      <w:r>
        <w:rPr>
          <w:color w:val="231F20"/>
          <w:spacing w:val="19"/>
          <w:vertAlign w:val="baseline"/>
        </w:rPr>
        <w:t> </w:t>
      </w:r>
      <w:hyperlink r:id="rId71">
        <w:r>
          <w:rPr>
            <w:color w:val="3953A4"/>
            <w:spacing w:val="-1"/>
            <w:u w:val="single" w:color="3953A4"/>
            <w:vertAlign w:val="baseline"/>
          </w:rPr>
          <w:t>https://doi.org/10.1097/qai.0000000000000888</w:t>
        </w:r>
      </w:hyperlink>
    </w:p>
    <w:p>
      <w:pPr>
        <w:pStyle w:val="BodyText"/>
        <w:tabs>
          <w:tab w:pos="519" w:val="left" w:leader="none"/>
        </w:tabs>
        <w:spacing w:line="228" w:lineRule="auto" w:before="87"/>
        <w:ind w:left="520" w:right="884" w:hanging="360"/>
      </w:pPr>
      <w:r>
        <w:rPr>
          <w:color w:val="231F20"/>
          <w:vertAlign w:val="superscript"/>
        </w:rPr>
        <w:t>34</w:t>
      </w:r>
      <w:r>
        <w:rPr>
          <w:color w:val="231F20"/>
          <w:vertAlign w:val="baseline"/>
        </w:rPr>
        <w:tab/>
        <w:t>Freeman,</w:t>
      </w:r>
      <w:r>
        <w:rPr>
          <w:color w:val="231F20"/>
          <w:spacing w:val="-10"/>
          <w:vertAlign w:val="baseline"/>
        </w:rPr>
        <w:t> </w:t>
      </w:r>
      <w:r>
        <w:rPr>
          <w:color w:val="231F20"/>
          <w:vertAlign w:val="baseline"/>
        </w:rPr>
        <w:t>P.,</w:t>
      </w:r>
      <w:r>
        <w:rPr>
          <w:color w:val="231F20"/>
          <w:spacing w:val="-13"/>
          <w:vertAlign w:val="baseline"/>
        </w:rPr>
        <w:t> </w:t>
      </w:r>
      <w:r>
        <w:rPr>
          <w:color w:val="231F20"/>
          <w:vertAlign w:val="baseline"/>
        </w:rPr>
        <w:t>Walker,</w:t>
      </w:r>
      <w:r>
        <w:rPr>
          <w:color w:val="231F20"/>
          <w:spacing w:val="-8"/>
          <w:vertAlign w:val="baseline"/>
        </w:rPr>
        <w:t> </w:t>
      </w:r>
      <w:r>
        <w:rPr>
          <w:color w:val="231F20"/>
          <w:vertAlign w:val="baseline"/>
        </w:rPr>
        <w:t>B.</w:t>
      </w:r>
      <w:r>
        <w:rPr>
          <w:color w:val="231F20"/>
          <w:spacing w:val="-9"/>
          <w:vertAlign w:val="baseline"/>
        </w:rPr>
        <w:t> </w:t>
      </w:r>
      <w:r>
        <w:rPr>
          <w:color w:val="231F20"/>
          <w:vertAlign w:val="baseline"/>
        </w:rPr>
        <w:t>C.,</w:t>
      </w:r>
      <w:r>
        <w:rPr>
          <w:color w:val="231F20"/>
          <w:spacing w:val="-9"/>
          <w:vertAlign w:val="baseline"/>
        </w:rPr>
        <w:t> </w:t>
      </w:r>
      <w:r>
        <w:rPr>
          <w:color w:val="231F20"/>
          <w:vertAlign w:val="baseline"/>
        </w:rPr>
        <w:t>Harris,</w:t>
      </w:r>
      <w:r>
        <w:rPr>
          <w:color w:val="231F20"/>
          <w:spacing w:val="-10"/>
          <w:vertAlign w:val="baseline"/>
        </w:rPr>
        <w:t> </w:t>
      </w:r>
      <w:r>
        <w:rPr>
          <w:color w:val="231F20"/>
          <w:vertAlign w:val="baseline"/>
        </w:rPr>
        <w:t>D.</w:t>
      </w:r>
      <w:r>
        <w:rPr>
          <w:color w:val="231F20"/>
          <w:spacing w:val="-10"/>
          <w:vertAlign w:val="baseline"/>
        </w:rPr>
        <w:t> </w:t>
      </w:r>
      <w:r>
        <w:rPr>
          <w:color w:val="231F20"/>
          <w:vertAlign w:val="baseline"/>
        </w:rPr>
        <w:t>R.,</w:t>
      </w:r>
      <w:r>
        <w:rPr>
          <w:color w:val="231F20"/>
          <w:spacing w:val="-9"/>
          <w:vertAlign w:val="baseline"/>
        </w:rPr>
        <w:t> </w:t>
      </w:r>
      <w:r>
        <w:rPr>
          <w:color w:val="231F20"/>
          <w:vertAlign w:val="baseline"/>
        </w:rPr>
        <w:t>Garofalo,</w:t>
      </w:r>
      <w:r>
        <w:rPr>
          <w:color w:val="231F20"/>
          <w:spacing w:val="-52"/>
          <w:vertAlign w:val="baseline"/>
        </w:rPr>
        <w:t> </w:t>
      </w:r>
      <w:r>
        <w:rPr>
          <w:color w:val="231F20"/>
          <w:spacing w:val="-1"/>
          <w:vertAlign w:val="baseline"/>
        </w:rPr>
        <w:t>R., Willard, N., Ellen, </w:t>
      </w:r>
      <w:r>
        <w:rPr>
          <w:color w:val="231F20"/>
          <w:vertAlign w:val="baseline"/>
        </w:rPr>
        <w:t>J. M., &amp; Adolescent Trials</w:t>
      </w:r>
      <w:r>
        <w:rPr>
          <w:color w:val="231F20"/>
          <w:spacing w:val="1"/>
          <w:vertAlign w:val="baseline"/>
        </w:rPr>
        <w:t> </w:t>
      </w:r>
      <w:r>
        <w:rPr>
          <w:color w:val="231F20"/>
          <w:vertAlign w:val="baseline"/>
        </w:rPr>
        <w:t>Network for HIV/AIDS Interventions 016b Team.</w:t>
      </w:r>
      <w:r>
        <w:rPr>
          <w:color w:val="231F20"/>
          <w:spacing w:val="1"/>
          <w:vertAlign w:val="baseline"/>
        </w:rPr>
        <w:t> </w:t>
      </w:r>
      <w:r>
        <w:rPr>
          <w:color w:val="231F20"/>
          <w:vertAlign w:val="baseline"/>
        </w:rPr>
        <w:t>(2011). Methamphetamine use and risk for HIV</w:t>
      </w:r>
      <w:r>
        <w:rPr>
          <w:color w:val="231F20"/>
          <w:spacing w:val="1"/>
          <w:vertAlign w:val="baseline"/>
        </w:rPr>
        <w:t> </w:t>
      </w:r>
      <w:r>
        <w:rPr>
          <w:color w:val="231F20"/>
          <w:vertAlign w:val="baseline"/>
        </w:rPr>
        <w:t>among</w:t>
      </w:r>
      <w:r>
        <w:rPr>
          <w:color w:val="231F20"/>
          <w:spacing w:val="-1"/>
          <w:vertAlign w:val="baseline"/>
        </w:rPr>
        <w:t> </w:t>
      </w:r>
      <w:r>
        <w:rPr>
          <w:color w:val="231F20"/>
          <w:vertAlign w:val="baseline"/>
        </w:rPr>
        <w:t>young men</w:t>
      </w:r>
      <w:r>
        <w:rPr>
          <w:color w:val="231F20"/>
          <w:spacing w:val="-1"/>
          <w:vertAlign w:val="baseline"/>
        </w:rPr>
        <w:t> </w:t>
      </w:r>
      <w:r>
        <w:rPr>
          <w:color w:val="231F20"/>
          <w:vertAlign w:val="baseline"/>
        </w:rPr>
        <w:t>who</w:t>
      </w:r>
      <w:r>
        <w:rPr>
          <w:color w:val="231F20"/>
          <w:spacing w:val="-1"/>
          <w:vertAlign w:val="baseline"/>
        </w:rPr>
        <w:t> </w:t>
      </w:r>
      <w:r>
        <w:rPr>
          <w:color w:val="231F20"/>
          <w:vertAlign w:val="baseline"/>
        </w:rPr>
        <w:t>have</w:t>
      </w:r>
      <w:r>
        <w:rPr>
          <w:color w:val="231F20"/>
          <w:spacing w:val="-1"/>
          <w:vertAlign w:val="baseline"/>
        </w:rPr>
        <w:t> </w:t>
      </w:r>
      <w:r>
        <w:rPr>
          <w:color w:val="231F20"/>
          <w:vertAlign w:val="baseline"/>
        </w:rPr>
        <w:t>sex</w:t>
      </w:r>
      <w:r>
        <w:rPr>
          <w:color w:val="231F20"/>
          <w:spacing w:val="-1"/>
          <w:vertAlign w:val="baseline"/>
        </w:rPr>
        <w:t> </w:t>
      </w:r>
      <w:r>
        <w:rPr>
          <w:color w:val="231F20"/>
          <w:vertAlign w:val="baseline"/>
        </w:rPr>
        <w:t>with</w:t>
      </w:r>
      <w:r>
        <w:rPr>
          <w:color w:val="231F20"/>
          <w:spacing w:val="-2"/>
          <w:vertAlign w:val="baseline"/>
        </w:rPr>
        <w:t> </w:t>
      </w:r>
      <w:r>
        <w:rPr>
          <w:color w:val="231F20"/>
          <w:vertAlign w:val="baseline"/>
        </w:rPr>
        <w:t>men in</w:t>
      </w:r>
      <w:r>
        <w:rPr>
          <w:color w:val="231F20"/>
          <w:spacing w:val="-1"/>
          <w:vertAlign w:val="baseline"/>
        </w:rPr>
        <w:t> </w:t>
      </w:r>
      <w:r>
        <w:rPr>
          <w:color w:val="231F20"/>
          <w:vertAlign w:val="baseline"/>
        </w:rPr>
        <w:t>8</w:t>
      </w:r>
    </w:p>
    <w:p>
      <w:pPr>
        <w:pStyle w:val="BodyText"/>
        <w:spacing w:line="228" w:lineRule="auto"/>
        <w:ind w:left="520" w:right="835"/>
      </w:pPr>
      <w:r>
        <w:rPr>
          <w:color w:val="231F20"/>
          <w:spacing w:val="-1"/>
        </w:rPr>
        <w:t>US cities. Archives of Pediatrics </w:t>
      </w:r>
      <w:r>
        <w:rPr>
          <w:color w:val="231F20"/>
        </w:rPr>
        <w:t>&amp; Adolescent</w:t>
      </w:r>
      <w:r>
        <w:rPr>
          <w:color w:val="231F20"/>
          <w:spacing w:val="1"/>
        </w:rPr>
        <w:t> </w:t>
      </w:r>
      <w:r>
        <w:rPr>
          <w:color w:val="231F20"/>
        </w:rPr>
        <w:t>Medicine,</w:t>
      </w:r>
      <w:r>
        <w:rPr>
          <w:color w:val="231F20"/>
          <w:spacing w:val="-5"/>
        </w:rPr>
        <w:t> </w:t>
      </w:r>
      <w:r>
        <w:rPr>
          <w:color w:val="231F20"/>
        </w:rPr>
        <w:t>165(8),</w:t>
      </w:r>
      <w:r>
        <w:rPr>
          <w:color w:val="231F20"/>
          <w:spacing w:val="-5"/>
        </w:rPr>
        <w:t> </w:t>
      </w:r>
      <w:r>
        <w:rPr>
          <w:color w:val="231F20"/>
        </w:rPr>
        <w:t>736-740.</w:t>
      </w:r>
      <w:r>
        <w:rPr>
          <w:color w:val="231F20"/>
          <w:spacing w:val="-4"/>
        </w:rPr>
        <w:t> </w:t>
      </w:r>
      <w:hyperlink r:id="rId72">
        <w:r>
          <w:rPr>
            <w:color w:val="3953A4"/>
            <w:u w:val="single" w:color="3953A4"/>
          </w:rPr>
          <w:t>https://doi.org/10.1001/</w:t>
        </w:r>
      </w:hyperlink>
      <w:r>
        <w:rPr>
          <w:color w:val="3953A4"/>
          <w:spacing w:val="-52"/>
        </w:rPr>
        <w:t> </w:t>
      </w:r>
      <w:hyperlink r:id="rId72">
        <w:r>
          <w:rPr>
            <w:color w:val="3953A4"/>
            <w:u w:val="single" w:color="3953A4"/>
          </w:rPr>
          <w:t>archpediatrics.2011.118</w:t>
        </w:r>
      </w:hyperlink>
    </w:p>
    <w:p>
      <w:pPr>
        <w:pStyle w:val="BodyText"/>
        <w:tabs>
          <w:tab w:pos="519" w:val="left" w:leader="none"/>
        </w:tabs>
        <w:spacing w:line="228" w:lineRule="auto" w:before="88"/>
        <w:ind w:left="520" w:right="901" w:hanging="360"/>
      </w:pPr>
      <w:r>
        <w:rPr>
          <w:color w:val="231F20"/>
          <w:vertAlign w:val="superscript"/>
        </w:rPr>
        <w:t>35</w:t>
      </w:r>
      <w:r>
        <w:rPr>
          <w:color w:val="231F20"/>
          <w:vertAlign w:val="baseline"/>
        </w:rPr>
        <w:tab/>
      </w:r>
      <w:r>
        <w:rPr>
          <w:color w:val="231F20"/>
          <w:spacing w:val="-3"/>
          <w:vertAlign w:val="baseline"/>
        </w:rPr>
        <w:t>Khan, M. R., Berger, A., Hemberg, </w:t>
      </w:r>
      <w:r>
        <w:rPr>
          <w:color w:val="231F20"/>
          <w:spacing w:val="-2"/>
          <w:vertAlign w:val="baseline"/>
        </w:rPr>
        <w:t>J., O’Neill, A.,</w:t>
      </w:r>
      <w:r>
        <w:rPr>
          <w:color w:val="231F20"/>
          <w:spacing w:val="-1"/>
          <w:vertAlign w:val="baseline"/>
        </w:rPr>
        <w:t> </w:t>
      </w:r>
      <w:r>
        <w:rPr>
          <w:color w:val="231F20"/>
          <w:spacing w:val="-3"/>
          <w:vertAlign w:val="baseline"/>
        </w:rPr>
        <w:t>Dyer, T. P., &amp; Smyrk, K. (2013). </w:t>
      </w:r>
      <w:r>
        <w:rPr>
          <w:color w:val="231F20"/>
          <w:spacing w:val="-2"/>
          <w:vertAlign w:val="baseline"/>
        </w:rPr>
        <w:t>Non-injection and</w:t>
      </w:r>
      <w:r>
        <w:rPr>
          <w:color w:val="231F20"/>
          <w:spacing w:val="-1"/>
          <w:vertAlign w:val="baseline"/>
        </w:rPr>
        <w:t> </w:t>
      </w:r>
      <w:r>
        <w:rPr>
          <w:color w:val="231F20"/>
          <w:vertAlign w:val="baseline"/>
        </w:rPr>
        <w:t>injection drug use and STI/HIV risk in the United</w:t>
      </w:r>
      <w:r>
        <w:rPr>
          <w:color w:val="231F20"/>
          <w:spacing w:val="1"/>
          <w:vertAlign w:val="baseline"/>
        </w:rPr>
        <w:t> </w:t>
      </w:r>
      <w:r>
        <w:rPr>
          <w:color w:val="231F20"/>
          <w:spacing w:val="-1"/>
          <w:vertAlign w:val="baseline"/>
        </w:rPr>
        <w:t>States: The degree to which sexual </w:t>
      </w:r>
      <w:r>
        <w:rPr>
          <w:color w:val="231F20"/>
          <w:vertAlign w:val="baseline"/>
        </w:rPr>
        <w:t>risk behaviors</w:t>
      </w:r>
      <w:r>
        <w:rPr>
          <w:color w:val="231F20"/>
          <w:spacing w:val="1"/>
          <w:vertAlign w:val="baseline"/>
        </w:rPr>
        <w:t> </w:t>
      </w:r>
      <w:r>
        <w:rPr>
          <w:color w:val="231F20"/>
          <w:spacing w:val="-1"/>
          <w:vertAlign w:val="baseline"/>
        </w:rPr>
        <w:t>versus sex with an STI-infected </w:t>
      </w:r>
      <w:r>
        <w:rPr>
          <w:color w:val="231F20"/>
          <w:vertAlign w:val="baseline"/>
        </w:rPr>
        <w:t>partner account for</w:t>
      </w:r>
      <w:r>
        <w:rPr>
          <w:color w:val="231F20"/>
          <w:spacing w:val="-52"/>
          <w:vertAlign w:val="baseline"/>
        </w:rPr>
        <w:t> </w:t>
      </w:r>
      <w:r>
        <w:rPr>
          <w:color w:val="231F20"/>
          <w:spacing w:val="-1"/>
          <w:vertAlign w:val="baseline"/>
        </w:rPr>
        <w:t>infection</w:t>
      </w:r>
      <w:r>
        <w:rPr>
          <w:color w:val="231F20"/>
          <w:spacing w:val="-12"/>
          <w:vertAlign w:val="baseline"/>
        </w:rPr>
        <w:t> </w:t>
      </w:r>
      <w:r>
        <w:rPr>
          <w:color w:val="231F20"/>
          <w:spacing w:val="-1"/>
          <w:vertAlign w:val="baseline"/>
        </w:rPr>
        <w:t>transmission</w:t>
      </w:r>
      <w:r>
        <w:rPr>
          <w:color w:val="231F20"/>
          <w:spacing w:val="-11"/>
          <w:vertAlign w:val="baseline"/>
        </w:rPr>
        <w:t> </w:t>
      </w:r>
      <w:r>
        <w:rPr>
          <w:color w:val="231F20"/>
          <w:vertAlign w:val="baseline"/>
        </w:rPr>
        <w:t>among</w:t>
      </w:r>
      <w:r>
        <w:rPr>
          <w:color w:val="231F20"/>
          <w:spacing w:val="-12"/>
          <w:vertAlign w:val="baseline"/>
        </w:rPr>
        <w:t> </w:t>
      </w:r>
      <w:r>
        <w:rPr>
          <w:color w:val="231F20"/>
          <w:vertAlign w:val="baseline"/>
        </w:rPr>
        <w:t>drug</w:t>
      </w:r>
      <w:r>
        <w:rPr>
          <w:color w:val="231F20"/>
          <w:spacing w:val="-11"/>
          <w:vertAlign w:val="baseline"/>
        </w:rPr>
        <w:t> </w:t>
      </w:r>
      <w:r>
        <w:rPr>
          <w:color w:val="231F20"/>
          <w:vertAlign w:val="baseline"/>
        </w:rPr>
        <w:t>users.</w:t>
      </w:r>
      <w:r>
        <w:rPr>
          <w:color w:val="231F20"/>
          <w:spacing w:val="-13"/>
          <w:vertAlign w:val="baseline"/>
        </w:rPr>
        <w:t> </w:t>
      </w:r>
      <w:r>
        <w:rPr>
          <w:i/>
          <w:color w:val="231F20"/>
          <w:vertAlign w:val="baseline"/>
        </w:rPr>
        <w:t>AIDS</w:t>
      </w:r>
      <w:r>
        <w:rPr>
          <w:i/>
          <w:color w:val="231F20"/>
          <w:spacing w:val="-12"/>
          <w:vertAlign w:val="baseline"/>
        </w:rPr>
        <w:t> </w:t>
      </w:r>
      <w:r>
        <w:rPr>
          <w:i/>
          <w:color w:val="231F20"/>
          <w:vertAlign w:val="baseline"/>
        </w:rPr>
        <w:t>and</w:t>
      </w:r>
      <w:r>
        <w:rPr>
          <w:i/>
          <w:color w:val="231F20"/>
          <w:spacing w:val="-52"/>
          <w:vertAlign w:val="baseline"/>
        </w:rPr>
        <w:t> </w:t>
      </w:r>
      <w:r>
        <w:rPr>
          <w:i/>
          <w:color w:val="231F20"/>
          <w:spacing w:val="-3"/>
          <w:vertAlign w:val="baseline"/>
        </w:rPr>
        <w:t>Behavior, 17</w:t>
      </w:r>
      <w:r>
        <w:rPr>
          <w:color w:val="231F20"/>
          <w:spacing w:val="-3"/>
          <w:vertAlign w:val="baseline"/>
        </w:rPr>
        <w:t>(3), 1185-1194. </w:t>
      </w:r>
      <w:hyperlink r:id="rId73">
        <w:r>
          <w:rPr>
            <w:color w:val="3953A4"/>
            <w:spacing w:val="-3"/>
            <w:u w:val="single" w:color="3953A4"/>
            <w:vertAlign w:val="baseline"/>
          </w:rPr>
          <w:t>https://doi.org/10.1007/</w:t>
        </w:r>
      </w:hyperlink>
      <w:r>
        <w:rPr>
          <w:color w:val="3953A4"/>
          <w:spacing w:val="-52"/>
          <w:vertAlign w:val="baseline"/>
        </w:rPr>
        <w:t> </w:t>
      </w:r>
      <w:hyperlink r:id="rId73">
        <w:r>
          <w:rPr>
            <w:color w:val="3953A4"/>
            <w:u w:val="single" w:color="3953A4"/>
            <w:vertAlign w:val="baseline"/>
          </w:rPr>
          <w:t>s10461-012-0276-0</w:t>
        </w:r>
      </w:hyperlink>
    </w:p>
    <w:p>
      <w:pPr>
        <w:tabs>
          <w:tab w:pos="519" w:val="left" w:leader="none"/>
        </w:tabs>
        <w:spacing w:line="228" w:lineRule="auto" w:before="87"/>
        <w:ind w:left="519" w:right="783" w:hanging="360"/>
        <w:jc w:val="left"/>
        <w:rPr>
          <w:sz w:val="22"/>
        </w:rPr>
      </w:pPr>
      <w:r>
        <w:rPr>
          <w:color w:val="231F20"/>
          <w:sz w:val="22"/>
          <w:vertAlign w:val="superscript"/>
        </w:rPr>
        <w:t>36</w:t>
      </w:r>
      <w:r>
        <w:rPr>
          <w:color w:val="231F20"/>
          <w:sz w:val="22"/>
          <w:vertAlign w:val="baseline"/>
        </w:rPr>
        <w:tab/>
        <w:t>Woolf-King, S. E., Rice, T. M., Truong, H. M.,</w:t>
      </w:r>
      <w:r>
        <w:rPr>
          <w:color w:val="231F20"/>
          <w:spacing w:val="1"/>
          <w:sz w:val="22"/>
          <w:vertAlign w:val="baseline"/>
        </w:rPr>
        <w:t> </w:t>
      </w:r>
      <w:r>
        <w:rPr>
          <w:color w:val="231F20"/>
          <w:spacing w:val="-2"/>
          <w:sz w:val="22"/>
          <w:vertAlign w:val="baseline"/>
        </w:rPr>
        <w:t>Woods, W. J., Jerome, R. C., &amp; Carrico, A. </w:t>
      </w:r>
      <w:r>
        <w:rPr>
          <w:color w:val="231F20"/>
          <w:spacing w:val="-1"/>
          <w:sz w:val="22"/>
          <w:vertAlign w:val="baseline"/>
        </w:rPr>
        <w:t>W.</w:t>
      </w:r>
      <w:r>
        <w:rPr>
          <w:color w:val="231F20"/>
          <w:sz w:val="22"/>
          <w:vertAlign w:val="baseline"/>
        </w:rPr>
        <w:t> (2013).</w:t>
      </w:r>
      <w:r>
        <w:rPr>
          <w:color w:val="231F20"/>
          <w:spacing w:val="-2"/>
          <w:sz w:val="22"/>
          <w:vertAlign w:val="baseline"/>
        </w:rPr>
        <w:t> </w:t>
      </w:r>
      <w:r>
        <w:rPr>
          <w:color w:val="231F20"/>
          <w:sz w:val="22"/>
          <w:vertAlign w:val="baseline"/>
        </w:rPr>
        <w:t>Substance</w:t>
      </w:r>
      <w:r>
        <w:rPr>
          <w:color w:val="231F20"/>
          <w:spacing w:val="-2"/>
          <w:sz w:val="22"/>
          <w:vertAlign w:val="baseline"/>
        </w:rPr>
        <w:t> </w:t>
      </w:r>
      <w:r>
        <w:rPr>
          <w:color w:val="231F20"/>
          <w:sz w:val="22"/>
          <w:vertAlign w:val="baseline"/>
        </w:rPr>
        <w:t>use</w:t>
      </w:r>
      <w:r>
        <w:rPr>
          <w:color w:val="231F20"/>
          <w:spacing w:val="-2"/>
          <w:sz w:val="22"/>
          <w:vertAlign w:val="baseline"/>
        </w:rPr>
        <w:t> </w:t>
      </w:r>
      <w:r>
        <w:rPr>
          <w:color w:val="231F20"/>
          <w:sz w:val="22"/>
          <w:vertAlign w:val="baseline"/>
        </w:rPr>
        <w:t>and</w:t>
      </w:r>
      <w:r>
        <w:rPr>
          <w:color w:val="231F20"/>
          <w:spacing w:val="-1"/>
          <w:sz w:val="22"/>
          <w:vertAlign w:val="baseline"/>
        </w:rPr>
        <w:t> </w:t>
      </w:r>
      <w:r>
        <w:rPr>
          <w:color w:val="231F20"/>
          <w:sz w:val="22"/>
          <w:vertAlign w:val="baseline"/>
        </w:rPr>
        <w:t>HIV</w:t>
      </w:r>
      <w:r>
        <w:rPr>
          <w:color w:val="231F20"/>
          <w:spacing w:val="-6"/>
          <w:sz w:val="22"/>
          <w:vertAlign w:val="baseline"/>
        </w:rPr>
        <w:t> </w:t>
      </w:r>
      <w:r>
        <w:rPr>
          <w:color w:val="231F20"/>
          <w:sz w:val="22"/>
          <w:vertAlign w:val="baseline"/>
        </w:rPr>
        <w:t>risk</w:t>
      </w:r>
      <w:r>
        <w:rPr>
          <w:color w:val="231F20"/>
          <w:spacing w:val="-2"/>
          <w:sz w:val="22"/>
          <w:vertAlign w:val="baseline"/>
        </w:rPr>
        <w:t> </w:t>
      </w:r>
      <w:r>
        <w:rPr>
          <w:color w:val="231F20"/>
          <w:sz w:val="22"/>
          <w:vertAlign w:val="baseline"/>
        </w:rPr>
        <w:t>behavior</w:t>
      </w:r>
      <w:r>
        <w:rPr>
          <w:color w:val="231F20"/>
          <w:spacing w:val="-1"/>
          <w:sz w:val="22"/>
          <w:vertAlign w:val="baseline"/>
        </w:rPr>
        <w:t> </w:t>
      </w:r>
      <w:r>
        <w:rPr>
          <w:color w:val="231F20"/>
          <w:sz w:val="22"/>
          <w:vertAlign w:val="baseline"/>
        </w:rPr>
        <w:t>among</w:t>
      </w:r>
      <w:r>
        <w:rPr>
          <w:color w:val="231F20"/>
          <w:spacing w:val="-52"/>
          <w:sz w:val="22"/>
          <w:vertAlign w:val="baseline"/>
        </w:rPr>
        <w:t> </w:t>
      </w:r>
      <w:r>
        <w:rPr>
          <w:color w:val="231F20"/>
          <w:sz w:val="22"/>
          <w:vertAlign w:val="baseline"/>
        </w:rPr>
        <w:t>men who have sex with men: The role of sexual</w:t>
      </w:r>
      <w:r>
        <w:rPr>
          <w:color w:val="231F20"/>
          <w:spacing w:val="1"/>
          <w:sz w:val="22"/>
          <w:vertAlign w:val="baseline"/>
        </w:rPr>
        <w:t> </w:t>
      </w:r>
      <w:r>
        <w:rPr>
          <w:color w:val="231F20"/>
          <w:sz w:val="22"/>
          <w:vertAlign w:val="baseline"/>
        </w:rPr>
        <w:t>compulsivity. </w:t>
      </w:r>
      <w:r>
        <w:rPr>
          <w:i/>
          <w:color w:val="231F20"/>
          <w:sz w:val="22"/>
          <w:vertAlign w:val="baseline"/>
        </w:rPr>
        <w:t>Journal of Urban Health: Bulletin of</w:t>
      </w:r>
      <w:r>
        <w:rPr>
          <w:i/>
          <w:color w:val="231F20"/>
          <w:spacing w:val="1"/>
          <w:sz w:val="22"/>
          <w:vertAlign w:val="baseline"/>
        </w:rPr>
        <w:t> </w:t>
      </w:r>
      <w:r>
        <w:rPr>
          <w:i/>
          <w:color w:val="231F20"/>
          <w:sz w:val="22"/>
          <w:vertAlign w:val="baseline"/>
        </w:rPr>
        <w:t>the</w:t>
      </w:r>
      <w:r>
        <w:rPr>
          <w:i/>
          <w:color w:val="231F20"/>
          <w:spacing w:val="-4"/>
          <w:sz w:val="22"/>
          <w:vertAlign w:val="baseline"/>
        </w:rPr>
        <w:t> </w:t>
      </w:r>
      <w:r>
        <w:rPr>
          <w:i/>
          <w:color w:val="231F20"/>
          <w:sz w:val="22"/>
          <w:vertAlign w:val="baseline"/>
        </w:rPr>
        <w:t>New</w:t>
      </w:r>
      <w:r>
        <w:rPr>
          <w:i/>
          <w:color w:val="231F20"/>
          <w:spacing w:val="-3"/>
          <w:sz w:val="22"/>
          <w:vertAlign w:val="baseline"/>
        </w:rPr>
        <w:t> </w:t>
      </w:r>
      <w:r>
        <w:rPr>
          <w:i/>
          <w:color w:val="231F20"/>
          <w:sz w:val="22"/>
          <w:vertAlign w:val="baseline"/>
        </w:rPr>
        <w:t>York</w:t>
      </w:r>
      <w:r>
        <w:rPr>
          <w:i/>
          <w:color w:val="231F20"/>
          <w:spacing w:val="-6"/>
          <w:sz w:val="22"/>
          <w:vertAlign w:val="baseline"/>
        </w:rPr>
        <w:t> </w:t>
      </w:r>
      <w:r>
        <w:rPr>
          <w:i/>
          <w:color w:val="231F20"/>
          <w:sz w:val="22"/>
          <w:vertAlign w:val="baseline"/>
        </w:rPr>
        <w:t>Academy</w:t>
      </w:r>
      <w:r>
        <w:rPr>
          <w:i/>
          <w:color w:val="231F20"/>
          <w:spacing w:val="-4"/>
          <w:sz w:val="22"/>
          <w:vertAlign w:val="baseline"/>
        </w:rPr>
        <w:t> </w:t>
      </w:r>
      <w:r>
        <w:rPr>
          <w:i/>
          <w:color w:val="231F20"/>
          <w:sz w:val="22"/>
          <w:vertAlign w:val="baseline"/>
        </w:rPr>
        <w:t>of</w:t>
      </w:r>
      <w:r>
        <w:rPr>
          <w:i/>
          <w:color w:val="231F20"/>
          <w:spacing w:val="-3"/>
          <w:sz w:val="22"/>
          <w:vertAlign w:val="baseline"/>
        </w:rPr>
        <w:t> </w:t>
      </w:r>
      <w:r>
        <w:rPr>
          <w:i/>
          <w:color w:val="231F20"/>
          <w:sz w:val="22"/>
          <w:vertAlign w:val="baseline"/>
        </w:rPr>
        <w:t>Medicine,</w:t>
      </w:r>
      <w:r>
        <w:rPr>
          <w:i/>
          <w:color w:val="231F20"/>
          <w:spacing w:val="-3"/>
          <w:sz w:val="22"/>
          <w:vertAlign w:val="baseline"/>
        </w:rPr>
        <w:t> </w:t>
      </w:r>
      <w:r>
        <w:rPr>
          <w:i/>
          <w:color w:val="231F20"/>
          <w:sz w:val="22"/>
          <w:vertAlign w:val="baseline"/>
        </w:rPr>
        <w:t>90</w:t>
      </w:r>
      <w:r>
        <w:rPr>
          <w:color w:val="231F20"/>
          <w:sz w:val="22"/>
          <w:vertAlign w:val="baseline"/>
        </w:rPr>
        <w:t>(5),</w:t>
      </w:r>
      <w:r>
        <w:rPr>
          <w:color w:val="231F20"/>
          <w:spacing w:val="-3"/>
          <w:sz w:val="22"/>
          <w:vertAlign w:val="baseline"/>
        </w:rPr>
        <w:t> </w:t>
      </w:r>
      <w:r>
        <w:rPr>
          <w:color w:val="231F20"/>
          <w:sz w:val="22"/>
          <w:vertAlign w:val="baseline"/>
        </w:rPr>
        <w:t>948-952.</w:t>
      </w:r>
      <w:r>
        <w:rPr>
          <w:color w:val="231F20"/>
          <w:spacing w:val="-52"/>
          <w:sz w:val="22"/>
          <w:vertAlign w:val="baseline"/>
        </w:rPr>
        <w:t> </w:t>
      </w:r>
      <w:hyperlink r:id="rId74">
        <w:r>
          <w:rPr>
            <w:color w:val="3953A4"/>
            <w:sz w:val="22"/>
            <w:u w:val="single" w:color="3953A4"/>
            <w:vertAlign w:val="baseline"/>
          </w:rPr>
          <w:t>https://doi.org/10.1007/s11524-013-9820-0</w:t>
        </w:r>
      </w:hyperlink>
    </w:p>
    <w:p>
      <w:pPr>
        <w:pStyle w:val="BodyText"/>
        <w:tabs>
          <w:tab w:pos="519" w:val="left" w:leader="none"/>
        </w:tabs>
        <w:spacing w:line="228" w:lineRule="auto" w:before="88"/>
        <w:ind w:left="520" w:right="749" w:hanging="360"/>
      </w:pPr>
      <w:r>
        <w:rPr>
          <w:color w:val="231F20"/>
          <w:vertAlign w:val="superscript"/>
        </w:rPr>
        <w:t>37</w:t>
      </w:r>
      <w:r>
        <w:rPr>
          <w:color w:val="231F20"/>
          <w:vertAlign w:val="baseline"/>
        </w:rPr>
        <w:tab/>
        <w:t>Shoptaw, S., Montgomery, B., Williams, C. T., El-</w:t>
      </w:r>
      <w:r>
        <w:rPr>
          <w:color w:val="231F20"/>
          <w:spacing w:val="1"/>
          <w:vertAlign w:val="baseline"/>
        </w:rPr>
        <w:t> </w:t>
      </w:r>
      <w:r>
        <w:rPr>
          <w:color w:val="231F20"/>
          <w:spacing w:val="-1"/>
          <w:vertAlign w:val="baseline"/>
        </w:rPr>
        <w:t>Bassel, N., Aramrattana, A., Metsch, L., Metzger, </w:t>
      </w:r>
      <w:r>
        <w:rPr>
          <w:color w:val="231F20"/>
          <w:vertAlign w:val="baseline"/>
        </w:rPr>
        <w:t>D.</w:t>
      </w:r>
      <w:r>
        <w:rPr>
          <w:color w:val="231F20"/>
          <w:spacing w:val="-52"/>
          <w:vertAlign w:val="baseline"/>
        </w:rPr>
        <w:t> </w:t>
      </w:r>
      <w:r>
        <w:rPr>
          <w:color w:val="231F20"/>
          <w:spacing w:val="-1"/>
          <w:vertAlign w:val="baseline"/>
        </w:rPr>
        <w:t>S., Kuo, I., Bastos, F. I., </w:t>
      </w:r>
      <w:r>
        <w:rPr>
          <w:color w:val="231F20"/>
          <w:vertAlign w:val="baseline"/>
        </w:rPr>
        <w:t>&amp; Strathdee, S. A. (2013).</w:t>
      </w:r>
      <w:r>
        <w:rPr>
          <w:color w:val="231F20"/>
          <w:spacing w:val="1"/>
          <w:vertAlign w:val="baseline"/>
        </w:rPr>
        <w:t> </w:t>
      </w:r>
      <w:r>
        <w:rPr>
          <w:color w:val="231F20"/>
          <w:vertAlign w:val="baseline"/>
        </w:rPr>
        <w:t>Not just the needle: The state of HIV-prevention</w:t>
      </w:r>
      <w:r>
        <w:rPr>
          <w:color w:val="231F20"/>
          <w:spacing w:val="1"/>
          <w:vertAlign w:val="baseline"/>
        </w:rPr>
        <w:t> </w:t>
      </w:r>
      <w:r>
        <w:rPr>
          <w:color w:val="231F20"/>
          <w:vertAlign w:val="baseline"/>
        </w:rPr>
        <w:t>science</w:t>
      </w:r>
      <w:r>
        <w:rPr>
          <w:color w:val="231F20"/>
          <w:spacing w:val="-4"/>
          <w:vertAlign w:val="baseline"/>
        </w:rPr>
        <w:t> </w:t>
      </w:r>
      <w:r>
        <w:rPr>
          <w:color w:val="231F20"/>
          <w:vertAlign w:val="baseline"/>
        </w:rPr>
        <w:t>among</w:t>
      </w:r>
      <w:r>
        <w:rPr>
          <w:color w:val="231F20"/>
          <w:spacing w:val="-2"/>
          <w:vertAlign w:val="baseline"/>
        </w:rPr>
        <w:t> </w:t>
      </w:r>
      <w:r>
        <w:rPr>
          <w:color w:val="231F20"/>
          <w:vertAlign w:val="baseline"/>
        </w:rPr>
        <w:t>substance</w:t>
      </w:r>
      <w:r>
        <w:rPr>
          <w:color w:val="231F20"/>
          <w:spacing w:val="-3"/>
          <w:vertAlign w:val="baseline"/>
        </w:rPr>
        <w:t> </w:t>
      </w:r>
      <w:r>
        <w:rPr>
          <w:color w:val="231F20"/>
          <w:vertAlign w:val="baseline"/>
        </w:rPr>
        <w:t>users</w:t>
      </w:r>
      <w:r>
        <w:rPr>
          <w:color w:val="231F20"/>
          <w:spacing w:val="-2"/>
          <w:vertAlign w:val="baseline"/>
        </w:rPr>
        <w:t> </w:t>
      </w:r>
      <w:r>
        <w:rPr>
          <w:color w:val="231F20"/>
          <w:vertAlign w:val="baseline"/>
        </w:rPr>
        <w:t>and</w:t>
      </w:r>
      <w:r>
        <w:rPr>
          <w:color w:val="231F20"/>
          <w:spacing w:val="-3"/>
          <w:vertAlign w:val="baseline"/>
        </w:rPr>
        <w:t> </w:t>
      </w:r>
      <w:r>
        <w:rPr>
          <w:color w:val="231F20"/>
          <w:vertAlign w:val="baseline"/>
        </w:rPr>
        <w:t>future</w:t>
      </w:r>
      <w:r>
        <w:rPr>
          <w:color w:val="231F20"/>
          <w:spacing w:val="-2"/>
          <w:vertAlign w:val="baseline"/>
        </w:rPr>
        <w:t> </w:t>
      </w:r>
      <w:r>
        <w:rPr>
          <w:color w:val="231F20"/>
          <w:vertAlign w:val="baseline"/>
        </w:rPr>
        <w:t>directions.</w:t>
      </w:r>
      <w:r>
        <w:rPr>
          <w:color w:val="231F20"/>
          <w:spacing w:val="-52"/>
          <w:vertAlign w:val="baseline"/>
        </w:rPr>
        <w:t> </w:t>
      </w:r>
      <w:r>
        <w:rPr>
          <w:i/>
          <w:color w:val="231F20"/>
          <w:vertAlign w:val="baseline"/>
        </w:rPr>
        <w:t>Journal of Acquired Immune Deficiency Syndromes</w:t>
      </w:r>
      <w:r>
        <w:rPr>
          <w:i/>
          <w:color w:val="231F20"/>
          <w:spacing w:val="1"/>
          <w:vertAlign w:val="baseline"/>
        </w:rPr>
        <w:t> </w:t>
      </w:r>
      <w:r>
        <w:rPr>
          <w:i/>
          <w:color w:val="231F20"/>
          <w:vertAlign w:val="baseline"/>
        </w:rPr>
        <w:t>(JAIDS), 63</w:t>
      </w:r>
      <w:r>
        <w:rPr>
          <w:color w:val="231F20"/>
          <w:vertAlign w:val="baseline"/>
        </w:rPr>
        <w:t>, S174-S178. </w:t>
      </w:r>
      <w:hyperlink r:id="rId75">
        <w:r>
          <w:rPr>
            <w:color w:val="3953A4"/>
            <w:u w:val="single" w:color="3953A4"/>
            <w:vertAlign w:val="baseline"/>
          </w:rPr>
          <w:t>https://doi.org/10.1097/</w:t>
        </w:r>
      </w:hyperlink>
      <w:r>
        <w:rPr>
          <w:color w:val="3953A4"/>
          <w:spacing w:val="1"/>
          <w:vertAlign w:val="baseline"/>
        </w:rPr>
        <w:t> </w:t>
      </w:r>
      <w:hyperlink r:id="rId75">
        <w:r>
          <w:rPr>
            <w:color w:val="3953A4"/>
            <w:u w:val="single" w:color="3953A4"/>
            <w:vertAlign w:val="baseline"/>
          </w:rPr>
          <w:t>QAI.0b013e3182987028</w:t>
        </w:r>
      </w:hyperlink>
    </w:p>
    <w:p>
      <w:pPr>
        <w:tabs>
          <w:tab w:pos="519" w:val="left" w:leader="none"/>
        </w:tabs>
        <w:spacing w:line="228" w:lineRule="auto" w:before="87"/>
        <w:ind w:left="520" w:right="890" w:hanging="360"/>
        <w:jc w:val="left"/>
        <w:rPr>
          <w:sz w:val="22"/>
        </w:rPr>
      </w:pPr>
      <w:r>
        <w:rPr>
          <w:color w:val="231F20"/>
          <w:sz w:val="22"/>
          <w:vertAlign w:val="superscript"/>
        </w:rPr>
        <w:t>38</w:t>
      </w:r>
      <w:r>
        <w:rPr>
          <w:color w:val="231F20"/>
          <w:sz w:val="22"/>
          <w:vertAlign w:val="baseline"/>
        </w:rPr>
        <w:tab/>
        <w:t>Centers</w:t>
      </w:r>
      <w:r>
        <w:rPr>
          <w:color w:val="231F20"/>
          <w:spacing w:val="-3"/>
          <w:sz w:val="22"/>
          <w:vertAlign w:val="baseline"/>
        </w:rPr>
        <w:t> </w:t>
      </w:r>
      <w:r>
        <w:rPr>
          <w:color w:val="231F20"/>
          <w:sz w:val="22"/>
          <w:vertAlign w:val="baseline"/>
        </w:rPr>
        <w:t>for</w:t>
      </w:r>
      <w:r>
        <w:rPr>
          <w:color w:val="231F20"/>
          <w:spacing w:val="-3"/>
          <w:sz w:val="22"/>
          <w:vertAlign w:val="baseline"/>
        </w:rPr>
        <w:t> </w:t>
      </w:r>
      <w:r>
        <w:rPr>
          <w:color w:val="231F20"/>
          <w:sz w:val="22"/>
          <w:vertAlign w:val="baseline"/>
        </w:rPr>
        <w:t>Disease</w:t>
      </w:r>
      <w:r>
        <w:rPr>
          <w:color w:val="231F20"/>
          <w:spacing w:val="-3"/>
          <w:sz w:val="22"/>
          <w:vertAlign w:val="baseline"/>
        </w:rPr>
        <w:t> </w:t>
      </w:r>
      <w:r>
        <w:rPr>
          <w:color w:val="231F20"/>
          <w:sz w:val="22"/>
          <w:vertAlign w:val="baseline"/>
        </w:rPr>
        <w:t>Control</w:t>
      </w:r>
      <w:r>
        <w:rPr>
          <w:color w:val="231F20"/>
          <w:spacing w:val="-3"/>
          <w:sz w:val="22"/>
          <w:vertAlign w:val="baseline"/>
        </w:rPr>
        <w:t> </w:t>
      </w:r>
      <w:r>
        <w:rPr>
          <w:color w:val="231F20"/>
          <w:sz w:val="22"/>
          <w:vertAlign w:val="baseline"/>
        </w:rPr>
        <w:t>and</w:t>
      </w:r>
      <w:r>
        <w:rPr>
          <w:color w:val="231F20"/>
          <w:spacing w:val="-2"/>
          <w:sz w:val="22"/>
          <w:vertAlign w:val="baseline"/>
        </w:rPr>
        <w:t> </w:t>
      </w:r>
      <w:r>
        <w:rPr>
          <w:color w:val="231F20"/>
          <w:sz w:val="22"/>
          <w:vertAlign w:val="baseline"/>
        </w:rPr>
        <w:t>Prevention.</w:t>
      </w:r>
      <w:r>
        <w:rPr>
          <w:color w:val="231F20"/>
          <w:spacing w:val="-4"/>
          <w:sz w:val="22"/>
          <w:vertAlign w:val="baseline"/>
        </w:rPr>
        <w:t> </w:t>
      </w:r>
      <w:r>
        <w:rPr>
          <w:color w:val="231F20"/>
          <w:sz w:val="22"/>
          <w:vertAlign w:val="baseline"/>
        </w:rPr>
        <w:t>(2019,</w:t>
      </w:r>
      <w:r>
        <w:rPr>
          <w:color w:val="231F20"/>
          <w:spacing w:val="-52"/>
          <w:sz w:val="22"/>
          <w:vertAlign w:val="baseline"/>
        </w:rPr>
        <w:t> </w:t>
      </w:r>
      <w:r>
        <w:rPr>
          <w:color w:val="231F20"/>
          <w:sz w:val="22"/>
          <w:vertAlign w:val="baseline"/>
        </w:rPr>
        <w:t>September 18)</w:t>
      </w:r>
      <w:r>
        <w:rPr>
          <w:i/>
          <w:color w:val="231F20"/>
          <w:sz w:val="22"/>
          <w:vertAlign w:val="baseline"/>
        </w:rPr>
        <w:t>. Injection drug use and HIV risk.</w:t>
      </w:r>
      <w:r>
        <w:rPr>
          <w:i/>
          <w:color w:val="231F20"/>
          <w:spacing w:val="1"/>
          <w:sz w:val="22"/>
          <w:vertAlign w:val="baseline"/>
        </w:rPr>
        <w:t> </w:t>
      </w:r>
      <w:hyperlink r:id="rId76">
        <w:r>
          <w:rPr>
            <w:color w:val="3953A4"/>
            <w:sz w:val="22"/>
            <w:u w:val="single" w:color="3953A4"/>
            <w:vertAlign w:val="baseline"/>
          </w:rPr>
          <w:t>https://www.cdc.gov/hiv/risk/idu.html</w:t>
        </w:r>
      </w:hyperlink>
    </w:p>
    <w:p>
      <w:pPr>
        <w:pStyle w:val="BodyText"/>
        <w:tabs>
          <w:tab w:pos="519" w:val="left" w:leader="none"/>
        </w:tabs>
        <w:spacing w:line="228" w:lineRule="auto" w:before="89"/>
        <w:ind w:left="520" w:right="781" w:hanging="360"/>
      </w:pPr>
      <w:r>
        <w:rPr>
          <w:color w:val="231F20"/>
          <w:vertAlign w:val="superscript"/>
        </w:rPr>
        <w:t>39</w:t>
      </w:r>
      <w:r>
        <w:rPr>
          <w:color w:val="231F20"/>
          <w:vertAlign w:val="baseline"/>
        </w:rPr>
        <w:tab/>
      </w:r>
      <w:r>
        <w:rPr>
          <w:color w:val="231F20"/>
          <w:spacing w:val="-3"/>
          <w:vertAlign w:val="baseline"/>
        </w:rPr>
        <w:t>Vagenas,</w:t>
      </w:r>
      <w:r>
        <w:rPr>
          <w:color w:val="231F20"/>
          <w:vertAlign w:val="baseline"/>
        </w:rPr>
        <w:t> </w:t>
      </w:r>
      <w:r>
        <w:rPr>
          <w:color w:val="231F20"/>
          <w:spacing w:val="-2"/>
          <w:vertAlign w:val="baseline"/>
        </w:rPr>
        <w:t>P.,</w:t>
      </w:r>
      <w:r>
        <w:rPr>
          <w:color w:val="231F20"/>
          <w:spacing w:val="-13"/>
          <w:vertAlign w:val="baseline"/>
        </w:rPr>
        <w:t> </w:t>
      </w:r>
      <w:r>
        <w:rPr>
          <w:color w:val="231F20"/>
          <w:spacing w:val="-2"/>
          <w:vertAlign w:val="baseline"/>
        </w:rPr>
        <w:t>Azar,</w:t>
      </w:r>
      <w:r>
        <w:rPr>
          <w:color w:val="231F20"/>
          <w:vertAlign w:val="baseline"/>
        </w:rPr>
        <w:t> </w:t>
      </w:r>
      <w:r>
        <w:rPr>
          <w:color w:val="231F20"/>
          <w:spacing w:val="-2"/>
          <w:vertAlign w:val="baseline"/>
        </w:rPr>
        <w:t>M.</w:t>
      </w:r>
      <w:r>
        <w:rPr>
          <w:color w:val="231F20"/>
          <w:spacing w:val="-1"/>
          <w:vertAlign w:val="baseline"/>
        </w:rPr>
        <w:t> </w:t>
      </w:r>
      <w:r>
        <w:rPr>
          <w:color w:val="231F20"/>
          <w:spacing w:val="-2"/>
          <w:vertAlign w:val="baseline"/>
        </w:rPr>
        <w:t>M.,</w:t>
      </w:r>
      <w:r>
        <w:rPr>
          <w:color w:val="231F20"/>
          <w:vertAlign w:val="baseline"/>
        </w:rPr>
        <w:t> </w:t>
      </w:r>
      <w:r>
        <w:rPr>
          <w:color w:val="231F20"/>
          <w:spacing w:val="-2"/>
          <w:vertAlign w:val="baseline"/>
        </w:rPr>
        <w:t>Copenhaver,</w:t>
      </w:r>
      <w:r>
        <w:rPr>
          <w:color w:val="231F20"/>
          <w:vertAlign w:val="baseline"/>
        </w:rPr>
        <w:t> </w:t>
      </w:r>
      <w:r>
        <w:rPr>
          <w:color w:val="231F20"/>
          <w:spacing w:val="-2"/>
          <w:vertAlign w:val="baseline"/>
        </w:rPr>
        <w:t>M.</w:t>
      </w:r>
      <w:r>
        <w:rPr>
          <w:color w:val="231F20"/>
          <w:spacing w:val="-1"/>
          <w:vertAlign w:val="baseline"/>
        </w:rPr>
        <w:t> </w:t>
      </w:r>
      <w:r>
        <w:rPr>
          <w:color w:val="231F20"/>
          <w:spacing w:val="-2"/>
          <w:vertAlign w:val="baseline"/>
        </w:rPr>
        <w:t>M.,</w:t>
      </w:r>
      <w:r>
        <w:rPr>
          <w:color w:val="231F20"/>
          <w:spacing w:val="-1"/>
          <w:vertAlign w:val="baseline"/>
        </w:rPr>
        <w:t> </w:t>
      </w:r>
      <w:r>
        <w:rPr>
          <w:color w:val="231F20"/>
          <w:spacing w:val="-2"/>
          <w:vertAlign w:val="baseline"/>
        </w:rPr>
        <w:t>Springer, S. A., Molina, P. E., &amp; Altice, </w:t>
      </w:r>
      <w:r>
        <w:rPr>
          <w:color w:val="231F20"/>
          <w:spacing w:val="-1"/>
          <w:vertAlign w:val="baseline"/>
        </w:rPr>
        <w:t>F. L. (2015).</w:t>
      </w:r>
      <w:r>
        <w:rPr>
          <w:color w:val="231F20"/>
          <w:spacing w:val="-52"/>
          <w:vertAlign w:val="baseline"/>
        </w:rPr>
        <w:t> </w:t>
      </w:r>
      <w:r>
        <w:rPr>
          <w:color w:val="231F20"/>
          <w:vertAlign w:val="baseline"/>
        </w:rPr>
        <w:t>The impact of alcohol use and related disorders on</w:t>
      </w:r>
    </w:p>
    <w:p>
      <w:pPr>
        <w:spacing w:after="0" w:line="228" w:lineRule="auto"/>
        <w:sectPr>
          <w:type w:val="continuous"/>
          <w:pgSz w:w="12240" w:h="15840"/>
          <w:pgMar w:header="0" w:footer="666" w:top="1500" w:bottom="0" w:left="560" w:right="0"/>
          <w:cols w:num="2" w:equalWidth="0">
            <w:col w:w="5239" w:space="521"/>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spacing w:line="228" w:lineRule="auto" w:before="101"/>
        <w:ind w:left="520" w:right="180" w:firstLine="0"/>
        <w:jc w:val="left"/>
        <w:rPr>
          <w:sz w:val="22"/>
        </w:rPr>
      </w:pPr>
      <w:r>
        <w:rPr>
          <w:color w:val="231F20"/>
          <w:spacing w:val="-1"/>
          <w:sz w:val="22"/>
        </w:rPr>
        <w:t>the HIV continuum of </w:t>
      </w:r>
      <w:r>
        <w:rPr>
          <w:color w:val="231F20"/>
          <w:sz w:val="22"/>
        </w:rPr>
        <w:t>care: A systematic review.</w:t>
      </w:r>
      <w:r>
        <w:rPr>
          <w:color w:val="231F20"/>
          <w:spacing w:val="1"/>
          <w:sz w:val="22"/>
        </w:rPr>
        <w:t> </w:t>
      </w:r>
      <w:r>
        <w:rPr>
          <w:i/>
          <w:color w:val="231F20"/>
          <w:sz w:val="22"/>
        </w:rPr>
        <w:t>Current</w:t>
      </w:r>
      <w:r>
        <w:rPr>
          <w:i/>
          <w:color w:val="231F20"/>
          <w:spacing w:val="-4"/>
          <w:sz w:val="22"/>
        </w:rPr>
        <w:t> </w:t>
      </w:r>
      <w:r>
        <w:rPr>
          <w:i/>
          <w:color w:val="231F20"/>
          <w:sz w:val="22"/>
        </w:rPr>
        <w:t>HIV/AIDS</w:t>
      </w:r>
      <w:r>
        <w:rPr>
          <w:i/>
          <w:color w:val="231F20"/>
          <w:spacing w:val="-4"/>
          <w:sz w:val="22"/>
        </w:rPr>
        <w:t> </w:t>
      </w:r>
      <w:r>
        <w:rPr>
          <w:i/>
          <w:color w:val="231F20"/>
          <w:sz w:val="22"/>
        </w:rPr>
        <w:t>Reports,</w:t>
      </w:r>
      <w:r>
        <w:rPr>
          <w:i/>
          <w:color w:val="231F20"/>
          <w:spacing w:val="-3"/>
          <w:sz w:val="22"/>
        </w:rPr>
        <w:t> </w:t>
      </w:r>
      <w:r>
        <w:rPr>
          <w:i/>
          <w:color w:val="231F20"/>
          <w:sz w:val="22"/>
        </w:rPr>
        <w:t>12</w:t>
      </w:r>
      <w:r>
        <w:rPr>
          <w:color w:val="231F20"/>
          <w:sz w:val="22"/>
        </w:rPr>
        <w:t>(4),</w:t>
      </w:r>
      <w:r>
        <w:rPr>
          <w:color w:val="231F20"/>
          <w:spacing w:val="-3"/>
          <w:sz w:val="22"/>
        </w:rPr>
        <w:t> </w:t>
      </w:r>
      <w:r>
        <w:rPr>
          <w:color w:val="231F20"/>
          <w:sz w:val="22"/>
        </w:rPr>
        <w:t>421-436.</w:t>
      </w:r>
      <w:r>
        <w:rPr>
          <w:color w:val="231F20"/>
          <w:spacing w:val="-3"/>
          <w:sz w:val="22"/>
        </w:rPr>
        <w:t> </w:t>
      </w:r>
      <w:hyperlink r:id="rId77">
        <w:r>
          <w:rPr>
            <w:color w:val="3953A4"/>
            <w:sz w:val="22"/>
            <w:u w:val="single" w:color="3953A4"/>
          </w:rPr>
          <w:t>https://</w:t>
        </w:r>
      </w:hyperlink>
      <w:r>
        <w:rPr>
          <w:color w:val="3953A4"/>
          <w:spacing w:val="-52"/>
          <w:sz w:val="22"/>
        </w:rPr>
        <w:t> </w:t>
      </w:r>
      <w:hyperlink r:id="rId77">
        <w:r>
          <w:rPr>
            <w:color w:val="3953A4"/>
            <w:sz w:val="22"/>
            <w:u w:val="single" w:color="3953A4"/>
          </w:rPr>
          <w:t>doi.org/10.1007/s11904-015-0285-5</w:t>
        </w:r>
      </w:hyperlink>
    </w:p>
    <w:p>
      <w:pPr>
        <w:pStyle w:val="BodyText"/>
        <w:tabs>
          <w:tab w:pos="519" w:val="left" w:leader="none"/>
        </w:tabs>
        <w:spacing w:line="228" w:lineRule="auto" w:before="89"/>
        <w:ind w:left="520" w:right="264" w:hanging="360"/>
      </w:pPr>
      <w:r>
        <w:rPr>
          <w:color w:val="231F20"/>
          <w:vertAlign w:val="superscript"/>
        </w:rPr>
        <w:t>40</w:t>
      </w:r>
      <w:r>
        <w:rPr>
          <w:color w:val="231F20"/>
          <w:vertAlign w:val="baseline"/>
        </w:rPr>
        <w:tab/>
      </w:r>
      <w:r>
        <w:rPr>
          <w:color w:val="231F20"/>
          <w:spacing w:val="-2"/>
          <w:vertAlign w:val="baseline"/>
        </w:rPr>
        <w:t>Chichetto, N. E., Mannes, Z. L., Allen, M. K.,</w:t>
      </w:r>
      <w:r>
        <w:rPr>
          <w:color w:val="231F20"/>
          <w:spacing w:val="-1"/>
          <w:vertAlign w:val="baseline"/>
        </w:rPr>
        <w:t> Cook,</w:t>
      </w:r>
      <w:r>
        <w:rPr>
          <w:color w:val="231F20"/>
          <w:spacing w:val="-10"/>
          <w:vertAlign w:val="baseline"/>
        </w:rPr>
        <w:t> </w:t>
      </w:r>
      <w:r>
        <w:rPr>
          <w:color w:val="231F20"/>
          <w:spacing w:val="-1"/>
          <w:vertAlign w:val="baseline"/>
        </w:rPr>
        <w:t>R.</w:t>
      </w:r>
      <w:r>
        <w:rPr>
          <w:color w:val="231F20"/>
          <w:spacing w:val="-10"/>
          <w:vertAlign w:val="baseline"/>
        </w:rPr>
        <w:t> </w:t>
      </w:r>
      <w:r>
        <w:rPr>
          <w:color w:val="231F20"/>
          <w:spacing w:val="-1"/>
          <w:vertAlign w:val="baseline"/>
        </w:rPr>
        <w:t>L.,</w:t>
      </w:r>
      <w:r>
        <w:rPr>
          <w:color w:val="231F20"/>
          <w:spacing w:val="-10"/>
          <w:vertAlign w:val="baseline"/>
        </w:rPr>
        <w:t> </w:t>
      </w:r>
      <w:r>
        <w:rPr>
          <w:color w:val="231F20"/>
          <w:spacing w:val="-1"/>
          <w:vertAlign w:val="baseline"/>
        </w:rPr>
        <w:t>&amp;</w:t>
      </w:r>
      <w:r>
        <w:rPr>
          <w:color w:val="231F20"/>
          <w:spacing w:val="-10"/>
          <w:vertAlign w:val="baseline"/>
        </w:rPr>
        <w:t> </w:t>
      </w:r>
      <w:r>
        <w:rPr>
          <w:color w:val="231F20"/>
          <w:spacing w:val="-1"/>
          <w:vertAlign w:val="baseline"/>
        </w:rPr>
        <w:t>Ennis,</w:t>
      </w:r>
      <w:r>
        <w:rPr>
          <w:color w:val="231F20"/>
          <w:spacing w:val="-10"/>
          <w:vertAlign w:val="baseline"/>
        </w:rPr>
        <w:t> </w:t>
      </w:r>
      <w:r>
        <w:rPr>
          <w:color w:val="231F20"/>
          <w:spacing w:val="-1"/>
          <w:vertAlign w:val="baseline"/>
        </w:rPr>
        <w:t>N.</w:t>
      </w:r>
      <w:r>
        <w:rPr>
          <w:color w:val="231F20"/>
          <w:spacing w:val="-10"/>
          <w:vertAlign w:val="baseline"/>
        </w:rPr>
        <w:t> </w:t>
      </w:r>
      <w:r>
        <w:rPr>
          <w:color w:val="231F20"/>
          <w:spacing w:val="-1"/>
          <w:vertAlign w:val="baseline"/>
        </w:rPr>
        <w:t>(2019).</w:t>
      </w:r>
      <w:r>
        <w:rPr>
          <w:color w:val="231F20"/>
          <w:spacing w:val="-10"/>
          <w:vertAlign w:val="baseline"/>
        </w:rPr>
        <w:t> </w:t>
      </w:r>
      <w:r>
        <w:rPr>
          <w:color w:val="231F20"/>
          <w:vertAlign w:val="baseline"/>
        </w:rPr>
        <w:t>HIV</w:t>
      </w:r>
      <w:r>
        <w:rPr>
          <w:color w:val="231F20"/>
          <w:spacing w:val="-14"/>
          <w:vertAlign w:val="baseline"/>
        </w:rPr>
        <w:t> </w:t>
      </w:r>
      <w:r>
        <w:rPr>
          <w:color w:val="231F20"/>
          <w:vertAlign w:val="baseline"/>
        </w:rPr>
        <w:t>care</w:t>
      </w:r>
      <w:r>
        <w:rPr>
          <w:color w:val="231F20"/>
          <w:spacing w:val="-9"/>
          <w:vertAlign w:val="baseline"/>
        </w:rPr>
        <w:t> </w:t>
      </w:r>
      <w:r>
        <w:rPr>
          <w:color w:val="231F20"/>
          <w:vertAlign w:val="baseline"/>
        </w:rPr>
        <w:t>provider</w:t>
      </w:r>
      <w:r>
        <w:rPr>
          <w:color w:val="231F20"/>
          <w:spacing w:val="-52"/>
          <w:vertAlign w:val="baseline"/>
        </w:rPr>
        <w:t> </w:t>
      </w:r>
      <w:r>
        <w:rPr>
          <w:color w:val="231F20"/>
          <w:spacing w:val="-1"/>
          <w:vertAlign w:val="baseline"/>
        </w:rPr>
        <w:t>perceptions</w:t>
      </w:r>
      <w:r>
        <w:rPr>
          <w:color w:val="231F20"/>
          <w:spacing w:val="-13"/>
          <w:vertAlign w:val="baseline"/>
        </w:rPr>
        <w:t> </w:t>
      </w:r>
      <w:r>
        <w:rPr>
          <w:color w:val="231F20"/>
          <w:spacing w:val="-1"/>
          <w:vertAlign w:val="baseline"/>
        </w:rPr>
        <w:t>and</w:t>
      </w:r>
      <w:r>
        <w:rPr>
          <w:color w:val="231F20"/>
          <w:spacing w:val="-13"/>
          <w:vertAlign w:val="baseline"/>
        </w:rPr>
        <w:t> </w:t>
      </w:r>
      <w:r>
        <w:rPr>
          <w:color w:val="231F20"/>
          <w:spacing w:val="-1"/>
          <w:vertAlign w:val="baseline"/>
        </w:rPr>
        <w:t>approaches</w:t>
      </w:r>
      <w:r>
        <w:rPr>
          <w:color w:val="231F20"/>
          <w:spacing w:val="-13"/>
          <w:vertAlign w:val="baseline"/>
        </w:rPr>
        <w:t> </w:t>
      </w:r>
      <w:r>
        <w:rPr>
          <w:color w:val="231F20"/>
          <w:vertAlign w:val="baseline"/>
        </w:rPr>
        <w:t>to</w:t>
      </w:r>
      <w:r>
        <w:rPr>
          <w:color w:val="231F20"/>
          <w:spacing w:val="-12"/>
          <w:vertAlign w:val="baseline"/>
        </w:rPr>
        <w:t> </w:t>
      </w:r>
      <w:r>
        <w:rPr>
          <w:color w:val="231F20"/>
          <w:vertAlign w:val="baseline"/>
        </w:rPr>
        <w:t>managing</w:t>
      </w:r>
      <w:r>
        <w:rPr>
          <w:color w:val="231F20"/>
          <w:spacing w:val="-13"/>
          <w:vertAlign w:val="baseline"/>
        </w:rPr>
        <w:t> </w:t>
      </w:r>
      <w:r>
        <w:rPr>
          <w:color w:val="231F20"/>
          <w:vertAlign w:val="baseline"/>
        </w:rPr>
        <w:t>unhealthy</w:t>
      </w:r>
    </w:p>
    <w:p>
      <w:pPr>
        <w:spacing w:line="228" w:lineRule="auto" w:before="0"/>
        <w:ind w:left="520" w:right="39" w:firstLine="0"/>
        <w:jc w:val="left"/>
        <w:rPr>
          <w:sz w:val="22"/>
        </w:rPr>
      </w:pPr>
      <w:r>
        <w:rPr>
          <w:color w:val="231F20"/>
          <w:spacing w:val="-2"/>
          <w:sz w:val="22"/>
        </w:rPr>
        <w:t>alcohol</w:t>
      </w:r>
      <w:r>
        <w:rPr>
          <w:color w:val="231F20"/>
          <w:spacing w:val="-6"/>
          <w:sz w:val="22"/>
        </w:rPr>
        <w:t> </w:t>
      </w:r>
      <w:r>
        <w:rPr>
          <w:color w:val="231F20"/>
          <w:spacing w:val="-2"/>
          <w:sz w:val="22"/>
        </w:rPr>
        <w:t>use</w:t>
      </w:r>
      <w:r>
        <w:rPr>
          <w:color w:val="231F20"/>
          <w:spacing w:val="-5"/>
          <w:sz w:val="22"/>
        </w:rPr>
        <w:t> </w:t>
      </w:r>
      <w:r>
        <w:rPr>
          <w:color w:val="231F20"/>
          <w:spacing w:val="-2"/>
          <w:sz w:val="22"/>
        </w:rPr>
        <w:t>in</w:t>
      </w:r>
      <w:r>
        <w:rPr>
          <w:color w:val="231F20"/>
          <w:spacing w:val="-5"/>
          <w:sz w:val="22"/>
        </w:rPr>
        <w:t> </w:t>
      </w:r>
      <w:r>
        <w:rPr>
          <w:color w:val="231F20"/>
          <w:spacing w:val="-2"/>
          <w:sz w:val="22"/>
        </w:rPr>
        <w:t>primary</w:t>
      </w:r>
      <w:r>
        <w:rPr>
          <w:color w:val="231F20"/>
          <w:spacing w:val="-5"/>
          <w:sz w:val="22"/>
        </w:rPr>
        <w:t> </w:t>
      </w:r>
      <w:r>
        <w:rPr>
          <w:color w:val="231F20"/>
          <w:spacing w:val="-2"/>
          <w:sz w:val="22"/>
        </w:rPr>
        <w:t>HIV</w:t>
      </w:r>
      <w:r>
        <w:rPr>
          <w:color w:val="231F20"/>
          <w:spacing w:val="-10"/>
          <w:sz w:val="22"/>
        </w:rPr>
        <w:t> </w:t>
      </w:r>
      <w:r>
        <w:rPr>
          <w:color w:val="231F20"/>
          <w:spacing w:val="-2"/>
          <w:sz w:val="22"/>
        </w:rPr>
        <w:t>care</w:t>
      </w:r>
      <w:r>
        <w:rPr>
          <w:color w:val="231F20"/>
          <w:spacing w:val="-5"/>
          <w:sz w:val="22"/>
        </w:rPr>
        <w:t> </w:t>
      </w:r>
      <w:r>
        <w:rPr>
          <w:color w:val="231F20"/>
          <w:spacing w:val="-2"/>
          <w:sz w:val="22"/>
        </w:rPr>
        <w:t>settings:</w:t>
      </w:r>
      <w:r>
        <w:rPr>
          <w:color w:val="231F20"/>
          <w:spacing w:val="-17"/>
          <w:sz w:val="22"/>
        </w:rPr>
        <w:t> </w:t>
      </w:r>
      <w:r>
        <w:rPr>
          <w:color w:val="231F20"/>
          <w:spacing w:val="-2"/>
          <w:sz w:val="22"/>
        </w:rPr>
        <w:t>A</w:t>
      </w:r>
      <w:r>
        <w:rPr>
          <w:color w:val="231F20"/>
          <w:spacing w:val="-18"/>
          <w:sz w:val="22"/>
        </w:rPr>
        <w:t> </w:t>
      </w:r>
      <w:r>
        <w:rPr>
          <w:color w:val="231F20"/>
          <w:spacing w:val="-2"/>
          <w:sz w:val="22"/>
        </w:rPr>
        <w:t>qualitative</w:t>
      </w:r>
      <w:r>
        <w:rPr>
          <w:color w:val="231F20"/>
          <w:spacing w:val="-52"/>
          <w:sz w:val="22"/>
        </w:rPr>
        <w:t> </w:t>
      </w:r>
      <w:r>
        <w:rPr>
          <w:color w:val="231F20"/>
          <w:spacing w:val="-1"/>
          <w:sz w:val="22"/>
        </w:rPr>
        <w:t>study. </w:t>
      </w:r>
      <w:r>
        <w:rPr>
          <w:i/>
          <w:color w:val="231F20"/>
          <w:spacing w:val="-1"/>
          <w:sz w:val="22"/>
        </w:rPr>
        <w:t>Addiction </w:t>
      </w:r>
      <w:r>
        <w:rPr>
          <w:i/>
          <w:color w:val="231F20"/>
          <w:sz w:val="22"/>
        </w:rPr>
        <w:t>Science &amp; Clinical Practice, 14</w:t>
      </w:r>
      <w:r>
        <w:rPr>
          <w:color w:val="231F20"/>
          <w:sz w:val="22"/>
        </w:rPr>
        <w:t>(1),</w:t>
      </w:r>
      <w:r>
        <w:rPr>
          <w:color w:val="231F20"/>
          <w:spacing w:val="1"/>
          <w:sz w:val="22"/>
        </w:rPr>
        <w:t> </w:t>
      </w:r>
      <w:r>
        <w:rPr>
          <w:color w:val="231F20"/>
          <w:sz w:val="22"/>
        </w:rPr>
        <w:t>21.</w:t>
      </w:r>
      <w:r>
        <w:rPr>
          <w:color w:val="231F20"/>
          <w:spacing w:val="-12"/>
          <w:sz w:val="22"/>
        </w:rPr>
        <w:t> </w:t>
      </w:r>
      <w:hyperlink r:id="rId78">
        <w:r>
          <w:rPr>
            <w:color w:val="3953A4"/>
            <w:sz w:val="22"/>
            <w:u w:val="single" w:color="3953A4"/>
          </w:rPr>
          <w:t>https://doi.org/10.1186/s13722-019-0150-8</w:t>
        </w:r>
      </w:hyperlink>
    </w:p>
    <w:p>
      <w:pPr>
        <w:tabs>
          <w:tab w:pos="519" w:val="left" w:leader="none"/>
        </w:tabs>
        <w:spacing w:line="228" w:lineRule="auto" w:before="88"/>
        <w:ind w:left="519" w:right="610" w:hanging="360"/>
        <w:jc w:val="left"/>
        <w:rPr>
          <w:sz w:val="22"/>
        </w:rPr>
      </w:pPr>
      <w:r>
        <w:rPr>
          <w:color w:val="231F20"/>
          <w:sz w:val="22"/>
          <w:vertAlign w:val="superscript"/>
        </w:rPr>
        <w:t>41</w:t>
      </w:r>
      <w:r>
        <w:rPr>
          <w:color w:val="231F20"/>
          <w:sz w:val="22"/>
          <w:vertAlign w:val="baseline"/>
        </w:rPr>
        <w:tab/>
      </w:r>
      <w:r>
        <w:rPr>
          <w:color w:val="231F20"/>
          <w:spacing w:val="-1"/>
          <w:sz w:val="22"/>
          <w:vertAlign w:val="baseline"/>
        </w:rPr>
        <w:t>Lerner, A. M., &amp; Fauci, A. S. (2019). </w:t>
      </w:r>
      <w:r>
        <w:rPr>
          <w:color w:val="231F20"/>
          <w:sz w:val="22"/>
          <w:vertAlign w:val="baseline"/>
        </w:rPr>
        <w:t>Opioid</w:t>
      </w:r>
      <w:r>
        <w:rPr>
          <w:color w:val="231F20"/>
          <w:spacing w:val="1"/>
          <w:sz w:val="22"/>
          <w:vertAlign w:val="baseline"/>
        </w:rPr>
        <w:t> </w:t>
      </w:r>
      <w:r>
        <w:rPr>
          <w:color w:val="231F20"/>
          <w:spacing w:val="-1"/>
          <w:sz w:val="22"/>
          <w:vertAlign w:val="baseline"/>
        </w:rPr>
        <w:t>injection </w:t>
      </w:r>
      <w:r>
        <w:rPr>
          <w:color w:val="231F20"/>
          <w:sz w:val="22"/>
          <w:vertAlign w:val="baseline"/>
        </w:rPr>
        <w:t>in rural areas of the United States: A</w:t>
      </w:r>
      <w:r>
        <w:rPr>
          <w:color w:val="231F20"/>
          <w:spacing w:val="1"/>
          <w:sz w:val="22"/>
          <w:vertAlign w:val="baseline"/>
        </w:rPr>
        <w:t> </w:t>
      </w:r>
      <w:r>
        <w:rPr>
          <w:color w:val="231F20"/>
          <w:sz w:val="22"/>
          <w:vertAlign w:val="baseline"/>
        </w:rPr>
        <w:t>potential</w:t>
      </w:r>
      <w:r>
        <w:rPr>
          <w:color w:val="231F20"/>
          <w:spacing w:val="-3"/>
          <w:sz w:val="22"/>
          <w:vertAlign w:val="baseline"/>
        </w:rPr>
        <w:t> </w:t>
      </w:r>
      <w:r>
        <w:rPr>
          <w:color w:val="231F20"/>
          <w:sz w:val="22"/>
          <w:vertAlign w:val="baseline"/>
        </w:rPr>
        <w:t>obstacle</w:t>
      </w:r>
      <w:r>
        <w:rPr>
          <w:color w:val="231F20"/>
          <w:spacing w:val="-2"/>
          <w:sz w:val="22"/>
          <w:vertAlign w:val="baseline"/>
        </w:rPr>
        <w:t> </w:t>
      </w:r>
      <w:r>
        <w:rPr>
          <w:color w:val="231F20"/>
          <w:sz w:val="22"/>
          <w:vertAlign w:val="baseline"/>
        </w:rPr>
        <w:t>to</w:t>
      </w:r>
      <w:r>
        <w:rPr>
          <w:color w:val="231F20"/>
          <w:spacing w:val="-3"/>
          <w:sz w:val="22"/>
          <w:vertAlign w:val="baseline"/>
        </w:rPr>
        <w:t> </w:t>
      </w:r>
      <w:r>
        <w:rPr>
          <w:color w:val="231F20"/>
          <w:sz w:val="22"/>
          <w:vertAlign w:val="baseline"/>
        </w:rPr>
        <w:t>ending</w:t>
      </w:r>
      <w:r>
        <w:rPr>
          <w:color w:val="231F20"/>
          <w:spacing w:val="-2"/>
          <w:sz w:val="22"/>
          <w:vertAlign w:val="baseline"/>
        </w:rPr>
        <w:t> </w:t>
      </w:r>
      <w:r>
        <w:rPr>
          <w:color w:val="231F20"/>
          <w:sz w:val="22"/>
          <w:vertAlign w:val="baseline"/>
        </w:rPr>
        <w:t>the</w:t>
      </w:r>
      <w:r>
        <w:rPr>
          <w:color w:val="231F20"/>
          <w:spacing w:val="-2"/>
          <w:sz w:val="22"/>
          <w:vertAlign w:val="baseline"/>
        </w:rPr>
        <w:t> </w:t>
      </w:r>
      <w:r>
        <w:rPr>
          <w:color w:val="231F20"/>
          <w:sz w:val="22"/>
          <w:vertAlign w:val="baseline"/>
        </w:rPr>
        <w:t>HIV</w:t>
      </w:r>
      <w:r>
        <w:rPr>
          <w:color w:val="231F20"/>
          <w:spacing w:val="-7"/>
          <w:sz w:val="22"/>
          <w:vertAlign w:val="baseline"/>
        </w:rPr>
        <w:t> </w:t>
      </w:r>
      <w:r>
        <w:rPr>
          <w:color w:val="231F20"/>
          <w:sz w:val="22"/>
          <w:vertAlign w:val="baseline"/>
        </w:rPr>
        <w:t>epidemic.</w:t>
      </w:r>
      <w:r>
        <w:rPr>
          <w:color w:val="231F20"/>
          <w:spacing w:val="-52"/>
          <w:sz w:val="22"/>
          <w:vertAlign w:val="baseline"/>
        </w:rPr>
        <w:t> </w:t>
      </w:r>
      <w:r>
        <w:rPr>
          <w:i/>
          <w:color w:val="231F20"/>
          <w:sz w:val="22"/>
          <w:vertAlign w:val="baseline"/>
        </w:rPr>
        <w:t>Journal of the American Medical Association</w:t>
      </w:r>
      <w:r>
        <w:rPr>
          <w:i/>
          <w:color w:val="231F20"/>
          <w:spacing w:val="1"/>
          <w:sz w:val="22"/>
          <w:vertAlign w:val="baseline"/>
        </w:rPr>
        <w:t> </w:t>
      </w:r>
      <w:r>
        <w:rPr>
          <w:i/>
          <w:color w:val="231F20"/>
          <w:sz w:val="22"/>
          <w:vertAlign w:val="baseline"/>
        </w:rPr>
        <w:t>(JAMA), 322</w:t>
      </w:r>
      <w:r>
        <w:rPr>
          <w:color w:val="231F20"/>
          <w:sz w:val="22"/>
          <w:vertAlign w:val="baseline"/>
        </w:rPr>
        <w:t>(11), 1041-1042. </w:t>
      </w:r>
      <w:hyperlink r:id="rId79">
        <w:r>
          <w:rPr>
            <w:color w:val="3953A4"/>
            <w:sz w:val="22"/>
            <w:u w:val="single" w:color="3953A4"/>
            <w:vertAlign w:val="baseline"/>
          </w:rPr>
          <w:t>https://doi.</w:t>
        </w:r>
      </w:hyperlink>
      <w:r>
        <w:rPr>
          <w:color w:val="3953A4"/>
          <w:spacing w:val="1"/>
          <w:sz w:val="22"/>
          <w:vertAlign w:val="baseline"/>
        </w:rPr>
        <w:t> </w:t>
      </w:r>
      <w:hyperlink r:id="rId79">
        <w:r>
          <w:rPr>
            <w:color w:val="3953A4"/>
            <w:sz w:val="22"/>
            <w:u w:val="single" w:color="3953A4"/>
            <w:vertAlign w:val="baseline"/>
          </w:rPr>
          <w:t>org/10.1001/jama.2019.10657</w:t>
        </w:r>
      </w:hyperlink>
    </w:p>
    <w:p>
      <w:pPr>
        <w:pStyle w:val="BodyText"/>
        <w:tabs>
          <w:tab w:pos="519" w:val="left" w:leader="none"/>
        </w:tabs>
        <w:spacing w:line="228" w:lineRule="auto" w:before="88"/>
        <w:ind w:left="519" w:right="330" w:hanging="360"/>
      </w:pPr>
      <w:r>
        <w:rPr>
          <w:color w:val="231F20"/>
          <w:vertAlign w:val="superscript"/>
        </w:rPr>
        <w:t>42</w:t>
      </w:r>
      <w:r>
        <w:rPr>
          <w:color w:val="231F20"/>
          <w:vertAlign w:val="baseline"/>
        </w:rPr>
        <w:tab/>
      </w:r>
      <w:r>
        <w:rPr>
          <w:color w:val="231F20"/>
          <w:spacing w:val="-2"/>
          <w:vertAlign w:val="baseline"/>
        </w:rPr>
        <w:t>Buttram, </w:t>
      </w:r>
      <w:r>
        <w:rPr>
          <w:color w:val="231F20"/>
          <w:spacing w:val="-1"/>
          <w:vertAlign w:val="baseline"/>
        </w:rPr>
        <w:t>M. E., &amp; Kurtz, S. P. (2016). Alternate</w:t>
      </w:r>
      <w:r>
        <w:rPr>
          <w:color w:val="231F20"/>
          <w:vertAlign w:val="baseline"/>
        </w:rPr>
        <w:t> routes of administration among prescription</w:t>
      </w:r>
      <w:r>
        <w:rPr>
          <w:color w:val="231F20"/>
          <w:spacing w:val="1"/>
          <w:vertAlign w:val="baseline"/>
        </w:rPr>
        <w:t> </w:t>
      </w:r>
      <w:r>
        <w:rPr>
          <w:color w:val="231F20"/>
          <w:vertAlign w:val="baseline"/>
        </w:rPr>
        <w:t>opioid</w:t>
      </w:r>
      <w:r>
        <w:rPr>
          <w:color w:val="231F20"/>
          <w:spacing w:val="-2"/>
          <w:vertAlign w:val="baseline"/>
        </w:rPr>
        <w:t> </w:t>
      </w:r>
      <w:r>
        <w:rPr>
          <w:color w:val="231F20"/>
          <w:vertAlign w:val="baseline"/>
        </w:rPr>
        <w:t>misusers</w:t>
      </w:r>
      <w:r>
        <w:rPr>
          <w:color w:val="231F20"/>
          <w:spacing w:val="-2"/>
          <w:vertAlign w:val="baseline"/>
        </w:rPr>
        <w:t> </w:t>
      </w:r>
      <w:r>
        <w:rPr>
          <w:color w:val="231F20"/>
          <w:vertAlign w:val="baseline"/>
        </w:rPr>
        <w:t>and</w:t>
      </w:r>
      <w:r>
        <w:rPr>
          <w:color w:val="231F20"/>
          <w:spacing w:val="-2"/>
          <w:vertAlign w:val="baseline"/>
        </w:rPr>
        <w:t> </w:t>
      </w:r>
      <w:r>
        <w:rPr>
          <w:color w:val="231F20"/>
          <w:vertAlign w:val="baseline"/>
        </w:rPr>
        <w:t>associations</w:t>
      </w:r>
      <w:r>
        <w:rPr>
          <w:color w:val="231F20"/>
          <w:spacing w:val="-1"/>
          <w:vertAlign w:val="baseline"/>
        </w:rPr>
        <w:t> </w:t>
      </w:r>
      <w:r>
        <w:rPr>
          <w:color w:val="231F20"/>
          <w:vertAlign w:val="baseline"/>
        </w:rPr>
        <w:t>with</w:t>
      </w:r>
      <w:r>
        <w:rPr>
          <w:color w:val="231F20"/>
          <w:spacing w:val="-3"/>
          <w:vertAlign w:val="baseline"/>
        </w:rPr>
        <w:t> </w:t>
      </w:r>
      <w:r>
        <w:rPr>
          <w:color w:val="231F20"/>
          <w:vertAlign w:val="baseline"/>
        </w:rPr>
        <w:t>sexual</w:t>
      </w:r>
      <w:r>
        <w:rPr>
          <w:color w:val="231F20"/>
          <w:spacing w:val="-3"/>
          <w:vertAlign w:val="baseline"/>
        </w:rPr>
        <w:t> </w:t>
      </w:r>
      <w:r>
        <w:rPr>
          <w:color w:val="231F20"/>
          <w:vertAlign w:val="baseline"/>
        </w:rPr>
        <w:t>HIV</w:t>
      </w:r>
    </w:p>
    <w:p>
      <w:pPr>
        <w:spacing w:line="228" w:lineRule="auto" w:before="0"/>
        <w:ind w:left="519" w:right="58" w:firstLine="0"/>
        <w:jc w:val="left"/>
        <w:rPr>
          <w:sz w:val="22"/>
        </w:rPr>
      </w:pPr>
      <w:r>
        <w:rPr>
          <w:color w:val="231F20"/>
          <w:sz w:val="22"/>
        </w:rPr>
        <w:t>transmission risk behaviors. </w:t>
      </w:r>
      <w:r>
        <w:rPr>
          <w:i/>
          <w:color w:val="231F20"/>
          <w:sz w:val="22"/>
        </w:rPr>
        <w:t>Journal of Psychoactive</w:t>
      </w:r>
      <w:r>
        <w:rPr>
          <w:i/>
          <w:color w:val="231F20"/>
          <w:spacing w:val="-52"/>
          <w:sz w:val="22"/>
        </w:rPr>
        <w:t> </w:t>
      </w:r>
      <w:r>
        <w:rPr>
          <w:i/>
          <w:color w:val="231F20"/>
          <w:sz w:val="22"/>
        </w:rPr>
        <w:t>Drugs,</w:t>
      </w:r>
      <w:r>
        <w:rPr>
          <w:i/>
          <w:color w:val="231F20"/>
          <w:spacing w:val="-4"/>
          <w:sz w:val="22"/>
        </w:rPr>
        <w:t> </w:t>
      </w:r>
      <w:r>
        <w:rPr>
          <w:i/>
          <w:color w:val="231F20"/>
          <w:sz w:val="22"/>
        </w:rPr>
        <w:t>48</w:t>
      </w:r>
      <w:r>
        <w:rPr>
          <w:color w:val="231F20"/>
          <w:sz w:val="22"/>
        </w:rPr>
        <w:t>(3),</w:t>
      </w:r>
      <w:r>
        <w:rPr>
          <w:color w:val="231F20"/>
          <w:spacing w:val="-3"/>
          <w:sz w:val="22"/>
        </w:rPr>
        <w:t> </w:t>
      </w:r>
      <w:r>
        <w:rPr>
          <w:color w:val="231F20"/>
          <w:sz w:val="22"/>
        </w:rPr>
        <w:t>187-194.</w:t>
      </w:r>
      <w:r>
        <w:rPr>
          <w:color w:val="231F20"/>
          <w:spacing w:val="-2"/>
          <w:sz w:val="22"/>
        </w:rPr>
        <w:t> </w:t>
      </w:r>
      <w:hyperlink r:id="rId80">
        <w:r>
          <w:rPr>
            <w:color w:val="3953A4"/>
            <w:sz w:val="22"/>
            <w:u w:val="single" w:color="3953A4"/>
          </w:rPr>
          <w:t>https://doi.org/10.1080/0279</w:t>
        </w:r>
      </w:hyperlink>
    </w:p>
    <w:p>
      <w:pPr>
        <w:pStyle w:val="BodyText"/>
        <w:spacing w:line="242" w:lineRule="exact"/>
        <w:ind w:left="519"/>
      </w:pPr>
      <w:hyperlink r:id="rId80">
        <w:r>
          <w:rPr>
            <w:color w:val="3953A4"/>
            <w:u w:val="single" w:color="3953A4"/>
          </w:rPr>
          <w:t>1072.2016.1187319</w:t>
        </w:r>
      </w:hyperlink>
    </w:p>
    <w:p>
      <w:pPr>
        <w:pStyle w:val="BodyText"/>
        <w:tabs>
          <w:tab w:pos="519" w:val="left" w:leader="none"/>
        </w:tabs>
        <w:spacing w:line="228" w:lineRule="auto" w:before="86"/>
        <w:ind w:left="519" w:right="88" w:hanging="360"/>
      </w:pPr>
      <w:r>
        <w:rPr>
          <w:color w:val="231F20"/>
          <w:vertAlign w:val="superscript"/>
        </w:rPr>
        <w:t>43</w:t>
      </w:r>
      <w:r>
        <w:rPr>
          <w:color w:val="231F20"/>
          <w:vertAlign w:val="baseline"/>
        </w:rPr>
        <w:tab/>
      </w:r>
      <w:r>
        <w:rPr>
          <w:color w:val="231F20"/>
          <w:spacing w:val="-1"/>
          <w:vertAlign w:val="baseline"/>
        </w:rPr>
        <w:t>Lemons, A., DeGroote, N., Perez, A., Craw, J.,</w:t>
      </w:r>
      <w:r>
        <w:rPr>
          <w:color w:val="231F20"/>
          <w:vertAlign w:val="baseline"/>
        </w:rPr>
        <w:t> Nyaku, M., Broz, D., Mattson, C. L., &amp; Beer, L.</w:t>
      </w:r>
      <w:r>
        <w:rPr>
          <w:color w:val="231F20"/>
          <w:spacing w:val="1"/>
          <w:vertAlign w:val="baseline"/>
        </w:rPr>
        <w:t> </w:t>
      </w:r>
      <w:r>
        <w:rPr>
          <w:color w:val="231F20"/>
          <w:vertAlign w:val="baseline"/>
        </w:rPr>
        <w:t>(2019).</w:t>
      </w:r>
      <w:r>
        <w:rPr>
          <w:color w:val="231F20"/>
          <w:spacing w:val="-5"/>
          <w:vertAlign w:val="baseline"/>
        </w:rPr>
        <w:t> </w:t>
      </w:r>
      <w:r>
        <w:rPr>
          <w:color w:val="231F20"/>
          <w:vertAlign w:val="baseline"/>
        </w:rPr>
        <w:t>Opioid</w:t>
      </w:r>
      <w:r>
        <w:rPr>
          <w:color w:val="231F20"/>
          <w:spacing w:val="-5"/>
          <w:vertAlign w:val="baseline"/>
        </w:rPr>
        <w:t> </w:t>
      </w:r>
      <w:r>
        <w:rPr>
          <w:color w:val="231F20"/>
          <w:vertAlign w:val="baseline"/>
        </w:rPr>
        <w:t>misuse</w:t>
      </w:r>
      <w:r>
        <w:rPr>
          <w:color w:val="231F20"/>
          <w:spacing w:val="-5"/>
          <w:vertAlign w:val="baseline"/>
        </w:rPr>
        <w:t> </w:t>
      </w:r>
      <w:r>
        <w:rPr>
          <w:color w:val="231F20"/>
          <w:vertAlign w:val="baseline"/>
        </w:rPr>
        <w:t>among</w:t>
      </w:r>
      <w:r>
        <w:rPr>
          <w:color w:val="231F20"/>
          <w:spacing w:val="-4"/>
          <w:vertAlign w:val="baseline"/>
        </w:rPr>
        <w:t> </w:t>
      </w:r>
      <w:r>
        <w:rPr>
          <w:color w:val="231F20"/>
          <w:vertAlign w:val="baseline"/>
        </w:rPr>
        <w:t>HIV-positive</w:t>
      </w:r>
      <w:r>
        <w:rPr>
          <w:color w:val="231F20"/>
          <w:spacing w:val="-5"/>
          <w:vertAlign w:val="baseline"/>
        </w:rPr>
        <w:t> </w:t>
      </w:r>
      <w:r>
        <w:rPr>
          <w:color w:val="231F20"/>
          <w:vertAlign w:val="baseline"/>
        </w:rPr>
        <w:t>adults</w:t>
      </w:r>
      <w:r>
        <w:rPr>
          <w:color w:val="231F20"/>
          <w:spacing w:val="-4"/>
          <w:vertAlign w:val="baseline"/>
        </w:rPr>
        <w:t> </w:t>
      </w:r>
      <w:r>
        <w:rPr>
          <w:color w:val="231F20"/>
          <w:vertAlign w:val="baseline"/>
        </w:rPr>
        <w:t>in</w:t>
      </w:r>
      <w:r>
        <w:rPr>
          <w:color w:val="231F20"/>
          <w:spacing w:val="-52"/>
          <w:vertAlign w:val="baseline"/>
        </w:rPr>
        <w:t> </w:t>
      </w:r>
      <w:r>
        <w:rPr>
          <w:color w:val="231F20"/>
          <w:vertAlign w:val="baseline"/>
        </w:rPr>
        <w:t>medical care: Results from the medical monitoring</w:t>
      </w:r>
      <w:r>
        <w:rPr>
          <w:color w:val="231F20"/>
          <w:spacing w:val="1"/>
          <w:vertAlign w:val="baseline"/>
        </w:rPr>
        <w:t> </w:t>
      </w:r>
      <w:r>
        <w:rPr>
          <w:color w:val="231F20"/>
          <w:vertAlign w:val="baseline"/>
        </w:rPr>
        <w:t>project, 2009-2014. </w:t>
      </w:r>
      <w:r>
        <w:rPr>
          <w:i/>
          <w:color w:val="231F20"/>
          <w:vertAlign w:val="baseline"/>
        </w:rPr>
        <w:t>Journal of Acquired Immune</w:t>
      </w:r>
      <w:r>
        <w:rPr>
          <w:i/>
          <w:color w:val="231F20"/>
          <w:spacing w:val="1"/>
          <w:vertAlign w:val="baseline"/>
        </w:rPr>
        <w:t> </w:t>
      </w:r>
      <w:r>
        <w:rPr>
          <w:i/>
          <w:color w:val="231F20"/>
          <w:vertAlign w:val="baseline"/>
        </w:rPr>
        <w:t>Deficiency Syndromes (JAIDS), 80</w:t>
      </w:r>
      <w:r>
        <w:rPr>
          <w:color w:val="231F20"/>
          <w:vertAlign w:val="baseline"/>
        </w:rPr>
        <w:t>(2), 127-134.</w:t>
      </w:r>
      <w:r>
        <w:rPr>
          <w:color w:val="231F20"/>
          <w:spacing w:val="1"/>
          <w:vertAlign w:val="baseline"/>
        </w:rPr>
        <w:t> </w:t>
      </w:r>
      <w:hyperlink r:id="rId81">
        <w:r>
          <w:rPr>
            <w:color w:val="3953A4"/>
            <w:u w:val="single" w:color="3953A4"/>
            <w:vertAlign w:val="baseline"/>
          </w:rPr>
          <w:t>https://doi.org/10.1097/QAI.0000000000001889</w:t>
        </w:r>
      </w:hyperlink>
    </w:p>
    <w:p>
      <w:pPr>
        <w:pStyle w:val="BodyText"/>
        <w:tabs>
          <w:tab w:pos="519" w:val="left" w:leader="none"/>
        </w:tabs>
        <w:spacing w:line="228" w:lineRule="auto" w:before="88"/>
        <w:ind w:left="519" w:right="647" w:hanging="360"/>
      </w:pPr>
      <w:r>
        <w:rPr>
          <w:color w:val="231F20"/>
          <w:vertAlign w:val="superscript"/>
        </w:rPr>
        <w:t>44</w:t>
      </w:r>
      <w:r>
        <w:rPr>
          <w:color w:val="231F20"/>
          <w:vertAlign w:val="baseline"/>
        </w:rPr>
        <w:tab/>
      </w:r>
      <w:r>
        <w:rPr>
          <w:color w:val="231F20"/>
          <w:spacing w:val="-2"/>
          <w:vertAlign w:val="baseline"/>
        </w:rPr>
        <w:t>Yeon, P., &amp; Albrecht, H.. </w:t>
      </w:r>
      <w:r>
        <w:rPr>
          <w:color w:val="231F20"/>
          <w:spacing w:val="-1"/>
          <w:vertAlign w:val="baseline"/>
        </w:rPr>
        <w:t>(2007). Crystal meth</w:t>
      </w:r>
      <w:r>
        <w:rPr>
          <w:color w:val="231F20"/>
          <w:spacing w:val="-52"/>
          <w:vertAlign w:val="baseline"/>
        </w:rPr>
        <w:t> </w:t>
      </w:r>
      <w:r>
        <w:rPr>
          <w:color w:val="231F20"/>
          <w:vertAlign w:val="baseline"/>
        </w:rPr>
        <w:t>and HIV/AIDS: The perfect storm. </w:t>
      </w:r>
      <w:r>
        <w:rPr>
          <w:i/>
          <w:color w:val="231F20"/>
          <w:vertAlign w:val="baseline"/>
        </w:rPr>
        <w:t>NEJM</w:t>
      </w:r>
      <w:r>
        <w:rPr>
          <w:i/>
          <w:color w:val="231F20"/>
          <w:spacing w:val="1"/>
          <w:vertAlign w:val="baseline"/>
        </w:rPr>
        <w:t> </w:t>
      </w:r>
      <w:r>
        <w:rPr>
          <w:i/>
          <w:color w:val="231F20"/>
          <w:vertAlign w:val="baseline"/>
        </w:rPr>
        <w:t>Journal</w:t>
      </w:r>
      <w:r>
        <w:rPr>
          <w:i/>
          <w:color w:val="231F20"/>
          <w:spacing w:val="-4"/>
          <w:vertAlign w:val="baseline"/>
        </w:rPr>
        <w:t> </w:t>
      </w:r>
      <w:r>
        <w:rPr>
          <w:i/>
          <w:color w:val="231F20"/>
          <w:vertAlign w:val="baseline"/>
        </w:rPr>
        <w:t>Watch</w:t>
      </w:r>
      <w:r>
        <w:rPr>
          <w:color w:val="231F20"/>
          <w:vertAlign w:val="baseline"/>
        </w:rPr>
        <w:t>.</w:t>
      </w:r>
      <w:r>
        <w:rPr>
          <w:color w:val="231F20"/>
          <w:spacing w:val="-3"/>
          <w:vertAlign w:val="baseline"/>
        </w:rPr>
        <w:t> </w:t>
      </w:r>
      <w:hyperlink r:id="rId82">
        <w:r>
          <w:rPr>
            <w:color w:val="3953A4"/>
            <w:u w:val="single" w:color="3953A4"/>
            <w:vertAlign w:val="baseline"/>
          </w:rPr>
          <w:t>https://www.jwatch.org/</w:t>
        </w:r>
      </w:hyperlink>
    </w:p>
    <w:p>
      <w:pPr>
        <w:pStyle w:val="BodyText"/>
        <w:spacing w:line="228" w:lineRule="auto"/>
        <w:ind w:left="519" w:right="183"/>
      </w:pPr>
      <w:hyperlink r:id="rId82">
        <w:r>
          <w:rPr>
            <w:color w:val="3953A4"/>
            <w:u w:val="single" w:color="3953A4"/>
          </w:rPr>
          <w:t>ac200712030000001/2007/12/03/crystal-meth-and-</w:t>
        </w:r>
      </w:hyperlink>
      <w:r>
        <w:rPr>
          <w:color w:val="3953A4"/>
          <w:spacing w:val="-52"/>
        </w:rPr>
        <w:t> </w:t>
      </w:r>
      <w:hyperlink r:id="rId82">
        <w:r>
          <w:rPr>
            <w:color w:val="3953A4"/>
            <w:u w:val="single" w:color="3953A4"/>
          </w:rPr>
          <w:t>hiv-aids-perfect-storm</w:t>
        </w:r>
      </w:hyperlink>
    </w:p>
    <w:p>
      <w:pPr>
        <w:tabs>
          <w:tab w:pos="519" w:val="left" w:leader="none"/>
        </w:tabs>
        <w:spacing w:line="228" w:lineRule="auto" w:before="88"/>
        <w:ind w:left="519" w:right="572" w:hanging="360"/>
        <w:jc w:val="left"/>
        <w:rPr>
          <w:sz w:val="22"/>
        </w:rPr>
      </w:pPr>
      <w:r>
        <w:rPr>
          <w:color w:val="231F20"/>
          <w:sz w:val="22"/>
          <w:vertAlign w:val="superscript"/>
        </w:rPr>
        <w:t>45</w:t>
      </w:r>
      <w:r>
        <w:rPr>
          <w:color w:val="231F20"/>
          <w:sz w:val="22"/>
          <w:vertAlign w:val="baseline"/>
        </w:rPr>
        <w:tab/>
      </w:r>
      <w:r>
        <w:rPr>
          <w:color w:val="231F20"/>
          <w:spacing w:val="-1"/>
          <w:sz w:val="22"/>
          <w:vertAlign w:val="baseline"/>
        </w:rPr>
        <w:t>Health</w:t>
      </w:r>
      <w:r>
        <w:rPr>
          <w:color w:val="231F20"/>
          <w:spacing w:val="2"/>
          <w:sz w:val="22"/>
          <w:vertAlign w:val="baseline"/>
        </w:rPr>
        <w:t> </w:t>
      </w:r>
      <w:r>
        <w:rPr>
          <w:color w:val="231F20"/>
          <w:spacing w:val="-1"/>
          <w:sz w:val="22"/>
          <w:vertAlign w:val="baseline"/>
        </w:rPr>
        <w:t>Resources</w:t>
      </w:r>
      <w:r>
        <w:rPr>
          <w:color w:val="231F20"/>
          <w:spacing w:val="3"/>
          <w:sz w:val="22"/>
          <w:vertAlign w:val="baseline"/>
        </w:rPr>
        <w:t> </w:t>
      </w:r>
      <w:r>
        <w:rPr>
          <w:color w:val="231F20"/>
          <w:spacing w:val="-1"/>
          <w:sz w:val="22"/>
          <w:vertAlign w:val="baseline"/>
        </w:rPr>
        <w:t>and</w:t>
      </w:r>
      <w:r>
        <w:rPr>
          <w:color w:val="231F20"/>
          <w:spacing w:val="3"/>
          <w:sz w:val="22"/>
          <w:vertAlign w:val="baseline"/>
        </w:rPr>
        <w:t> </w:t>
      </w:r>
      <w:r>
        <w:rPr>
          <w:color w:val="231F20"/>
          <w:spacing w:val="-1"/>
          <w:sz w:val="22"/>
          <w:vertAlign w:val="baseline"/>
        </w:rPr>
        <w:t>Services</w:t>
      </w:r>
      <w:r>
        <w:rPr>
          <w:color w:val="231F20"/>
          <w:spacing w:val="-10"/>
          <w:sz w:val="22"/>
          <w:vertAlign w:val="baseline"/>
        </w:rPr>
        <w:t> </w:t>
      </w:r>
      <w:r>
        <w:rPr>
          <w:color w:val="231F20"/>
          <w:spacing w:val="-1"/>
          <w:sz w:val="22"/>
          <w:vertAlign w:val="baseline"/>
        </w:rPr>
        <w:t>Administration.</w:t>
      </w:r>
      <w:r>
        <w:rPr>
          <w:color w:val="231F20"/>
          <w:spacing w:val="-52"/>
          <w:sz w:val="22"/>
          <w:vertAlign w:val="baseline"/>
        </w:rPr>
        <w:t> </w:t>
      </w:r>
      <w:r>
        <w:rPr>
          <w:color w:val="231F20"/>
          <w:sz w:val="22"/>
          <w:vertAlign w:val="baseline"/>
        </w:rPr>
        <w:t>(2009, June). </w:t>
      </w:r>
      <w:r>
        <w:rPr>
          <w:i/>
          <w:color w:val="231F20"/>
          <w:sz w:val="22"/>
          <w:vertAlign w:val="baseline"/>
        </w:rPr>
        <w:t>HRSA CARE Action:</w:t>
      </w:r>
      <w:r>
        <w:rPr>
          <w:i/>
          <w:color w:val="231F20"/>
          <w:spacing w:val="1"/>
          <w:sz w:val="22"/>
          <w:vertAlign w:val="baseline"/>
        </w:rPr>
        <w:t> </w:t>
      </w:r>
      <w:r>
        <w:rPr>
          <w:i/>
          <w:color w:val="231F20"/>
          <w:sz w:val="22"/>
          <w:vertAlign w:val="baseline"/>
        </w:rPr>
        <w:t>Methamphetamine and HIV. </w:t>
      </w:r>
      <w:hyperlink r:id="rId83">
        <w:r>
          <w:rPr>
            <w:color w:val="3953A4"/>
            <w:sz w:val="22"/>
            <w:u w:val="single" w:color="3953A4"/>
            <w:vertAlign w:val="baseline"/>
          </w:rPr>
          <w:t>https://hab.</w:t>
        </w:r>
      </w:hyperlink>
      <w:r>
        <w:rPr>
          <w:color w:val="3953A4"/>
          <w:spacing w:val="1"/>
          <w:sz w:val="22"/>
          <w:vertAlign w:val="baseline"/>
        </w:rPr>
        <w:t> </w:t>
      </w:r>
      <w:hyperlink r:id="rId83">
        <w:r>
          <w:rPr>
            <w:color w:val="3953A4"/>
            <w:sz w:val="22"/>
            <w:u w:val="single" w:color="3953A4"/>
            <w:vertAlign w:val="baseline"/>
          </w:rPr>
          <w:t>hrsa.gov/sites/default/files/hab/Publications/</w:t>
        </w:r>
      </w:hyperlink>
      <w:r>
        <w:rPr>
          <w:color w:val="3953A4"/>
          <w:spacing w:val="1"/>
          <w:sz w:val="22"/>
          <w:vertAlign w:val="baseline"/>
        </w:rPr>
        <w:t> </w:t>
      </w:r>
      <w:hyperlink r:id="rId83">
        <w:r>
          <w:rPr>
            <w:color w:val="3953A4"/>
            <w:sz w:val="22"/>
            <w:u w:val="single" w:color="3953A4"/>
            <w:vertAlign w:val="baseline"/>
          </w:rPr>
          <w:t>careactionnewsletter/june2009.pdf</w:t>
        </w:r>
      </w:hyperlink>
    </w:p>
    <w:p>
      <w:pPr>
        <w:tabs>
          <w:tab w:pos="519" w:val="left" w:leader="none"/>
        </w:tabs>
        <w:spacing w:line="228" w:lineRule="auto" w:before="89"/>
        <w:ind w:left="519" w:right="178" w:hanging="360"/>
        <w:jc w:val="left"/>
        <w:rPr>
          <w:sz w:val="22"/>
        </w:rPr>
      </w:pPr>
      <w:r>
        <w:rPr>
          <w:color w:val="231F20"/>
          <w:sz w:val="22"/>
          <w:vertAlign w:val="superscript"/>
        </w:rPr>
        <w:t>46</w:t>
      </w:r>
      <w:r>
        <w:rPr>
          <w:color w:val="231F20"/>
          <w:sz w:val="22"/>
          <w:vertAlign w:val="baseline"/>
        </w:rPr>
        <w:tab/>
      </w:r>
      <w:r>
        <w:rPr>
          <w:color w:val="231F20"/>
          <w:spacing w:val="-5"/>
          <w:sz w:val="22"/>
          <w:vertAlign w:val="baseline"/>
        </w:rPr>
        <w:t>Drug</w:t>
      </w:r>
      <w:r>
        <w:rPr>
          <w:color w:val="231F20"/>
          <w:spacing w:val="-8"/>
          <w:sz w:val="22"/>
          <w:vertAlign w:val="baseline"/>
        </w:rPr>
        <w:t> </w:t>
      </w:r>
      <w:r>
        <w:rPr>
          <w:color w:val="231F20"/>
          <w:spacing w:val="-4"/>
          <w:sz w:val="22"/>
          <w:vertAlign w:val="baseline"/>
        </w:rPr>
        <w:t>Enforcement</w:t>
      </w:r>
      <w:r>
        <w:rPr>
          <w:color w:val="231F20"/>
          <w:spacing w:val="-20"/>
          <w:sz w:val="22"/>
          <w:vertAlign w:val="baseline"/>
        </w:rPr>
        <w:t> </w:t>
      </w:r>
      <w:r>
        <w:rPr>
          <w:color w:val="231F20"/>
          <w:spacing w:val="-4"/>
          <w:sz w:val="22"/>
          <w:vertAlign w:val="baseline"/>
        </w:rPr>
        <w:t>Agency</w:t>
      </w:r>
      <w:r>
        <w:rPr>
          <w:color w:val="231F20"/>
          <w:spacing w:val="-7"/>
          <w:sz w:val="22"/>
          <w:vertAlign w:val="baseline"/>
        </w:rPr>
        <w:t> </w:t>
      </w:r>
      <w:r>
        <w:rPr>
          <w:color w:val="231F20"/>
          <w:spacing w:val="-4"/>
          <w:sz w:val="22"/>
          <w:vertAlign w:val="baseline"/>
        </w:rPr>
        <w:t>Houston</w:t>
      </w:r>
      <w:r>
        <w:rPr>
          <w:color w:val="231F20"/>
          <w:spacing w:val="-8"/>
          <w:sz w:val="22"/>
          <w:vertAlign w:val="baseline"/>
        </w:rPr>
        <w:t> </w:t>
      </w:r>
      <w:r>
        <w:rPr>
          <w:color w:val="231F20"/>
          <w:spacing w:val="-4"/>
          <w:sz w:val="22"/>
          <w:vertAlign w:val="baseline"/>
        </w:rPr>
        <w:t>Division.</w:t>
      </w:r>
      <w:r>
        <w:rPr>
          <w:color w:val="231F20"/>
          <w:spacing w:val="-8"/>
          <w:sz w:val="22"/>
          <w:vertAlign w:val="baseline"/>
        </w:rPr>
        <w:t> </w:t>
      </w:r>
      <w:r>
        <w:rPr>
          <w:color w:val="231F20"/>
          <w:spacing w:val="-4"/>
          <w:sz w:val="22"/>
          <w:vertAlign w:val="baseline"/>
        </w:rPr>
        <w:t>(2017).</w:t>
      </w:r>
      <w:r>
        <w:rPr>
          <w:color w:val="231F20"/>
          <w:spacing w:val="-52"/>
          <w:sz w:val="22"/>
          <w:vertAlign w:val="baseline"/>
        </w:rPr>
        <w:t> </w:t>
      </w:r>
      <w:r>
        <w:rPr>
          <w:i/>
          <w:color w:val="231F20"/>
          <w:spacing w:val="-5"/>
          <w:sz w:val="22"/>
          <w:vertAlign w:val="baseline"/>
        </w:rPr>
        <w:t>DEA </w:t>
      </w:r>
      <w:r>
        <w:rPr>
          <w:i/>
          <w:color w:val="231F20"/>
          <w:spacing w:val="-4"/>
          <w:sz w:val="22"/>
          <w:vertAlign w:val="baseline"/>
        </w:rPr>
        <w:t>intelligence report: Drug slang code words.</w:t>
      </w:r>
      <w:r>
        <w:rPr>
          <w:i/>
          <w:color w:val="231F20"/>
          <w:spacing w:val="-3"/>
          <w:sz w:val="22"/>
          <w:vertAlign w:val="baseline"/>
        </w:rPr>
        <w:t> </w:t>
      </w:r>
      <w:hyperlink r:id="rId84">
        <w:r>
          <w:rPr>
            <w:color w:val="3953A4"/>
            <w:spacing w:val="-4"/>
            <w:sz w:val="22"/>
            <w:u w:val="single" w:color="3953A4"/>
            <w:vertAlign w:val="baseline"/>
          </w:rPr>
          <w:t>https://www.dea.gov/sites/default/files/2018-07/DIR-</w:t>
        </w:r>
      </w:hyperlink>
      <w:r>
        <w:rPr>
          <w:color w:val="3953A4"/>
          <w:spacing w:val="-52"/>
          <w:sz w:val="22"/>
          <w:vertAlign w:val="baseline"/>
        </w:rPr>
        <w:t> </w:t>
      </w:r>
      <w:hyperlink r:id="rId84">
        <w:r>
          <w:rPr>
            <w:color w:val="3953A4"/>
            <w:spacing w:val="-3"/>
            <w:sz w:val="22"/>
            <w:u w:val="single" w:color="3953A4"/>
            <w:vertAlign w:val="baseline"/>
          </w:rPr>
          <w:t>020-17%20Drug%20Slang%20Code%20Words.pdf</w:t>
        </w:r>
      </w:hyperlink>
    </w:p>
    <w:p>
      <w:pPr>
        <w:pStyle w:val="BodyText"/>
        <w:tabs>
          <w:tab w:pos="519" w:val="left" w:leader="none"/>
        </w:tabs>
        <w:spacing w:line="228" w:lineRule="auto" w:before="88"/>
        <w:ind w:left="519" w:right="215" w:hanging="360"/>
      </w:pPr>
      <w:r>
        <w:rPr>
          <w:color w:val="231F20"/>
          <w:vertAlign w:val="superscript"/>
        </w:rPr>
        <w:t>47</w:t>
      </w:r>
      <w:r>
        <w:rPr>
          <w:color w:val="231F20"/>
          <w:vertAlign w:val="baseline"/>
        </w:rPr>
        <w:tab/>
        <w:t>Grov, C., Kelly, B. C., &amp; Parsons, J. T. (2009).</w:t>
      </w:r>
      <w:r>
        <w:rPr>
          <w:color w:val="231F20"/>
          <w:spacing w:val="1"/>
          <w:vertAlign w:val="baseline"/>
        </w:rPr>
        <w:t> </w:t>
      </w:r>
      <w:r>
        <w:rPr>
          <w:color w:val="231F20"/>
          <w:vertAlign w:val="baseline"/>
        </w:rPr>
        <w:t>Polydrug use among club-going young adults</w:t>
      </w:r>
      <w:r>
        <w:rPr>
          <w:color w:val="231F20"/>
          <w:spacing w:val="1"/>
          <w:vertAlign w:val="baseline"/>
        </w:rPr>
        <w:t> </w:t>
      </w:r>
      <w:r>
        <w:rPr>
          <w:color w:val="231F20"/>
          <w:vertAlign w:val="baseline"/>
        </w:rPr>
        <w:t>recruited through time-space sampling. </w:t>
      </w:r>
      <w:r>
        <w:rPr>
          <w:i/>
          <w:color w:val="231F20"/>
          <w:vertAlign w:val="baseline"/>
        </w:rPr>
        <w:t>Journal of</w:t>
      </w:r>
      <w:r>
        <w:rPr>
          <w:i/>
          <w:color w:val="231F20"/>
          <w:spacing w:val="1"/>
          <w:vertAlign w:val="baseline"/>
        </w:rPr>
        <w:t> </w:t>
      </w:r>
      <w:r>
        <w:rPr>
          <w:i/>
          <w:color w:val="231F20"/>
          <w:vertAlign w:val="baseline"/>
        </w:rPr>
        <w:t>Substance Use and Misuse, 44</w:t>
      </w:r>
      <w:r>
        <w:rPr>
          <w:color w:val="231F20"/>
          <w:vertAlign w:val="baseline"/>
        </w:rPr>
        <w:t>(6), 848-864. </w:t>
      </w:r>
      <w:hyperlink r:id="rId85">
        <w:r>
          <w:rPr>
            <w:color w:val="3953A4"/>
            <w:u w:val="single" w:color="3953A4"/>
            <w:vertAlign w:val="baseline"/>
          </w:rPr>
          <w:t>https://</w:t>
        </w:r>
      </w:hyperlink>
      <w:r>
        <w:rPr>
          <w:color w:val="3953A4"/>
          <w:spacing w:val="-52"/>
          <w:vertAlign w:val="baseline"/>
        </w:rPr>
        <w:t> </w:t>
      </w:r>
      <w:hyperlink r:id="rId85">
        <w:r>
          <w:rPr>
            <w:color w:val="3953A4"/>
            <w:u w:val="single" w:color="3953A4"/>
            <w:vertAlign w:val="baseline"/>
          </w:rPr>
          <w:t>doi.org/10.1080/10826080802484702</w:t>
        </w:r>
      </w:hyperlink>
    </w:p>
    <w:p>
      <w:pPr>
        <w:pStyle w:val="BodyText"/>
        <w:tabs>
          <w:tab w:pos="519" w:val="left" w:leader="none"/>
        </w:tabs>
        <w:spacing w:line="228" w:lineRule="auto" w:before="89"/>
        <w:ind w:left="519" w:right="355" w:hanging="360"/>
      </w:pPr>
      <w:r>
        <w:rPr>
          <w:color w:val="231F20"/>
          <w:vertAlign w:val="superscript"/>
        </w:rPr>
        <w:t>48</w:t>
      </w:r>
      <w:r>
        <w:rPr>
          <w:color w:val="231F20"/>
          <w:vertAlign w:val="baseline"/>
        </w:rPr>
        <w:tab/>
        <w:t>Mehrotra, M. L., Glidden, D. V., McMahan, V.,</w:t>
      </w:r>
      <w:r>
        <w:rPr>
          <w:color w:val="231F20"/>
          <w:spacing w:val="1"/>
          <w:vertAlign w:val="baseline"/>
        </w:rPr>
        <w:t> </w:t>
      </w:r>
      <w:r>
        <w:rPr>
          <w:color w:val="231F20"/>
          <w:vertAlign w:val="baseline"/>
        </w:rPr>
        <w:t>Amico,</w:t>
      </w:r>
      <w:r>
        <w:rPr>
          <w:color w:val="231F20"/>
          <w:spacing w:val="-10"/>
          <w:vertAlign w:val="baseline"/>
        </w:rPr>
        <w:t> </w:t>
      </w:r>
      <w:r>
        <w:rPr>
          <w:color w:val="231F20"/>
          <w:vertAlign w:val="baseline"/>
        </w:rPr>
        <w:t>K.</w:t>
      </w:r>
      <w:r>
        <w:rPr>
          <w:color w:val="231F20"/>
          <w:spacing w:val="-9"/>
          <w:vertAlign w:val="baseline"/>
        </w:rPr>
        <w:t> </w:t>
      </w:r>
      <w:r>
        <w:rPr>
          <w:color w:val="231F20"/>
          <w:vertAlign w:val="baseline"/>
        </w:rPr>
        <w:t>R.,</w:t>
      </w:r>
      <w:r>
        <w:rPr>
          <w:color w:val="231F20"/>
          <w:spacing w:val="-8"/>
          <w:vertAlign w:val="baseline"/>
        </w:rPr>
        <w:t> </w:t>
      </w:r>
      <w:r>
        <w:rPr>
          <w:color w:val="231F20"/>
          <w:vertAlign w:val="baseline"/>
        </w:rPr>
        <w:t>Hosek,</w:t>
      </w:r>
      <w:r>
        <w:rPr>
          <w:color w:val="231F20"/>
          <w:spacing w:val="-9"/>
          <w:vertAlign w:val="baseline"/>
        </w:rPr>
        <w:t> </w:t>
      </w:r>
      <w:r>
        <w:rPr>
          <w:color w:val="231F20"/>
          <w:vertAlign w:val="baseline"/>
        </w:rPr>
        <w:t>S.,</w:t>
      </w:r>
      <w:r>
        <w:rPr>
          <w:color w:val="231F20"/>
          <w:spacing w:val="-9"/>
          <w:vertAlign w:val="baseline"/>
        </w:rPr>
        <w:t> </w:t>
      </w:r>
      <w:r>
        <w:rPr>
          <w:color w:val="231F20"/>
          <w:vertAlign w:val="baseline"/>
        </w:rPr>
        <w:t>Defechereux,</w:t>
      </w:r>
      <w:r>
        <w:rPr>
          <w:color w:val="231F20"/>
          <w:spacing w:val="-9"/>
          <w:vertAlign w:val="baseline"/>
        </w:rPr>
        <w:t> </w:t>
      </w:r>
      <w:r>
        <w:rPr>
          <w:color w:val="231F20"/>
          <w:vertAlign w:val="baseline"/>
        </w:rPr>
        <w:t>P.,</w:t>
      </w:r>
      <w:r>
        <w:rPr>
          <w:color w:val="231F20"/>
          <w:spacing w:val="-8"/>
          <w:vertAlign w:val="baseline"/>
        </w:rPr>
        <w:t> </w:t>
      </w:r>
      <w:r>
        <w:rPr>
          <w:color w:val="231F20"/>
          <w:vertAlign w:val="baseline"/>
        </w:rPr>
        <w:t>Mayer,</w:t>
      </w:r>
    </w:p>
    <w:p>
      <w:pPr>
        <w:pStyle w:val="BodyText"/>
        <w:spacing w:line="228" w:lineRule="auto"/>
        <w:ind w:left="519" w:right="166"/>
      </w:pPr>
      <w:r>
        <w:rPr>
          <w:color w:val="231F20"/>
          <w:spacing w:val="-3"/>
        </w:rPr>
        <w:t>K.</w:t>
      </w:r>
      <w:r>
        <w:rPr>
          <w:color w:val="231F20"/>
        </w:rPr>
        <w:t> </w:t>
      </w:r>
      <w:r>
        <w:rPr>
          <w:color w:val="231F20"/>
          <w:spacing w:val="-3"/>
        </w:rPr>
        <w:t>H., Veloso, V.</w:t>
      </w:r>
      <w:r>
        <w:rPr>
          <w:color w:val="231F20"/>
          <w:spacing w:val="1"/>
        </w:rPr>
        <w:t> </w:t>
      </w:r>
      <w:r>
        <w:rPr>
          <w:color w:val="231F20"/>
          <w:spacing w:val="-3"/>
        </w:rPr>
        <w:t>G.,</w:t>
      </w:r>
      <w:r>
        <w:rPr>
          <w:color w:val="231F20"/>
        </w:rPr>
        <w:t> </w:t>
      </w:r>
      <w:r>
        <w:rPr>
          <w:color w:val="231F20"/>
          <w:spacing w:val="-3"/>
        </w:rPr>
        <w:t>Bekker,</w:t>
      </w:r>
      <w:r>
        <w:rPr>
          <w:color w:val="231F20"/>
          <w:spacing w:val="2"/>
        </w:rPr>
        <w:t> </w:t>
      </w:r>
      <w:r>
        <w:rPr>
          <w:color w:val="231F20"/>
          <w:spacing w:val="-3"/>
        </w:rPr>
        <w:t>L.,</w:t>
      </w:r>
      <w:r>
        <w:rPr>
          <w:color w:val="231F20"/>
          <w:spacing w:val="-12"/>
        </w:rPr>
        <w:t> </w:t>
      </w:r>
      <w:r>
        <w:rPr>
          <w:color w:val="231F20"/>
          <w:spacing w:val="-3"/>
        </w:rPr>
        <w:t>Avelino-Silva,</w:t>
      </w:r>
      <w:r>
        <w:rPr>
          <w:color w:val="231F20"/>
          <w:spacing w:val="-4"/>
        </w:rPr>
        <w:t> </w:t>
      </w:r>
      <w:r>
        <w:rPr>
          <w:color w:val="231F20"/>
          <w:spacing w:val="-2"/>
        </w:rPr>
        <w:t>V.</w:t>
      </w:r>
      <w:r>
        <w:rPr>
          <w:color w:val="231F20"/>
          <w:spacing w:val="-1"/>
        </w:rPr>
        <w:t> </w:t>
      </w:r>
      <w:r>
        <w:rPr>
          <w:color w:val="231F20"/>
        </w:rPr>
        <w:t>I.,</w:t>
      </w:r>
      <w:r>
        <w:rPr>
          <w:color w:val="231F20"/>
          <w:spacing w:val="-4"/>
        </w:rPr>
        <w:t> </w:t>
      </w:r>
      <w:r>
        <w:rPr>
          <w:color w:val="231F20"/>
        </w:rPr>
        <w:t>Schechter,</w:t>
      </w:r>
      <w:r>
        <w:rPr>
          <w:color w:val="231F20"/>
          <w:spacing w:val="-3"/>
        </w:rPr>
        <w:t> </w:t>
      </w:r>
      <w:r>
        <w:rPr>
          <w:color w:val="231F20"/>
        </w:rPr>
        <w:t>M.,</w:t>
      </w:r>
      <w:r>
        <w:rPr>
          <w:color w:val="231F20"/>
          <w:spacing w:val="-4"/>
        </w:rPr>
        <w:t> </w:t>
      </w:r>
      <w:r>
        <w:rPr>
          <w:color w:val="231F20"/>
        </w:rPr>
        <w:t>&amp;</w:t>
      </w:r>
      <w:r>
        <w:rPr>
          <w:color w:val="231F20"/>
          <w:spacing w:val="-3"/>
        </w:rPr>
        <w:t> </w:t>
      </w:r>
      <w:r>
        <w:rPr>
          <w:color w:val="231F20"/>
        </w:rPr>
        <w:t>Grant,</w:t>
      </w:r>
      <w:r>
        <w:rPr>
          <w:color w:val="231F20"/>
          <w:spacing w:val="-5"/>
        </w:rPr>
        <w:t> </w:t>
      </w:r>
      <w:r>
        <w:rPr>
          <w:color w:val="231F20"/>
        </w:rPr>
        <w:t>R.</w:t>
      </w:r>
      <w:r>
        <w:rPr>
          <w:color w:val="231F20"/>
          <w:spacing w:val="-3"/>
        </w:rPr>
        <w:t> </w:t>
      </w:r>
      <w:r>
        <w:rPr>
          <w:color w:val="231F20"/>
        </w:rPr>
        <w:t>M.</w:t>
      </w:r>
      <w:r>
        <w:rPr>
          <w:color w:val="231F20"/>
          <w:spacing w:val="-4"/>
        </w:rPr>
        <w:t> </w:t>
      </w:r>
      <w:r>
        <w:rPr>
          <w:color w:val="231F20"/>
        </w:rPr>
        <w:t>(2016).</w:t>
      </w:r>
      <w:r>
        <w:rPr>
          <w:color w:val="231F20"/>
          <w:spacing w:val="-7"/>
        </w:rPr>
        <w:t> </w:t>
      </w:r>
      <w:r>
        <w:rPr>
          <w:color w:val="231F20"/>
        </w:rPr>
        <w:t>The</w:t>
      </w:r>
      <w:r>
        <w:rPr>
          <w:color w:val="231F20"/>
          <w:spacing w:val="-3"/>
        </w:rPr>
        <w:t> </w:t>
      </w:r>
      <w:r>
        <w:rPr>
          <w:color w:val="231F20"/>
        </w:rPr>
        <w:t>effect</w:t>
      </w:r>
      <w:r>
        <w:rPr>
          <w:color w:val="231F20"/>
          <w:spacing w:val="-52"/>
        </w:rPr>
        <w:t> </w:t>
      </w:r>
      <w:r>
        <w:rPr>
          <w:color w:val="231F20"/>
        </w:rPr>
        <w:t>of</w:t>
      </w:r>
      <w:r>
        <w:rPr>
          <w:color w:val="231F20"/>
          <w:spacing w:val="-1"/>
        </w:rPr>
        <w:t> </w:t>
      </w:r>
      <w:r>
        <w:rPr>
          <w:color w:val="231F20"/>
        </w:rPr>
        <w:t>depressive</w:t>
      </w:r>
      <w:r>
        <w:rPr>
          <w:color w:val="231F20"/>
          <w:spacing w:val="-1"/>
        </w:rPr>
        <w:t> </w:t>
      </w:r>
      <w:r>
        <w:rPr>
          <w:color w:val="231F20"/>
        </w:rPr>
        <w:t>symptoms</w:t>
      </w:r>
      <w:r>
        <w:rPr>
          <w:color w:val="231F20"/>
          <w:spacing w:val="-2"/>
        </w:rPr>
        <w:t> </w:t>
      </w:r>
      <w:r>
        <w:rPr>
          <w:color w:val="231F20"/>
        </w:rPr>
        <w:t>on</w:t>
      </w:r>
      <w:r>
        <w:rPr>
          <w:color w:val="231F20"/>
          <w:spacing w:val="-1"/>
        </w:rPr>
        <w:t> </w:t>
      </w:r>
      <w:r>
        <w:rPr>
          <w:color w:val="231F20"/>
        </w:rPr>
        <w:t>adherence to</w:t>
      </w:r>
      <w:r>
        <w:rPr>
          <w:color w:val="231F20"/>
          <w:spacing w:val="-1"/>
        </w:rPr>
        <w:t> </w:t>
      </w:r>
      <w:r>
        <w:rPr>
          <w:color w:val="231F20"/>
        </w:rPr>
        <w:t>daily</w:t>
      </w:r>
      <w:r>
        <w:rPr>
          <w:color w:val="231F20"/>
          <w:spacing w:val="-1"/>
        </w:rPr>
        <w:t> </w:t>
      </w:r>
      <w:r>
        <w:rPr>
          <w:color w:val="231F20"/>
        </w:rPr>
        <w:t>oral</w:t>
      </w:r>
    </w:p>
    <w:p>
      <w:pPr>
        <w:pStyle w:val="BodyText"/>
        <w:spacing w:line="242" w:lineRule="exact"/>
        <w:ind w:left="519"/>
      </w:pPr>
      <w:r>
        <w:rPr>
          <w:color w:val="231F20"/>
        </w:rPr>
        <w:t>PrEP</w:t>
      </w:r>
      <w:r>
        <w:rPr>
          <w:color w:val="231F20"/>
          <w:spacing w:val="-11"/>
        </w:rPr>
        <w:t> </w:t>
      </w:r>
      <w:r>
        <w:rPr>
          <w:color w:val="231F20"/>
        </w:rPr>
        <w:t>in</w:t>
      </w:r>
      <w:r>
        <w:rPr>
          <w:color w:val="231F20"/>
          <w:spacing w:val="-3"/>
        </w:rPr>
        <w:t> </w:t>
      </w:r>
      <w:r>
        <w:rPr>
          <w:color w:val="231F20"/>
        </w:rPr>
        <w:t>men</w:t>
      </w:r>
      <w:r>
        <w:rPr>
          <w:color w:val="231F20"/>
          <w:spacing w:val="-3"/>
        </w:rPr>
        <w:t> </w:t>
      </w:r>
      <w:r>
        <w:rPr>
          <w:color w:val="231F20"/>
        </w:rPr>
        <w:t>who</w:t>
      </w:r>
      <w:r>
        <w:rPr>
          <w:color w:val="231F20"/>
          <w:spacing w:val="-3"/>
        </w:rPr>
        <w:t> </w:t>
      </w:r>
      <w:r>
        <w:rPr>
          <w:color w:val="231F20"/>
        </w:rPr>
        <w:t>have</w:t>
      </w:r>
      <w:r>
        <w:rPr>
          <w:color w:val="231F20"/>
          <w:spacing w:val="-3"/>
        </w:rPr>
        <w:t> </w:t>
      </w:r>
      <w:r>
        <w:rPr>
          <w:color w:val="231F20"/>
        </w:rPr>
        <w:t>sex</w:t>
      </w:r>
      <w:r>
        <w:rPr>
          <w:color w:val="231F20"/>
          <w:spacing w:val="-3"/>
        </w:rPr>
        <w:t> </w:t>
      </w:r>
      <w:r>
        <w:rPr>
          <w:color w:val="231F20"/>
        </w:rPr>
        <w:t>with</w:t>
      </w:r>
      <w:r>
        <w:rPr>
          <w:color w:val="231F20"/>
          <w:spacing w:val="-3"/>
        </w:rPr>
        <w:t> </w:t>
      </w:r>
      <w:r>
        <w:rPr>
          <w:color w:val="231F20"/>
        </w:rPr>
        <w:t>men</w:t>
      </w:r>
      <w:r>
        <w:rPr>
          <w:color w:val="231F20"/>
          <w:spacing w:val="-3"/>
        </w:rPr>
        <w:t> </w:t>
      </w:r>
      <w:r>
        <w:rPr>
          <w:color w:val="231F20"/>
        </w:rPr>
        <w:t>and</w:t>
      </w:r>
      <w:r>
        <w:rPr>
          <w:color w:val="231F20"/>
          <w:spacing w:val="-3"/>
        </w:rPr>
        <w:t> </w:t>
      </w:r>
      <w:r>
        <w:rPr>
          <w:color w:val="231F20"/>
        </w:rPr>
        <w:t>transgender</w:t>
      </w:r>
    </w:p>
    <w:p>
      <w:pPr>
        <w:pStyle w:val="BodyText"/>
        <w:spacing w:line="228" w:lineRule="auto" w:before="101"/>
        <w:ind w:left="520" w:right="850"/>
        <w:jc w:val="both"/>
      </w:pPr>
      <w:r>
        <w:rPr/>
        <w:br w:type="column"/>
      </w:r>
      <w:r>
        <w:rPr>
          <w:color w:val="231F20"/>
          <w:spacing w:val="-1"/>
        </w:rPr>
        <w:t>women: A marginal structural </w:t>
      </w:r>
      <w:r>
        <w:rPr>
          <w:color w:val="231F20"/>
        </w:rPr>
        <w:t>model analysis of the</w:t>
      </w:r>
      <w:r>
        <w:rPr>
          <w:color w:val="231F20"/>
          <w:spacing w:val="-53"/>
        </w:rPr>
        <w:t> </w:t>
      </w:r>
      <w:r>
        <w:rPr>
          <w:color w:val="231F20"/>
        </w:rPr>
        <w:t>iPrEx</w:t>
      </w:r>
      <w:r>
        <w:rPr>
          <w:color w:val="231F20"/>
          <w:spacing w:val="-6"/>
        </w:rPr>
        <w:t> </w:t>
      </w:r>
      <w:r>
        <w:rPr>
          <w:color w:val="231F20"/>
        </w:rPr>
        <w:t>OLE</w:t>
      </w:r>
      <w:r>
        <w:rPr>
          <w:color w:val="231F20"/>
          <w:spacing w:val="-7"/>
        </w:rPr>
        <w:t> </w:t>
      </w:r>
      <w:r>
        <w:rPr>
          <w:color w:val="231F20"/>
        </w:rPr>
        <w:t>study.</w:t>
      </w:r>
      <w:r>
        <w:rPr>
          <w:color w:val="231F20"/>
          <w:spacing w:val="-6"/>
        </w:rPr>
        <w:t> </w:t>
      </w:r>
      <w:r>
        <w:rPr>
          <w:i/>
          <w:color w:val="231F20"/>
        </w:rPr>
        <w:t>AIDS</w:t>
      </w:r>
      <w:r>
        <w:rPr>
          <w:i/>
          <w:color w:val="231F20"/>
          <w:spacing w:val="-6"/>
        </w:rPr>
        <w:t> </w:t>
      </w:r>
      <w:r>
        <w:rPr>
          <w:i/>
          <w:color w:val="231F20"/>
        </w:rPr>
        <w:t>and</w:t>
      </w:r>
      <w:r>
        <w:rPr>
          <w:i/>
          <w:color w:val="231F20"/>
          <w:spacing w:val="-6"/>
        </w:rPr>
        <w:t> </w:t>
      </w:r>
      <w:r>
        <w:rPr>
          <w:i/>
          <w:color w:val="231F20"/>
        </w:rPr>
        <w:t>Behavior,</w:t>
      </w:r>
      <w:r>
        <w:rPr>
          <w:i/>
          <w:color w:val="231F20"/>
          <w:spacing w:val="-6"/>
        </w:rPr>
        <w:t> </w:t>
      </w:r>
      <w:r>
        <w:rPr>
          <w:i/>
          <w:color w:val="231F20"/>
        </w:rPr>
        <w:t>20</w:t>
      </w:r>
      <w:r>
        <w:rPr>
          <w:color w:val="231F20"/>
        </w:rPr>
        <w:t>(7),</w:t>
      </w:r>
      <w:r>
        <w:rPr>
          <w:color w:val="231F20"/>
          <w:spacing w:val="-6"/>
        </w:rPr>
        <w:t> </w:t>
      </w:r>
      <w:r>
        <w:rPr>
          <w:color w:val="231F20"/>
        </w:rPr>
        <w:t>1527-</w:t>
      </w:r>
      <w:r>
        <w:rPr>
          <w:color w:val="231F20"/>
          <w:spacing w:val="-53"/>
        </w:rPr>
        <w:t> </w:t>
      </w:r>
      <w:r>
        <w:rPr>
          <w:color w:val="231F20"/>
        </w:rPr>
        <w:t>1534.</w:t>
      </w:r>
      <w:r>
        <w:rPr>
          <w:color w:val="231F20"/>
          <w:spacing w:val="-2"/>
        </w:rPr>
        <w:t> </w:t>
      </w:r>
      <w:hyperlink r:id="rId86">
        <w:r>
          <w:rPr>
            <w:color w:val="3953A4"/>
            <w:u w:val="single" w:color="3953A4"/>
          </w:rPr>
          <w:t>https://doi.org/10.1007/s10461-016-1415-9</w:t>
        </w:r>
      </w:hyperlink>
    </w:p>
    <w:p>
      <w:pPr>
        <w:pStyle w:val="BodyText"/>
        <w:tabs>
          <w:tab w:pos="519" w:val="left" w:leader="none"/>
        </w:tabs>
        <w:spacing w:line="228" w:lineRule="auto" w:before="89"/>
        <w:ind w:left="520" w:right="980" w:hanging="360"/>
      </w:pPr>
      <w:r>
        <w:rPr>
          <w:color w:val="231F20"/>
          <w:vertAlign w:val="superscript"/>
        </w:rPr>
        <w:t>49</w:t>
      </w:r>
      <w:r>
        <w:rPr>
          <w:color w:val="231F20"/>
          <w:vertAlign w:val="baseline"/>
        </w:rPr>
        <w:tab/>
        <w:t>Senn, T. E., &amp; Carey, M. P. (2009). HIV testing</w:t>
      </w:r>
      <w:r>
        <w:rPr>
          <w:color w:val="231F20"/>
          <w:spacing w:val="1"/>
          <w:vertAlign w:val="baseline"/>
        </w:rPr>
        <w:t> </w:t>
      </w:r>
      <w:r>
        <w:rPr>
          <w:color w:val="231F20"/>
          <w:vertAlign w:val="baseline"/>
        </w:rPr>
        <w:t>among individuals with a severe mental illness:</w:t>
      </w:r>
      <w:r>
        <w:rPr>
          <w:color w:val="231F20"/>
          <w:spacing w:val="1"/>
          <w:vertAlign w:val="baseline"/>
        </w:rPr>
        <w:t> </w:t>
      </w:r>
      <w:r>
        <w:rPr>
          <w:color w:val="231F20"/>
          <w:vertAlign w:val="baseline"/>
        </w:rPr>
        <w:t>Review, suggestions for research, and clinical</w:t>
      </w:r>
      <w:r>
        <w:rPr>
          <w:color w:val="231F20"/>
          <w:spacing w:val="1"/>
          <w:vertAlign w:val="baseline"/>
        </w:rPr>
        <w:t> </w:t>
      </w:r>
      <w:r>
        <w:rPr>
          <w:color w:val="231F20"/>
          <w:vertAlign w:val="baseline"/>
        </w:rPr>
        <w:t>implications. </w:t>
      </w:r>
      <w:r>
        <w:rPr>
          <w:i/>
          <w:color w:val="231F20"/>
          <w:vertAlign w:val="baseline"/>
        </w:rPr>
        <w:t>Psychological Medicine, 39</w:t>
      </w:r>
      <w:r>
        <w:rPr>
          <w:color w:val="231F20"/>
          <w:vertAlign w:val="baseline"/>
        </w:rPr>
        <w:t>(3), 355-</w:t>
      </w:r>
      <w:r>
        <w:rPr>
          <w:color w:val="231F20"/>
          <w:spacing w:val="-53"/>
          <w:vertAlign w:val="baseline"/>
        </w:rPr>
        <w:t> </w:t>
      </w:r>
      <w:r>
        <w:rPr>
          <w:color w:val="231F20"/>
          <w:vertAlign w:val="baseline"/>
        </w:rPr>
        <w:t>363.</w:t>
      </w:r>
      <w:r>
        <w:rPr>
          <w:color w:val="231F20"/>
          <w:spacing w:val="-5"/>
          <w:vertAlign w:val="baseline"/>
        </w:rPr>
        <w:t> </w:t>
      </w:r>
      <w:hyperlink r:id="rId87">
        <w:r>
          <w:rPr>
            <w:color w:val="3953A4"/>
            <w:u w:val="single" w:color="3953A4"/>
            <w:vertAlign w:val="baseline"/>
          </w:rPr>
          <w:t>https://doi.org/10.1017/S0033291708003930</w:t>
        </w:r>
      </w:hyperlink>
    </w:p>
    <w:p>
      <w:pPr>
        <w:pStyle w:val="BodyText"/>
        <w:tabs>
          <w:tab w:pos="519" w:val="left" w:leader="none"/>
        </w:tabs>
        <w:spacing w:line="228" w:lineRule="auto" w:before="88"/>
        <w:ind w:left="520" w:right="831" w:hanging="360"/>
      </w:pPr>
      <w:r>
        <w:rPr>
          <w:color w:val="231F20"/>
          <w:vertAlign w:val="superscript"/>
        </w:rPr>
        <w:t>50</w:t>
      </w:r>
      <w:r>
        <w:rPr>
          <w:color w:val="231F20"/>
          <w:vertAlign w:val="baseline"/>
        </w:rPr>
        <w:tab/>
      </w:r>
      <w:r>
        <w:rPr>
          <w:color w:val="231F20"/>
          <w:spacing w:val="-5"/>
          <w:vertAlign w:val="baseline"/>
        </w:rPr>
        <w:t>Yehia, B. R., Stewart, L., Momplaisir, F., Mody, </w:t>
      </w:r>
      <w:r>
        <w:rPr>
          <w:color w:val="231F20"/>
          <w:spacing w:val="-4"/>
          <w:vertAlign w:val="baseline"/>
        </w:rPr>
        <w:t>A.,</w:t>
      </w:r>
      <w:r>
        <w:rPr>
          <w:color w:val="231F20"/>
          <w:spacing w:val="-3"/>
          <w:vertAlign w:val="baseline"/>
        </w:rPr>
        <w:t> </w:t>
      </w:r>
      <w:r>
        <w:rPr>
          <w:color w:val="231F20"/>
          <w:spacing w:val="-5"/>
          <w:vertAlign w:val="baseline"/>
        </w:rPr>
        <w:t>Holtzman, C. W., Jacobs, </w:t>
      </w:r>
      <w:r>
        <w:rPr>
          <w:color w:val="231F20"/>
          <w:spacing w:val="-4"/>
          <w:vertAlign w:val="baseline"/>
        </w:rPr>
        <w:t>L. M., Hines, J., Mounzer,</w:t>
      </w:r>
      <w:r>
        <w:rPr>
          <w:color w:val="231F20"/>
          <w:spacing w:val="-3"/>
          <w:vertAlign w:val="baseline"/>
        </w:rPr>
        <w:t> </w:t>
      </w:r>
      <w:r>
        <w:rPr>
          <w:color w:val="231F20"/>
          <w:spacing w:val="-5"/>
          <w:vertAlign w:val="baseline"/>
        </w:rPr>
        <w:t>K., Glanz, K., Metlay, </w:t>
      </w:r>
      <w:r>
        <w:rPr>
          <w:color w:val="231F20"/>
          <w:spacing w:val="-4"/>
          <w:vertAlign w:val="baseline"/>
        </w:rPr>
        <w:t>J. P., &amp; Shea, J. A. (2015).</w:t>
      </w:r>
      <w:r>
        <w:rPr>
          <w:color w:val="231F20"/>
          <w:spacing w:val="-3"/>
          <w:vertAlign w:val="baseline"/>
        </w:rPr>
        <w:t> Barriers and facilitators to patient </w:t>
      </w:r>
      <w:r>
        <w:rPr>
          <w:color w:val="231F20"/>
          <w:spacing w:val="-2"/>
          <w:vertAlign w:val="baseline"/>
        </w:rPr>
        <w:t>retention in HIV</w:t>
      </w:r>
      <w:r>
        <w:rPr>
          <w:color w:val="231F20"/>
          <w:spacing w:val="-1"/>
          <w:vertAlign w:val="baseline"/>
        </w:rPr>
        <w:t> </w:t>
      </w:r>
      <w:r>
        <w:rPr>
          <w:color w:val="231F20"/>
          <w:spacing w:val="-4"/>
          <w:vertAlign w:val="baseline"/>
        </w:rPr>
        <w:t>care.</w:t>
      </w:r>
      <w:r>
        <w:rPr>
          <w:color w:val="231F20"/>
          <w:spacing w:val="-9"/>
          <w:vertAlign w:val="baseline"/>
        </w:rPr>
        <w:t> </w:t>
      </w:r>
      <w:r>
        <w:rPr>
          <w:i/>
          <w:color w:val="231F20"/>
          <w:spacing w:val="-4"/>
          <w:vertAlign w:val="baseline"/>
        </w:rPr>
        <w:t>BMC</w:t>
      </w:r>
      <w:r>
        <w:rPr>
          <w:i/>
          <w:color w:val="231F20"/>
          <w:spacing w:val="-8"/>
          <w:vertAlign w:val="baseline"/>
        </w:rPr>
        <w:t> </w:t>
      </w:r>
      <w:r>
        <w:rPr>
          <w:i/>
          <w:color w:val="231F20"/>
          <w:spacing w:val="-4"/>
          <w:vertAlign w:val="baseline"/>
        </w:rPr>
        <w:t>Infectious</w:t>
      </w:r>
      <w:r>
        <w:rPr>
          <w:i/>
          <w:color w:val="231F20"/>
          <w:spacing w:val="-8"/>
          <w:vertAlign w:val="baseline"/>
        </w:rPr>
        <w:t> </w:t>
      </w:r>
      <w:r>
        <w:rPr>
          <w:i/>
          <w:color w:val="231F20"/>
          <w:spacing w:val="-4"/>
          <w:vertAlign w:val="baseline"/>
        </w:rPr>
        <w:t>Diseases,</w:t>
      </w:r>
      <w:r>
        <w:rPr>
          <w:i/>
          <w:color w:val="231F20"/>
          <w:spacing w:val="-8"/>
          <w:vertAlign w:val="baseline"/>
        </w:rPr>
        <w:t> </w:t>
      </w:r>
      <w:r>
        <w:rPr>
          <w:i/>
          <w:color w:val="231F20"/>
          <w:spacing w:val="-4"/>
          <w:vertAlign w:val="baseline"/>
        </w:rPr>
        <w:t>15</w:t>
      </w:r>
      <w:r>
        <w:rPr>
          <w:color w:val="231F20"/>
          <w:spacing w:val="-4"/>
          <w:vertAlign w:val="baseline"/>
        </w:rPr>
        <w:t>(1),</w:t>
      </w:r>
      <w:r>
        <w:rPr>
          <w:color w:val="231F20"/>
          <w:spacing w:val="-8"/>
          <w:vertAlign w:val="baseline"/>
        </w:rPr>
        <w:t> </w:t>
      </w:r>
      <w:r>
        <w:rPr>
          <w:color w:val="231F20"/>
          <w:spacing w:val="-3"/>
          <w:vertAlign w:val="baseline"/>
        </w:rPr>
        <w:t>246.</w:t>
      </w:r>
      <w:r>
        <w:rPr>
          <w:color w:val="231F20"/>
          <w:spacing w:val="-8"/>
          <w:vertAlign w:val="baseline"/>
        </w:rPr>
        <w:t> </w:t>
      </w:r>
      <w:hyperlink r:id="rId88">
        <w:r>
          <w:rPr>
            <w:color w:val="3953A4"/>
            <w:spacing w:val="-3"/>
            <w:u w:val="single" w:color="3953A4"/>
            <w:vertAlign w:val="baseline"/>
          </w:rPr>
          <w:t>https://doi.</w:t>
        </w:r>
      </w:hyperlink>
      <w:r>
        <w:rPr>
          <w:color w:val="3953A4"/>
          <w:spacing w:val="-52"/>
          <w:vertAlign w:val="baseline"/>
        </w:rPr>
        <w:t> </w:t>
      </w:r>
      <w:hyperlink r:id="rId88">
        <w:r>
          <w:rPr>
            <w:color w:val="3953A4"/>
            <w:u w:val="single" w:color="3953A4"/>
            <w:vertAlign w:val="baseline"/>
          </w:rPr>
          <w:t>org/10.1186/s12879-015-0990-0</w:t>
        </w:r>
      </w:hyperlink>
    </w:p>
    <w:p>
      <w:pPr>
        <w:pStyle w:val="BodyText"/>
        <w:tabs>
          <w:tab w:pos="519" w:val="left" w:leader="none"/>
        </w:tabs>
        <w:spacing w:line="228" w:lineRule="auto" w:before="88"/>
        <w:ind w:left="520" w:right="877" w:hanging="360"/>
      </w:pPr>
      <w:r>
        <w:rPr>
          <w:color w:val="231F20"/>
          <w:vertAlign w:val="superscript"/>
        </w:rPr>
        <w:t>51</w:t>
      </w:r>
      <w:r>
        <w:rPr>
          <w:color w:val="231F20"/>
          <w:vertAlign w:val="baseline"/>
        </w:rPr>
        <w:tab/>
        <w:t>Bing, E. G., Burnam, M. A., Longshore, D.,</w:t>
      </w:r>
      <w:r>
        <w:rPr>
          <w:color w:val="231F20"/>
          <w:spacing w:val="1"/>
          <w:vertAlign w:val="baseline"/>
        </w:rPr>
        <w:t> </w:t>
      </w:r>
      <w:r>
        <w:rPr>
          <w:color w:val="231F20"/>
          <w:spacing w:val="-1"/>
          <w:vertAlign w:val="baseline"/>
        </w:rPr>
        <w:t>Fleishman, J. A., Sherbourne, C. </w:t>
      </w:r>
      <w:r>
        <w:rPr>
          <w:color w:val="231F20"/>
          <w:vertAlign w:val="baseline"/>
        </w:rPr>
        <w:t>D., London, A. S.,</w:t>
      </w:r>
      <w:r>
        <w:rPr>
          <w:color w:val="231F20"/>
          <w:spacing w:val="-52"/>
          <w:vertAlign w:val="baseline"/>
        </w:rPr>
        <w:t> </w:t>
      </w:r>
      <w:r>
        <w:rPr>
          <w:color w:val="231F20"/>
          <w:vertAlign w:val="baseline"/>
        </w:rPr>
        <w:t>Turner,</w:t>
      </w:r>
      <w:r>
        <w:rPr>
          <w:color w:val="231F20"/>
          <w:spacing w:val="-5"/>
          <w:vertAlign w:val="baseline"/>
        </w:rPr>
        <w:t> </w:t>
      </w:r>
      <w:r>
        <w:rPr>
          <w:color w:val="231F20"/>
          <w:vertAlign w:val="baseline"/>
        </w:rPr>
        <w:t>B.</w:t>
      </w:r>
      <w:r>
        <w:rPr>
          <w:color w:val="231F20"/>
          <w:spacing w:val="-4"/>
          <w:vertAlign w:val="baseline"/>
        </w:rPr>
        <w:t> </w:t>
      </w:r>
      <w:r>
        <w:rPr>
          <w:color w:val="231F20"/>
          <w:vertAlign w:val="baseline"/>
        </w:rPr>
        <w:t>J.,</w:t>
      </w:r>
      <w:r>
        <w:rPr>
          <w:color w:val="231F20"/>
          <w:spacing w:val="-6"/>
          <w:vertAlign w:val="baseline"/>
        </w:rPr>
        <w:t> </w:t>
      </w:r>
      <w:r>
        <w:rPr>
          <w:color w:val="231F20"/>
          <w:vertAlign w:val="baseline"/>
        </w:rPr>
        <w:t>Eggan,</w:t>
      </w:r>
      <w:r>
        <w:rPr>
          <w:color w:val="231F20"/>
          <w:spacing w:val="-4"/>
          <w:vertAlign w:val="baseline"/>
        </w:rPr>
        <w:t> </w:t>
      </w:r>
      <w:r>
        <w:rPr>
          <w:color w:val="231F20"/>
          <w:vertAlign w:val="baseline"/>
        </w:rPr>
        <w:t>F.,</w:t>
      </w:r>
      <w:r>
        <w:rPr>
          <w:color w:val="231F20"/>
          <w:spacing w:val="-5"/>
          <w:vertAlign w:val="baseline"/>
        </w:rPr>
        <w:t> </w:t>
      </w:r>
      <w:r>
        <w:rPr>
          <w:color w:val="231F20"/>
          <w:vertAlign w:val="baseline"/>
        </w:rPr>
        <w:t>Beckman,</w:t>
      </w:r>
      <w:r>
        <w:rPr>
          <w:color w:val="231F20"/>
          <w:spacing w:val="-4"/>
          <w:vertAlign w:val="baseline"/>
        </w:rPr>
        <w:t> </w:t>
      </w:r>
      <w:r>
        <w:rPr>
          <w:color w:val="231F20"/>
          <w:vertAlign w:val="baseline"/>
        </w:rPr>
        <w:t>R.,</w:t>
      </w:r>
      <w:r>
        <w:rPr>
          <w:color w:val="231F20"/>
          <w:spacing w:val="-4"/>
          <w:vertAlign w:val="baseline"/>
        </w:rPr>
        <w:t> </w:t>
      </w:r>
      <w:r>
        <w:rPr>
          <w:color w:val="231F20"/>
          <w:vertAlign w:val="baseline"/>
        </w:rPr>
        <w:t>&amp;</w:t>
      </w:r>
      <w:r>
        <w:rPr>
          <w:color w:val="231F20"/>
          <w:spacing w:val="-9"/>
          <w:vertAlign w:val="baseline"/>
        </w:rPr>
        <w:t> </w:t>
      </w:r>
      <w:r>
        <w:rPr>
          <w:color w:val="231F20"/>
          <w:vertAlign w:val="baseline"/>
        </w:rPr>
        <w:t>Vitiello,</w:t>
      </w:r>
    </w:p>
    <w:p>
      <w:pPr>
        <w:pStyle w:val="BodyText"/>
        <w:spacing w:line="228" w:lineRule="auto"/>
        <w:ind w:left="520" w:right="851"/>
      </w:pPr>
      <w:r>
        <w:rPr>
          <w:color w:val="231F20"/>
        </w:rPr>
        <w:t>B. (2001). Psychiatric disorders and drug use</w:t>
      </w:r>
      <w:r>
        <w:rPr>
          <w:color w:val="231F20"/>
          <w:spacing w:val="1"/>
        </w:rPr>
        <w:t> </w:t>
      </w:r>
      <w:r>
        <w:rPr>
          <w:color w:val="231F20"/>
        </w:rPr>
        <w:t>among human immunodeficiency virus-infected</w:t>
      </w:r>
      <w:r>
        <w:rPr>
          <w:color w:val="231F20"/>
          <w:spacing w:val="1"/>
        </w:rPr>
        <w:t> </w:t>
      </w:r>
      <w:r>
        <w:rPr>
          <w:color w:val="231F20"/>
        </w:rPr>
        <w:t>adults in the United States. </w:t>
      </w:r>
      <w:r>
        <w:rPr>
          <w:i/>
          <w:color w:val="231F20"/>
        </w:rPr>
        <w:t>Archives of General</w:t>
      </w:r>
      <w:r>
        <w:rPr>
          <w:i/>
          <w:color w:val="231F20"/>
          <w:spacing w:val="1"/>
        </w:rPr>
        <w:t> </w:t>
      </w:r>
      <w:r>
        <w:rPr>
          <w:i/>
          <w:color w:val="231F20"/>
        </w:rPr>
        <w:t>Psychiatry,</w:t>
      </w:r>
      <w:r>
        <w:rPr>
          <w:i/>
          <w:color w:val="231F20"/>
          <w:spacing w:val="-10"/>
        </w:rPr>
        <w:t> </w:t>
      </w:r>
      <w:r>
        <w:rPr>
          <w:i/>
          <w:color w:val="231F20"/>
        </w:rPr>
        <w:t>58</w:t>
      </w:r>
      <w:r>
        <w:rPr>
          <w:color w:val="231F20"/>
        </w:rPr>
        <w:t>(8),</w:t>
      </w:r>
      <w:r>
        <w:rPr>
          <w:color w:val="231F20"/>
          <w:spacing w:val="-10"/>
        </w:rPr>
        <w:t> </w:t>
      </w:r>
      <w:r>
        <w:rPr>
          <w:color w:val="231F20"/>
        </w:rPr>
        <w:t>721-728.</w:t>
      </w:r>
      <w:r>
        <w:rPr>
          <w:color w:val="3953A4"/>
          <w:spacing w:val="-10"/>
        </w:rPr>
        <w:t> </w:t>
      </w:r>
      <w:hyperlink r:id="rId89">
        <w:r>
          <w:rPr>
            <w:color w:val="3953A4"/>
            <w:u w:val="single" w:color="3953A4"/>
          </w:rPr>
          <w:t>https://doi.org/10.1001/</w:t>
        </w:r>
      </w:hyperlink>
      <w:r>
        <w:rPr>
          <w:color w:val="3953A4"/>
          <w:spacing w:val="-52"/>
        </w:rPr>
        <w:t> </w:t>
      </w:r>
      <w:hyperlink r:id="rId89">
        <w:r>
          <w:rPr>
            <w:color w:val="3953A4"/>
            <w:u w:val="single" w:color="3953A4"/>
          </w:rPr>
          <w:t>archpsyc.58.8.721</w:t>
        </w:r>
      </w:hyperlink>
    </w:p>
    <w:p>
      <w:pPr>
        <w:pStyle w:val="BodyText"/>
        <w:tabs>
          <w:tab w:pos="519" w:val="left" w:leader="none"/>
        </w:tabs>
        <w:spacing w:line="228" w:lineRule="auto" w:before="88"/>
        <w:ind w:left="520" w:right="902" w:hanging="360"/>
      </w:pPr>
      <w:r>
        <w:rPr>
          <w:color w:val="231F20"/>
          <w:vertAlign w:val="superscript"/>
        </w:rPr>
        <w:t>52</w:t>
      </w:r>
      <w:r>
        <w:rPr>
          <w:color w:val="231F20"/>
          <w:vertAlign w:val="baseline"/>
        </w:rPr>
        <w:tab/>
      </w:r>
      <w:r>
        <w:rPr>
          <w:color w:val="231F20"/>
          <w:spacing w:val="-5"/>
          <w:vertAlign w:val="baseline"/>
        </w:rPr>
        <w:t>Machtinger, </w:t>
      </w:r>
      <w:r>
        <w:rPr>
          <w:color w:val="231F20"/>
          <w:spacing w:val="-4"/>
          <w:vertAlign w:val="baseline"/>
        </w:rPr>
        <w:t>E. L., Wilson, T. C., Haberer, J. E., &amp;</w:t>
      </w:r>
      <w:r>
        <w:rPr>
          <w:color w:val="231F20"/>
          <w:spacing w:val="-3"/>
          <w:vertAlign w:val="baseline"/>
        </w:rPr>
        <w:t> </w:t>
      </w:r>
      <w:r>
        <w:rPr>
          <w:color w:val="231F20"/>
          <w:spacing w:val="-4"/>
          <w:vertAlign w:val="baseline"/>
        </w:rPr>
        <w:t>Weiss,</w:t>
      </w:r>
      <w:r>
        <w:rPr>
          <w:color w:val="231F20"/>
          <w:spacing w:val="-10"/>
          <w:vertAlign w:val="baseline"/>
        </w:rPr>
        <w:t> </w:t>
      </w:r>
      <w:r>
        <w:rPr>
          <w:color w:val="231F20"/>
          <w:spacing w:val="-4"/>
          <w:vertAlign w:val="baseline"/>
        </w:rPr>
        <w:t>D.</w:t>
      </w:r>
      <w:r>
        <w:rPr>
          <w:color w:val="231F20"/>
          <w:spacing w:val="-9"/>
          <w:vertAlign w:val="baseline"/>
        </w:rPr>
        <w:t> </w:t>
      </w:r>
      <w:r>
        <w:rPr>
          <w:color w:val="231F20"/>
          <w:spacing w:val="-4"/>
          <w:vertAlign w:val="baseline"/>
        </w:rPr>
        <w:t>S.</w:t>
      </w:r>
      <w:r>
        <w:rPr>
          <w:color w:val="231F20"/>
          <w:spacing w:val="-10"/>
          <w:vertAlign w:val="baseline"/>
        </w:rPr>
        <w:t> </w:t>
      </w:r>
      <w:r>
        <w:rPr>
          <w:color w:val="231F20"/>
          <w:spacing w:val="-4"/>
          <w:vertAlign w:val="baseline"/>
        </w:rPr>
        <w:t>(2012).</w:t>
      </w:r>
      <w:r>
        <w:rPr>
          <w:color w:val="231F20"/>
          <w:spacing w:val="-9"/>
          <w:vertAlign w:val="baseline"/>
        </w:rPr>
        <w:t> </w:t>
      </w:r>
      <w:r>
        <w:rPr>
          <w:color w:val="231F20"/>
          <w:spacing w:val="-4"/>
          <w:vertAlign w:val="baseline"/>
        </w:rPr>
        <w:t>Psychological</w:t>
      </w:r>
      <w:r>
        <w:rPr>
          <w:color w:val="231F20"/>
          <w:spacing w:val="-10"/>
          <w:vertAlign w:val="baseline"/>
        </w:rPr>
        <w:t> </w:t>
      </w:r>
      <w:r>
        <w:rPr>
          <w:color w:val="231F20"/>
          <w:spacing w:val="-4"/>
          <w:vertAlign w:val="baseline"/>
        </w:rPr>
        <w:t>trauma</w:t>
      </w:r>
      <w:r>
        <w:rPr>
          <w:color w:val="231F20"/>
          <w:spacing w:val="-9"/>
          <w:vertAlign w:val="baseline"/>
        </w:rPr>
        <w:t> </w:t>
      </w:r>
      <w:r>
        <w:rPr>
          <w:color w:val="231F20"/>
          <w:spacing w:val="-3"/>
          <w:vertAlign w:val="baseline"/>
        </w:rPr>
        <w:t>and</w:t>
      </w:r>
      <w:r>
        <w:rPr>
          <w:color w:val="231F20"/>
          <w:spacing w:val="-10"/>
          <w:vertAlign w:val="baseline"/>
        </w:rPr>
        <w:t> </w:t>
      </w:r>
      <w:r>
        <w:rPr>
          <w:color w:val="231F20"/>
          <w:spacing w:val="-3"/>
          <w:vertAlign w:val="baseline"/>
        </w:rPr>
        <w:t>PTSD</w:t>
      </w:r>
      <w:r>
        <w:rPr>
          <w:color w:val="231F20"/>
          <w:spacing w:val="-52"/>
          <w:vertAlign w:val="baseline"/>
        </w:rPr>
        <w:t> </w:t>
      </w:r>
      <w:r>
        <w:rPr>
          <w:color w:val="231F20"/>
          <w:spacing w:val="-5"/>
          <w:vertAlign w:val="baseline"/>
        </w:rPr>
        <w:t>in HIV-positive </w:t>
      </w:r>
      <w:r>
        <w:rPr>
          <w:color w:val="231F20"/>
          <w:spacing w:val="-4"/>
          <w:vertAlign w:val="baseline"/>
        </w:rPr>
        <w:t>women: A meta-analysis. </w:t>
      </w:r>
      <w:r>
        <w:rPr>
          <w:i/>
          <w:color w:val="231F20"/>
          <w:spacing w:val="-4"/>
          <w:vertAlign w:val="baseline"/>
        </w:rPr>
        <w:t>AIDS and</w:t>
      </w:r>
      <w:r>
        <w:rPr>
          <w:i/>
          <w:color w:val="231F20"/>
          <w:spacing w:val="-3"/>
          <w:vertAlign w:val="baseline"/>
        </w:rPr>
        <w:t> </w:t>
      </w:r>
      <w:r>
        <w:rPr>
          <w:i/>
          <w:color w:val="231F20"/>
          <w:spacing w:val="-5"/>
          <w:vertAlign w:val="baseline"/>
        </w:rPr>
        <w:t>Behavior, 16</w:t>
      </w:r>
      <w:r>
        <w:rPr>
          <w:color w:val="231F20"/>
          <w:spacing w:val="-5"/>
          <w:vertAlign w:val="baseline"/>
        </w:rPr>
        <w:t>(8), </w:t>
      </w:r>
      <w:r>
        <w:rPr>
          <w:color w:val="231F20"/>
          <w:spacing w:val="-4"/>
          <w:vertAlign w:val="baseline"/>
        </w:rPr>
        <w:t>2091-2100. </w:t>
      </w:r>
      <w:hyperlink r:id="rId90">
        <w:r>
          <w:rPr>
            <w:color w:val="3953A4"/>
            <w:spacing w:val="-4"/>
            <w:u w:val="single" w:color="3953A4"/>
            <w:vertAlign w:val="baseline"/>
          </w:rPr>
          <w:t>https://doi.org/10.1007/</w:t>
        </w:r>
      </w:hyperlink>
      <w:r>
        <w:rPr>
          <w:color w:val="3953A4"/>
          <w:spacing w:val="-3"/>
          <w:vertAlign w:val="baseline"/>
        </w:rPr>
        <w:t> </w:t>
      </w:r>
      <w:hyperlink r:id="rId90">
        <w:r>
          <w:rPr>
            <w:color w:val="3953A4"/>
            <w:u w:val="single" w:color="3953A4"/>
            <w:vertAlign w:val="baseline"/>
          </w:rPr>
          <w:t>s10461-011-0127-4</w:t>
        </w:r>
      </w:hyperlink>
    </w:p>
    <w:p>
      <w:pPr>
        <w:pStyle w:val="BodyText"/>
        <w:tabs>
          <w:tab w:pos="519" w:val="left" w:leader="none"/>
        </w:tabs>
        <w:spacing w:line="228" w:lineRule="auto" w:before="88"/>
        <w:ind w:left="519" w:right="1046" w:hanging="360"/>
      </w:pPr>
      <w:r>
        <w:rPr>
          <w:color w:val="231F20"/>
          <w:vertAlign w:val="superscript"/>
        </w:rPr>
        <w:t>53</w:t>
      </w:r>
      <w:r>
        <w:rPr>
          <w:color w:val="231F20"/>
          <w:vertAlign w:val="baseline"/>
        </w:rPr>
        <w:tab/>
      </w:r>
      <w:r>
        <w:rPr>
          <w:color w:val="231F20"/>
          <w:spacing w:val="-3"/>
          <w:vertAlign w:val="baseline"/>
        </w:rPr>
        <w:t>Parhami, I., Fong, T. W., Siani, A., Carlotti, </w:t>
      </w:r>
      <w:r>
        <w:rPr>
          <w:color w:val="231F20"/>
          <w:spacing w:val="-2"/>
          <w:vertAlign w:val="baseline"/>
        </w:rPr>
        <w:t>C., &amp;</w:t>
      </w:r>
      <w:r>
        <w:rPr>
          <w:color w:val="231F20"/>
          <w:spacing w:val="-1"/>
          <w:vertAlign w:val="baseline"/>
        </w:rPr>
        <w:t> </w:t>
      </w:r>
      <w:r>
        <w:rPr>
          <w:color w:val="231F20"/>
          <w:spacing w:val="-2"/>
          <w:vertAlign w:val="baseline"/>
        </w:rPr>
        <w:t>Khanlou,</w:t>
      </w:r>
      <w:r>
        <w:rPr>
          <w:color w:val="231F20"/>
          <w:spacing w:val="-12"/>
          <w:vertAlign w:val="baseline"/>
        </w:rPr>
        <w:t> </w:t>
      </w:r>
      <w:r>
        <w:rPr>
          <w:color w:val="231F20"/>
          <w:spacing w:val="-2"/>
          <w:vertAlign w:val="baseline"/>
        </w:rPr>
        <w:t>H.</w:t>
      </w:r>
      <w:r>
        <w:rPr>
          <w:color w:val="231F20"/>
          <w:spacing w:val="-11"/>
          <w:vertAlign w:val="baseline"/>
        </w:rPr>
        <w:t> </w:t>
      </w:r>
      <w:r>
        <w:rPr>
          <w:color w:val="231F20"/>
          <w:spacing w:val="-2"/>
          <w:vertAlign w:val="baseline"/>
        </w:rPr>
        <w:t>(2013).</w:t>
      </w:r>
      <w:r>
        <w:rPr>
          <w:color w:val="231F20"/>
          <w:spacing w:val="-11"/>
          <w:vertAlign w:val="baseline"/>
        </w:rPr>
        <w:t> </w:t>
      </w:r>
      <w:r>
        <w:rPr>
          <w:color w:val="231F20"/>
          <w:spacing w:val="-1"/>
          <w:vertAlign w:val="baseline"/>
        </w:rPr>
        <w:t>Documentation</w:t>
      </w:r>
      <w:r>
        <w:rPr>
          <w:color w:val="231F20"/>
          <w:spacing w:val="-12"/>
          <w:vertAlign w:val="baseline"/>
        </w:rPr>
        <w:t> </w:t>
      </w:r>
      <w:r>
        <w:rPr>
          <w:color w:val="231F20"/>
          <w:spacing w:val="-1"/>
          <w:vertAlign w:val="baseline"/>
        </w:rPr>
        <w:t>of</w:t>
      </w:r>
      <w:r>
        <w:rPr>
          <w:color w:val="231F20"/>
          <w:spacing w:val="-10"/>
          <w:vertAlign w:val="baseline"/>
        </w:rPr>
        <w:t> </w:t>
      </w:r>
      <w:r>
        <w:rPr>
          <w:color w:val="231F20"/>
          <w:spacing w:val="-1"/>
          <w:vertAlign w:val="baseline"/>
        </w:rPr>
        <w:t>psychiatric</w:t>
      </w:r>
      <w:r>
        <w:rPr>
          <w:color w:val="231F20"/>
          <w:spacing w:val="-52"/>
          <w:vertAlign w:val="baseline"/>
        </w:rPr>
        <w:t> </w:t>
      </w:r>
      <w:r>
        <w:rPr>
          <w:color w:val="231F20"/>
          <w:vertAlign w:val="baseline"/>
        </w:rPr>
        <w:t>disorders and related factors in a large sample</w:t>
      </w:r>
      <w:r>
        <w:rPr>
          <w:color w:val="231F20"/>
          <w:spacing w:val="1"/>
          <w:vertAlign w:val="baseline"/>
        </w:rPr>
        <w:t> </w:t>
      </w:r>
      <w:r>
        <w:rPr>
          <w:color w:val="231F20"/>
          <w:spacing w:val="-1"/>
          <w:vertAlign w:val="baseline"/>
        </w:rPr>
        <w:t>population of HIV-positive patients in California.</w:t>
      </w:r>
      <w:r>
        <w:rPr>
          <w:color w:val="231F20"/>
          <w:spacing w:val="-52"/>
          <w:vertAlign w:val="baseline"/>
        </w:rPr>
        <w:t> </w:t>
      </w:r>
      <w:r>
        <w:rPr>
          <w:i/>
          <w:color w:val="231F20"/>
          <w:spacing w:val="-2"/>
          <w:vertAlign w:val="baseline"/>
        </w:rPr>
        <w:t>AIDS</w:t>
      </w:r>
      <w:r>
        <w:rPr>
          <w:i/>
          <w:color w:val="231F20"/>
          <w:spacing w:val="-12"/>
          <w:vertAlign w:val="baseline"/>
        </w:rPr>
        <w:t> </w:t>
      </w:r>
      <w:r>
        <w:rPr>
          <w:i/>
          <w:color w:val="231F20"/>
          <w:spacing w:val="-2"/>
          <w:vertAlign w:val="baseline"/>
        </w:rPr>
        <w:t>and</w:t>
      </w:r>
      <w:r>
        <w:rPr>
          <w:i/>
          <w:color w:val="231F20"/>
          <w:spacing w:val="-11"/>
          <w:vertAlign w:val="baseline"/>
        </w:rPr>
        <w:t> </w:t>
      </w:r>
      <w:r>
        <w:rPr>
          <w:i/>
          <w:color w:val="231F20"/>
          <w:spacing w:val="-2"/>
          <w:vertAlign w:val="baseline"/>
        </w:rPr>
        <w:t>Behavior,</w:t>
      </w:r>
      <w:r>
        <w:rPr>
          <w:i/>
          <w:color w:val="231F20"/>
          <w:spacing w:val="-11"/>
          <w:vertAlign w:val="baseline"/>
        </w:rPr>
        <w:t> </w:t>
      </w:r>
      <w:r>
        <w:rPr>
          <w:i/>
          <w:color w:val="231F20"/>
          <w:spacing w:val="-1"/>
          <w:vertAlign w:val="baseline"/>
        </w:rPr>
        <w:t>17</w:t>
      </w:r>
      <w:r>
        <w:rPr>
          <w:color w:val="231F20"/>
          <w:spacing w:val="-1"/>
          <w:vertAlign w:val="baseline"/>
        </w:rPr>
        <w:t>(8),</w:t>
      </w:r>
      <w:r>
        <w:rPr>
          <w:color w:val="231F20"/>
          <w:spacing w:val="-11"/>
          <w:vertAlign w:val="baseline"/>
        </w:rPr>
        <w:t> </w:t>
      </w:r>
      <w:r>
        <w:rPr>
          <w:color w:val="231F20"/>
          <w:spacing w:val="-1"/>
          <w:vertAlign w:val="baseline"/>
        </w:rPr>
        <w:t>2792-2801.</w:t>
      </w:r>
      <w:r>
        <w:rPr>
          <w:color w:val="231F20"/>
          <w:spacing w:val="-12"/>
          <w:vertAlign w:val="baseline"/>
        </w:rPr>
        <w:t> </w:t>
      </w:r>
      <w:hyperlink r:id="rId91">
        <w:r>
          <w:rPr>
            <w:color w:val="3953A4"/>
            <w:spacing w:val="-1"/>
            <w:u w:val="single" w:color="3953A4"/>
            <w:vertAlign w:val="baseline"/>
          </w:rPr>
          <w:t>https://doi.</w:t>
        </w:r>
      </w:hyperlink>
      <w:r>
        <w:rPr>
          <w:color w:val="3953A4"/>
          <w:spacing w:val="-52"/>
          <w:vertAlign w:val="baseline"/>
        </w:rPr>
        <w:t> </w:t>
      </w:r>
      <w:hyperlink r:id="rId91">
        <w:r>
          <w:rPr>
            <w:color w:val="3953A4"/>
            <w:u w:val="single" w:color="3953A4"/>
            <w:vertAlign w:val="baseline"/>
          </w:rPr>
          <w:t>org/10.1007/s10461-012-0386-8</w:t>
        </w:r>
      </w:hyperlink>
    </w:p>
    <w:p>
      <w:pPr>
        <w:pStyle w:val="BodyText"/>
        <w:tabs>
          <w:tab w:pos="519" w:val="left" w:leader="none"/>
        </w:tabs>
        <w:spacing w:line="246" w:lineRule="exact" w:before="78"/>
        <w:ind w:left="159"/>
      </w:pPr>
      <w:r>
        <w:rPr>
          <w:color w:val="231F20"/>
          <w:vertAlign w:val="superscript"/>
        </w:rPr>
        <w:t>54</w:t>
      </w:r>
      <w:r>
        <w:rPr>
          <w:color w:val="231F20"/>
          <w:vertAlign w:val="baseline"/>
        </w:rPr>
        <w:tab/>
        <w:t>Gaynes,</w:t>
      </w:r>
      <w:r>
        <w:rPr>
          <w:color w:val="231F20"/>
          <w:spacing w:val="-6"/>
          <w:vertAlign w:val="baseline"/>
        </w:rPr>
        <w:t> </w:t>
      </w:r>
      <w:r>
        <w:rPr>
          <w:color w:val="231F20"/>
          <w:vertAlign w:val="baseline"/>
        </w:rPr>
        <w:t>B.</w:t>
      </w:r>
      <w:r>
        <w:rPr>
          <w:color w:val="231F20"/>
          <w:spacing w:val="-5"/>
          <w:vertAlign w:val="baseline"/>
        </w:rPr>
        <w:t> </w:t>
      </w:r>
      <w:r>
        <w:rPr>
          <w:color w:val="231F20"/>
          <w:vertAlign w:val="baseline"/>
        </w:rPr>
        <w:t>N.,</w:t>
      </w:r>
      <w:r>
        <w:rPr>
          <w:color w:val="231F20"/>
          <w:spacing w:val="-6"/>
          <w:vertAlign w:val="baseline"/>
        </w:rPr>
        <w:t> </w:t>
      </w:r>
      <w:r>
        <w:rPr>
          <w:color w:val="231F20"/>
          <w:vertAlign w:val="baseline"/>
        </w:rPr>
        <w:t>Pence,</w:t>
      </w:r>
      <w:r>
        <w:rPr>
          <w:color w:val="231F20"/>
          <w:spacing w:val="-6"/>
          <w:vertAlign w:val="baseline"/>
        </w:rPr>
        <w:t> </w:t>
      </w:r>
      <w:r>
        <w:rPr>
          <w:color w:val="231F20"/>
          <w:vertAlign w:val="baseline"/>
        </w:rPr>
        <w:t>B.</w:t>
      </w:r>
      <w:r>
        <w:rPr>
          <w:color w:val="231F20"/>
          <w:spacing w:val="-9"/>
          <w:vertAlign w:val="baseline"/>
        </w:rPr>
        <w:t> </w:t>
      </w:r>
      <w:r>
        <w:rPr>
          <w:color w:val="231F20"/>
          <w:vertAlign w:val="baseline"/>
        </w:rPr>
        <w:t>W.,</w:t>
      </w:r>
      <w:r>
        <w:rPr>
          <w:color w:val="231F20"/>
          <w:spacing w:val="-5"/>
          <w:vertAlign w:val="baseline"/>
        </w:rPr>
        <w:t> </w:t>
      </w:r>
      <w:r>
        <w:rPr>
          <w:color w:val="231F20"/>
          <w:vertAlign w:val="baseline"/>
        </w:rPr>
        <w:t>Eron</w:t>
      </w:r>
      <w:r>
        <w:rPr>
          <w:color w:val="231F20"/>
          <w:spacing w:val="-5"/>
          <w:vertAlign w:val="baseline"/>
        </w:rPr>
        <w:t> </w:t>
      </w:r>
      <w:r>
        <w:rPr>
          <w:color w:val="231F20"/>
          <w:vertAlign w:val="baseline"/>
        </w:rPr>
        <w:t>Jr,</w:t>
      </w:r>
      <w:r>
        <w:rPr>
          <w:color w:val="231F20"/>
          <w:spacing w:val="-5"/>
          <w:vertAlign w:val="baseline"/>
        </w:rPr>
        <w:t> </w:t>
      </w:r>
      <w:r>
        <w:rPr>
          <w:color w:val="231F20"/>
          <w:vertAlign w:val="baseline"/>
        </w:rPr>
        <w:t>J.</w:t>
      </w:r>
      <w:r>
        <w:rPr>
          <w:color w:val="231F20"/>
          <w:spacing w:val="-6"/>
          <w:vertAlign w:val="baseline"/>
        </w:rPr>
        <w:t> </w:t>
      </w:r>
      <w:r>
        <w:rPr>
          <w:color w:val="231F20"/>
          <w:vertAlign w:val="baseline"/>
        </w:rPr>
        <w:t>J.,</w:t>
      </w:r>
      <w:r>
        <w:rPr>
          <w:color w:val="231F20"/>
          <w:spacing w:val="-6"/>
          <w:vertAlign w:val="baseline"/>
        </w:rPr>
        <w:t> </w:t>
      </w:r>
      <w:r>
        <w:rPr>
          <w:color w:val="231F20"/>
          <w:vertAlign w:val="baseline"/>
        </w:rPr>
        <w:t>&amp;</w:t>
      </w:r>
      <w:r>
        <w:rPr>
          <w:color w:val="231F20"/>
          <w:spacing w:val="-5"/>
          <w:vertAlign w:val="baseline"/>
        </w:rPr>
        <w:t> </w:t>
      </w:r>
      <w:r>
        <w:rPr>
          <w:color w:val="231F20"/>
          <w:vertAlign w:val="baseline"/>
        </w:rPr>
        <w:t>Miller,</w:t>
      </w:r>
    </w:p>
    <w:p>
      <w:pPr>
        <w:pStyle w:val="BodyText"/>
        <w:spacing w:line="228" w:lineRule="auto" w:before="4"/>
        <w:ind w:left="519" w:right="970"/>
      </w:pPr>
      <w:r>
        <w:rPr>
          <w:color w:val="231F20"/>
        </w:rPr>
        <w:t>W. C. (2008). Prevalence and comorbidity of</w:t>
      </w:r>
      <w:r>
        <w:rPr>
          <w:color w:val="231F20"/>
          <w:spacing w:val="1"/>
        </w:rPr>
        <w:t> </w:t>
      </w:r>
      <w:r>
        <w:rPr>
          <w:color w:val="231F20"/>
        </w:rPr>
        <w:t>psychiatric diagnoses based on reference standard</w:t>
      </w:r>
      <w:r>
        <w:rPr>
          <w:color w:val="231F20"/>
          <w:spacing w:val="-52"/>
        </w:rPr>
        <w:t> </w:t>
      </w:r>
      <w:r>
        <w:rPr>
          <w:color w:val="231F20"/>
        </w:rPr>
        <w:t>in an HIV+ patient population. </w:t>
      </w:r>
      <w:r>
        <w:rPr>
          <w:i/>
          <w:color w:val="231F20"/>
        </w:rPr>
        <w:t>Psychosomatic</w:t>
      </w:r>
      <w:r>
        <w:rPr>
          <w:i/>
          <w:color w:val="231F20"/>
          <w:spacing w:val="1"/>
        </w:rPr>
        <w:t> </w:t>
      </w:r>
      <w:r>
        <w:rPr>
          <w:i/>
          <w:color w:val="231F20"/>
        </w:rPr>
        <w:t>Medicine,</w:t>
      </w:r>
      <w:r>
        <w:rPr>
          <w:i/>
          <w:color w:val="231F20"/>
          <w:spacing w:val="-9"/>
        </w:rPr>
        <w:t> </w:t>
      </w:r>
      <w:r>
        <w:rPr>
          <w:i/>
          <w:color w:val="231F20"/>
        </w:rPr>
        <w:t>70</w:t>
      </w:r>
      <w:r>
        <w:rPr>
          <w:color w:val="231F20"/>
        </w:rPr>
        <w:t>(4),</w:t>
      </w:r>
      <w:r>
        <w:rPr>
          <w:color w:val="231F20"/>
          <w:spacing w:val="-9"/>
        </w:rPr>
        <w:t> </w:t>
      </w:r>
      <w:r>
        <w:rPr>
          <w:color w:val="231F20"/>
        </w:rPr>
        <w:t>505-511.</w:t>
      </w:r>
      <w:r>
        <w:rPr>
          <w:color w:val="3953A4"/>
          <w:spacing w:val="-8"/>
        </w:rPr>
        <w:t> </w:t>
      </w:r>
      <w:hyperlink r:id="rId92">
        <w:r>
          <w:rPr>
            <w:color w:val="3953A4"/>
            <w:u w:val="single" w:color="3953A4"/>
          </w:rPr>
          <w:t>https://doi.org/10.1097/</w:t>
        </w:r>
      </w:hyperlink>
      <w:r>
        <w:rPr>
          <w:color w:val="3953A4"/>
          <w:spacing w:val="-52"/>
        </w:rPr>
        <w:t> </w:t>
      </w:r>
      <w:hyperlink r:id="rId92">
        <w:r>
          <w:rPr>
            <w:color w:val="3953A4"/>
            <w:u w:val="single" w:color="3953A4"/>
          </w:rPr>
          <w:t>psy.0b013e31816aa0cc</w:t>
        </w:r>
      </w:hyperlink>
    </w:p>
    <w:p>
      <w:pPr>
        <w:pStyle w:val="BodyText"/>
        <w:tabs>
          <w:tab w:pos="519" w:val="left" w:leader="none"/>
        </w:tabs>
        <w:spacing w:line="228" w:lineRule="auto" w:before="88"/>
        <w:ind w:left="519" w:right="935" w:hanging="360"/>
      </w:pPr>
      <w:r>
        <w:rPr>
          <w:color w:val="231F20"/>
          <w:vertAlign w:val="superscript"/>
        </w:rPr>
        <w:t>55</w:t>
      </w:r>
      <w:r>
        <w:rPr>
          <w:color w:val="231F20"/>
          <w:vertAlign w:val="baseline"/>
        </w:rPr>
        <w:tab/>
      </w:r>
      <w:r>
        <w:rPr>
          <w:color w:val="231F20"/>
          <w:spacing w:val="-2"/>
          <w:vertAlign w:val="baseline"/>
        </w:rPr>
        <w:t>Do, A. N., Rosenberg, </w:t>
      </w:r>
      <w:r>
        <w:rPr>
          <w:color w:val="231F20"/>
          <w:spacing w:val="-1"/>
          <w:vertAlign w:val="baseline"/>
        </w:rPr>
        <w:t>E. S., Sullivan, P. S., Beer,</w:t>
      </w:r>
      <w:r>
        <w:rPr>
          <w:color w:val="231F20"/>
          <w:vertAlign w:val="baseline"/>
        </w:rPr>
        <w:t> L., Strine, T. W., Schulden, J. D., Fagan, J. L.,</w:t>
      </w:r>
      <w:r>
        <w:rPr>
          <w:color w:val="231F20"/>
          <w:spacing w:val="1"/>
          <w:vertAlign w:val="baseline"/>
        </w:rPr>
        <w:t> </w:t>
      </w:r>
      <w:r>
        <w:rPr>
          <w:color w:val="231F20"/>
          <w:vertAlign w:val="baseline"/>
        </w:rPr>
        <w:t>Freedman, M. S., &amp; Skarbinski, J. (2014). Excess</w:t>
      </w:r>
      <w:r>
        <w:rPr>
          <w:color w:val="231F20"/>
          <w:spacing w:val="1"/>
          <w:vertAlign w:val="baseline"/>
        </w:rPr>
        <w:t> </w:t>
      </w:r>
      <w:r>
        <w:rPr>
          <w:color w:val="231F20"/>
          <w:vertAlign w:val="baseline"/>
        </w:rPr>
        <w:t>burden of depression among HIV-infected persons</w:t>
      </w:r>
      <w:r>
        <w:rPr>
          <w:color w:val="231F20"/>
          <w:spacing w:val="-52"/>
          <w:vertAlign w:val="baseline"/>
        </w:rPr>
        <w:t> </w:t>
      </w:r>
      <w:r>
        <w:rPr>
          <w:color w:val="231F20"/>
          <w:vertAlign w:val="baseline"/>
        </w:rPr>
        <w:t>receiving medical care in the United States: Data</w:t>
      </w:r>
      <w:r>
        <w:rPr>
          <w:color w:val="231F20"/>
          <w:spacing w:val="1"/>
          <w:vertAlign w:val="baseline"/>
        </w:rPr>
        <w:t> </w:t>
      </w:r>
      <w:r>
        <w:rPr>
          <w:color w:val="231F20"/>
          <w:vertAlign w:val="baseline"/>
        </w:rPr>
        <w:t>from the Medical Monitoring Project and the</w:t>
      </w:r>
      <w:r>
        <w:rPr>
          <w:color w:val="231F20"/>
          <w:spacing w:val="1"/>
          <w:vertAlign w:val="baseline"/>
        </w:rPr>
        <w:t> </w:t>
      </w:r>
      <w:r>
        <w:rPr>
          <w:color w:val="231F20"/>
          <w:vertAlign w:val="baseline"/>
        </w:rPr>
        <w:t>Behavioral Risk Factor Surveillance System. </w:t>
      </w:r>
      <w:r>
        <w:rPr>
          <w:i/>
          <w:color w:val="231F20"/>
          <w:vertAlign w:val="baseline"/>
        </w:rPr>
        <w:t>PloS</w:t>
      </w:r>
      <w:r>
        <w:rPr>
          <w:i/>
          <w:color w:val="231F20"/>
          <w:spacing w:val="-52"/>
          <w:vertAlign w:val="baseline"/>
        </w:rPr>
        <w:t> </w:t>
      </w:r>
      <w:r>
        <w:rPr>
          <w:i/>
          <w:color w:val="231F20"/>
          <w:vertAlign w:val="baseline"/>
        </w:rPr>
        <w:t>One,</w:t>
      </w:r>
      <w:r>
        <w:rPr>
          <w:i/>
          <w:color w:val="231F20"/>
          <w:spacing w:val="-7"/>
          <w:vertAlign w:val="baseline"/>
        </w:rPr>
        <w:t> </w:t>
      </w:r>
      <w:r>
        <w:rPr>
          <w:i/>
          <w:color w:val="231F20"/>
          <w:vertAlign w:val="baseline"/>
        </w:rPr>
        <w:t>9</w:t>
      </w:r>
      <w:r>
        <w:rPr>
          <w:color w:val="231F20"/>
          <w:vertAlign w:val="baseline"/>
        </w:rPr>
        <w:t>(3),</w:t>
      </w:r>
      <w:r>
        <w:rPr>
          <w:color w:val="231F20"/>
          <w:spacing w:val="-6"/>
          <w:vertAlign w:val="baseline"/>
        </w:rPr>
        <w:t> </w:t>
      </w:r>
      <w:r>
        <w:rPr>
          <w:color w:val="231F20"/>
          <w:vertAlign w:val="baseline"/>
        </w:rPr>
        <w:t>e92842.</w:t>
      </w:r>
      <w:r>
        <w:rPr>
          <w:color w:val="231F20"/>
          <w:spacing w:val="-6"/>
          <w:vertAlign w:val="baseline"/>
        </w:rPr>
        <w:t> </w:t>
      </w:r>
      <w:hyperlink r:id="rId93">
        <w:r>
          <w:rPr>
            <w:color w:val="3953A4"/>
            <w:u w:val="single" w:color="3953A4"/>
            <w:vertAlign w:val="baseline"/>
          </w:rPr>
          <w:t>https://doi.org/10.1371/journal.</w:t>
        </w:r>
      </w:hyperlink>
      <w:r>
        <w:rPr>
          <w:color w:val="3953A4"/>
          <w:spacing w:val="-52"/>
          <w:vertAlign w:val="baseline"/>
        </w:rPr>
        <w:t> </w:t>
      </w:r>
      <w:hyperlink r:id="rId93">
        <w:r>
          <w:rPr>
            <w:color w:val="3953A4"/>
            <w:u w:val="single" w:color="3953A4"/>
            <w:vertAlign w:val="baseline"/>
          </w:rPr>
          <w:t>pone.0092842</w:t>
        </w:r>
      </w:hyperlink>
    </w:p>
    <w:p>
      <w:pPr>
        <w:pStyle w:val="BodyText"/>
        <w:tabs>
          <w:tab w:pos="519" w:val="left" w:leader="none"/>
        </w:tabs>
        <w:spacing w:line="228" w:lineRule="auto" w:before="87"/>
        <w:ind w:left="519" w:right="764" w:hanging="360"/>
      </w:pPr>
      <w:r>
        <w:rPr>
          <w:color w:val="231F20"/>
          <w:vertAlign w:val="superscript"/>
        </w:rPr>
        <w:t>56</w:t>
      </w:r>
      <w:r>
        <w:rPr>
          <w:color w:val="231F20"/>
          <w:vertAlign w:val="baseline"/>
        </w:rPr>
        <w:tab/>
        <w:t>Chander,</w:t>
      </w:r>
      <w:r>
        <w:rPr>
          <w:color w:val="231F20"/>
          <w:spacing w:val="-4"/>
          <w:vertAlign w:val="baseline"/>
        </w:rPr>
        <w:t> </w:t>
      </w:r>
      <w:r>
        <w:rPr>
          <w:color w:val="231F20"/>
          <w:vertAlign w:val="baseline"/>
        </w:rPr>
        <w:t>G.,</w:t>
      </w:r>
      <w:r>
        <w:rPr>
          <w:color w:val="231F20"/>
          <w:spacing w:val="-4"/>
          <w:vertAlign w:val="baseline"/>
        </w:rPr>
        <w:t> </w:t>
      </w:r>
      <w:r>
        <w:rPr>
          <w:color w:val="231F20"/>
          <w:vertAlign w:val="baseline"/>
        </w:rPr>
        <w:t>Himelhoch,</w:t>
      </w:r>
      <w:r>
        <w:rPr>
          <w:color w:val="231F20"/>
          <w:spacing w:val="-4"/>
          <w:vertAlign w:val="baseline"/>
        </w:rPr>
        <w:t> </w:t>
      </w:r>
      <w:r>
        <w:rPr>
          <w:color w:val="231F20"/>
          <w:vertAlign w:val="baseline"/>
        </w:rPr>
        <w:t>S.,</w:t>
      </w:r>
      <w:r>
        <w:rPr>
          <w:color w:val="231F20"/>
          <w:spacing w:val="-5"/>
          <w:vertAlign w:val="baseline"/>
        </w:rPr>
        <w:t> </w:t>
      </w:r>
      <w:r>
        <w:rPr>
          <w:color w:val="231F20"/>
          <w:vertAlign w:val="baseline"/>
        </w:rPr>
        <w:t>&amp;</w:t>
      </w:r>
      <w:r>
        <w:rPr>
          <w:color w:val="231F20"/>
          <w:spacing w:val="-3"/>
          <w:vertAlign w:val="baseline"/>
        </w:rPr>
        <w:t> </w:t>
      </w:r>
      <w:r>
        <w:rPr>
          <w:color w:val="231F20"/>
          <w:vertAlign w:val="baseline"/>
        </w:rPr>
        <w:t>Moore,</w:t>
      </w:r>
      <w:r>
        <w:rPr>
          <w:color w:val="231F20"/>
          <w:spacing w:val="-4"/>
          <w:vertAlign w:val="baseline"/>
        </w:rPr>
        <w:t> </w:t>
      </w:r>
      <w:r>
        <w:rPr>
          <w:color w:val="231F20"/>
          <w:vertAlign w:val="baseline"/>
        </w:rPr>
        <w:t>R.</w:t>
      </w:r>
      <w:r>
        <w:rPr>
          <w:color w:val="231F20"/>
          <w:spacing w:val="-4"/>
          <w:vertAlign w:val="baseline"/>
        </w:rPr>
        <w:t> </w:t>
      </w:r>
      <w:r>
        <w:rPr>
          <w:color w:val="231F20"/>
          <w:vertAlign w:val="baseline"/>
        </w:rPr>
        <w:t>D.</w:t>
      </w:r>
      <w:r>
        <w:rPr>
          <w:color w:val="231F20"/>
          <w:spacing w:val="-4"/>
          <w:vertAlign w:val="baseline"/>
        </w:rPr>
        <w:t> </w:t>
      </w:r>
      <w:r>
        <w:rPr>
          <w:color w:val="231F20"/>
          <w:vertAlign w:val="baseline"/>
        </w:rPr>
        <w:t>(2006).</w:t>
      </w:r>
      <w:r>
        <w:rPr>
          <w:color w:val="231F20"/>
          <w:spacing w:val="-52"/>
          <w:vertAlign w:val="baseline"/>
        </w:rPr>
        <w:t> </w:t>
      </w:r>
      <w:r>
        <w:rPr>
          <w:color w:val="231F20"/>
          <w:vertAlign w:val="baseline"/>
        </w:rPr>
        <w:t>Substance abuse and psychiatric disorders in HIV-</w:t>
      </w:r>
      <w:r>
        <w:rPr>
          <w:color w:val="231F20"/>
          <w:spacing w:val="1"/>
          <w:vertAlign w:val="baseline"/>
        </w:rPr>
        <w:t> </w:t>
      </w:r>
      <w:r>
        <w:rPr>
          <w:color w:val="231F20"/>
          <w:vertAlign w:val="baseline"/>
        </w:rPr>
        <w:t>positive patients. </w:t>
      </w:r>
      <w:r>
        <w:rPr>
          <w:i/>
          <w:color w:val="231F20"/>
          <w:vertAlign w:val="baseline"/>
        </w:rPr>
        <w:t>Drugs, 66</w:t>
      </w:r>
      <w:r>
        <w:rPr>
          <w:color w:val="231F20"/>
          <w:vertAlign w:val="baseline"/>
        </w:rPr>
        <w:t>(6), 769-789. </w:t>
      </w:r>
      <w:hyperlink r:id="rId94">
        <w:r>
          <w:rPr>
            <w:color w:val="3953A4"/>
            <w:u w:val="single" w:color="3953A4"/>
            <w:vertAlign w:val="baseline"/>
          </w:rPr>
          <w:t>https://doi.</w:t>
        </w:r>
      </w:hyperlink>
      <w:r>
        <w:rPr>
          <w:color w:val="3953A4"/>
          <w:spacing w:val="-52"/>
          <w:vertAlign w:val="baseline"/>
        </w:rPr>
        <w:t> </w:t>
      </w:r>
      <w:hyperlink r:id="rId94">
        <w:r>
          <w:rPr>
            <w:color w:val="3953A4"/>
            <w:u w:val="single" w:color="3953A4"/>
            <w:vertAlign w:val="baseline"/>
          </w:rPr>
          <w:t>org/10.2165/00003495-200666060-0000</w:t>
        </w:r>
      </w:hyperlink>
      <w:r>
        <w:rPr>
          <w:color w:val="3953A4"/>
          <w:u w:val="single" w:color="3953A4"/>
          <w:vertAlign w:val="baseline"/>
        </w:rPr>
        <w:t>4  </w:t>
      </w:r>
    </w:p>
    <w:p>
      <w:pPr>
        <w:pStyle w:val="BodyText"/>
        <w:tabs>
          <w:tab w:pos="519" w:val="left" w:leader="none"/>
        </w:tabs>
        <w:spacing w:before="78"/>
        <w:ind w:left="159"/>
      </w:pPr>
      <w:r>
        <w:rPr>
          <w:color w:val="231F20"/>
          <w:vertAlign w:val="superscript"/>
        </w:rPr>
        <w:t>57</w:t>
      </w:r>
      <w:r>
        <w:rPr>
          <w:color w:val="231F20"/>
          <w:vertAlign w:val="baseline"/>
        </w:rPr>
        <w:tab/>
      </w:r>
      <w:r>
        <w:rPr>
          <w:color w:val="231F20"/>
          <w:spacing w:val="-2"/>
          <w:vertAlign w:val="baseline"/>
        </w:rPr>
        <w:t>Schumacher,</w:t>
      </w:r>
      <w:r>
        <w:rPr>
          <w:color w:val="231F20"/>
          <w:spacing w:val="-11"/>
          <w:vertAlign w:val="baseline"/>
        </w:rPr>
        <w:t> </w:t>
      </w:r>
      <w:r>
        <w:rPr>
          <w:color w:val="231F20"/>
          <w:spacing w:val="-2"/>
          <w:vertAlign w:val="baseline"/>
        </w:rPr>
        <w:t>J.</w:t>
      </w:r>
      <w:r>
        <w:rPr>
          <w:color w:val="231F20"/>
          <w:spacing w:val="-12"/>
          <w:vertAlign w:val="baseline"/>
        </w:rPr>
        <w:t> </w:t>
      </w:r>
      <w:r>
        <w:rPr>
          <w:color w:val="231F20"/>
          <w:spacing w:val="-2"/>
          <w:vertAlign w:val="baseline"/>
        </w:rPr>
        <w:t>E.,</w:t>
      </w:r>
      <w:r>
        <w:rPr>
          <w:color w:val="231F20"/>
          <w:spacing w:val="-11"/>
          <w:vertAlign w:val="baseline"/>
        </w:rPr>
        <w:t> </w:t>
      </w:r>
      <w:r>
        <w:rPr>
          <w:color w:val="231F20"/>
          <w:spacing w:val="-2"/>
          <w:vertAlign w:val="baseline"/>
        </w:rPr>
        <w:t>McCullumsmith,</w:t>
      </w:r>
      <w:r>
        <w:rPr>
          <w:color w:val="231F20"/>
          <w:spacing w:val="-11"/>
          <w:vertAlign w:val="baseline"/>
        </w:rPr>
        <w:t> </w:t>
      </w:r>
      <w:r>
        <w:rPr>
          <w:color w:val="231F20"/>
          <w:spacing w:val="-1"/>
          <w:vertAlign w:val="baseline"/>
        </w:rPr>
        <w:t>C.,</w:t>
      </w:r>
      <w:r>
        <w:rPr>
          <w:color w:val="231F20"/>
          <w:spacing w:val="-11"/>
          <w:vertAlign w:val="baseline"/>
        </w:rPr>
        <w:t> </w:t>
      </w:r>
      <w:r>
        <w:rPr>
          <w:color w:val="231F20"/>
          <w:spacing w:val="-1"/>
          <w:vertAlign w:val="baseline"/>
        </w:rPr>
        <w:t>Mugavero,</w:t>
      </w:r>
    </w:p>
    <w:p>
      <w:pPr>
        <w:spacing w:after="0"/>
        <w:sectPr>
          <w:type w:val="continuous"/>
          <w:pgSz w:w="12240" w:h="15840"/>
          <w:pgMar w:header="0" w:footer="666" w:top="1500" w:bottom="0" w:left="560" w:right="0"/>
          <w:cols w:num="2" w:equalWidth="0">
            <w:col w:w="5241" w:space="519"/>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BodyText"/>
        <w:spacing w:line="228" w:lineRule="auto" w:before="101"/>
        <w:ind w:left="520" w:right="373"/>
      </w:pPr>
      <w:r>
        <w:rPr>
          <w:color w:val="231F20"/>
          <w:spacing w:val="-2"/>
        </w:rPr>
        <w:t>M.</w:t>
      </w:r>
      <w:r>
        <w:rPr>
          <w:color w:val="231F20"/>
          <w:spacing w:val="-11"/>
        </w:rPr>
        <w:t> </w:t>
      </w:r>
      <w:r>
        <w:rPr>
          <w:color w:val="231F20"/>
          <w:spacing w:val="-2"/>
        </w:rPr>
        <w:t>J.,</w:t>
      </w:r>
      <w:r>
        <w:rPr>
          <w:color w:val="231F20"/>
          <w:spacing w:val="-10"/>
        </w:rPr>
        <w:t> </w:t>
      </w:r>
      <w:r>
        <w:rPr>
          <w:color w:val="231F20"/>
          <w:spacing w:val="-2"/>
        </w:rPr>
        <w:t>Ingle-Pang,</w:t>
      </w:r>
      <w:r>
        <w:rPr>
          <w:color w:val="231F20"/>
          <w:spacing w:val="-9"/>
        </w:rPr>
        <w:t> </w:t>
      </w:r>
      <w:r>
        <w:rPr>
          <w:color w:val="231F20"/>
          <w:spacing w:val="-1"/>
        </w:rPr>
        <w:t>P.</w:t>
      </w:r>
      <w:r>
        <w:rPr>
          <w:color w:val="231F20"/>
          <w:spacing w:val="-9"/>
        </w:rPr>
        <w:t> </w:t>
      </w:r>
      <w:r>
        <w:rPr>
          <w:color w:val="231F20"/>
          <w:spacing w:val="-1"/>
        </w:rPr>
        <w:t>E.,</w:t>
      </w:r>
      <w:r>
        <w:rPr>
          <w:color w:val="231F20"/>
          <w:spacing w:val="-9"/>
        </w:rPr>
        <w:t> </w:t>
      </w:r>
      <w:r>
        <w:rPr>
          <w:color w:val="231F20"/>
          <w:spacing w:val="-1"/>
        </w:rPr>
        <w:t>Raper,</w:t>
      </w:r>
      <w:r>
        <w:rPr>
          <w:color w:val="231F20"/>
          <w:spacing w:val="-9"/>
        </w:rPr>
        <w:t> </w:t>
      </w:r>
      <w:r>
        <w:rPr>
          <w:color w:val="231F20"/>
          <w:spacing w:val="-1"/>
        </w:rPr>
        <w:t>J.</w:t>
      </w:r>
      <w:r>
        <w:rPr>
          <w:color w:val="231F20"/>
          <w:spacing w:val="-10"/>
        </w:rPr>
        <w:t> </w:t>
      </w:r>
      <w:r>
        <w:rPr>
          <w:color w:val="231F20"/>
          <w:spacing w:val="-1"/>
        </w:rPr>
        <w:t>L.,</w:t>
      </w:r>
      <w:r>
        <w:rPr>
          <w:color w:val="231F20"/>
          <w:spacing w:val="-13"/>
        </w:rPr>
        <w:t> </w:t>
      </w:r>
      <w:r>
        <w:rPr>
          <w:color w:val="231F20"/>
          <w:spacing w:val="-1"/>
        </w:rPr>
        <w:t>Willig,</w:t>
      </w:r>
      <w:r>
        <w:rPr>
          <w:color w:val="231F20"/>
          <w:spacing w:val="-9"/>
        </w:rPr>
        <w:t> </w:t>
      </w:r>
      <w:r>
        <w:rPr>
          <w:color w:val="231F20"/>
          <w:spacing w:val="-1"/>
        </w:rPr>
        <w:t>J.</w:t>
      </w:r>
      <w:r>
        <w:rPr>
          <w:color w:val="231F20"/>
          <w:spacing w:val="-10"/>
        </w:rPr>
        <w:t> </w:t>
      </w:r>
      <w:r>
        <w:rPr>
          <w:color w:val="231F20"/>
          <w:spacing w:val="-1"/>
        </w:rPr>
        <w:t>H.,</w:t>
      </w:r>
      <w:r>
        <w:rPr>
          <w:color w:val="231F20"/>
        </w:rPr>
        <w:t> </w:t>
      </w:r>
      <w:r>
        <w:rPr>
          <w:color w:val="231F20"/>
          <w:spacing w:val="-2"/>
        </w:rPr>
        <w:t>You, Z., Batey, D. S., Crane, H., </w:t>
      </w:r>
      <w:r>
        <w:rPr>
          <w:color w:val="231F20"/>
          <w:spacing w:val="-1"/>
        </w:rPr>
        <w:t>Lawrence, S. T.,</w:t>
      </w:r>
      <w:r>
        <w:rPr>
          <w:color w:val="231F20"/>
          <w:spacing w:val="-52"/>
        </w:rPr>
        <w:t> </w:t>
      </w:r>
      <w:r>
        <w:rPr>
          <w:color w:val="231F20"/>
          <w:spacing w:val="-1"/>
        </w:rPr>
        <w:t>Wright, C., Treisman, G., &amp; Saag, </w:t>
      </w:r>
      <w:r>
        <w:rPr>
          <w:color w:val="231F20"/>
        </w:rPr>
        <w:t>M. S. (2013).</w:t>
      </w:r>
      <w:r>
        <w:rPr>
          <w:color w:val="231F20"/>
          <w:spacing w:val="1"/>
        </w:rPr>
        <w:t> </w:t>
      </w:r>
      <w:r>
        <w:rPr>
          <w:color w:val="231F20"/>
        </w:rPr>
        <w:t>Routine depression screening in an HIV clinic</w:t>
      </w:r>
      <w:r>
        <w:rPr>
          <w:color w:val="231F20"/>
          <w:spacing w:val="1"/>
        </w:rPr>
        <w:t> </w:t>
      </w:r>
      <w:r>
        <w:rPr>
          <w:color w:val="231F20"/>
          <w:spacing w:val="-2"/>
        </w:rPr>
        <w:t>cohort</w:t>
      </w:r>
      <w:r>
        <w:rPr>
          <w:color w:val="231F20"/>
          <w:spacing w:val="-11"/>
        </w:rPr>
        <w:t> </w:t>
      </w:r>
      <w:r>
        <w:rPr>
          <w:color w:val="231F20"/>
          <w:spacing w:val="-2"/>
        </w:rPr>
        <w:t>identifies</w:t>
      </w:r>
      <w:r>
        <w:rPr>
          <w:color w:val="231F20"/>
          <w:spacing w:val="-11"/>
        </w:rPr>
        <w:t> </w:t>
      </w:r>
      <w:r>
        <w:rPr>
          <w:color w:val="231F20"/>
          <w:spacing w:val="-1"/>
        </w:rPr>
        <w:t>patients</w:t>
      </w:r>
      <w:r>
        <w:rPr>
          <w:color w:val="231F20"/>
          <w:spacing w:val="-11"/>
        </w:rPr>
        <w:t> </w:t>
      </w:r>
      <w:r>
        <w:rPr>
          <w:color w:val="231F20"/>
          <w:spacing w:val="-1"/>
        </w:rPr>
        <w:t>with</w:t>
      </w:r>
      <w:r>
        <w:rPr>
          <w:color w:val="231F20"/>
          <w:spacing w:val="-11"/>
        </w:rPr>
        <w:t> </w:t>
      </w:r>
      <w:r>
        <w:rPr>
          <w:color w:val="231F20"/>
          <w:spacing w:val="-1"/>
        </w:rPr>
        <w:t>complex</w:t>
      </w:r>
      <w:r>
        <w:rPr>
          <w:color w:val="231F20"/>
          <w:spacing w:val="-11"/>
        </w:rPr>
        <w:t> </w:t>
      </w:r>
      <w:r>
        <w:rPr>
          <w:color w:val="231F20"/>
          <w:spacing w:val="-1"/>
        </w:rPr>
        <w:t>psychiatric</w:t>
      </w:r>
      <w:r>
        <w:rPr>
          <w:color w:val="231F20"/>
          <w:spacing w:val="-52"/>
        </w:rPr>
        <w:t> </w:t>
      </w:r>
      <w:r>
        <w:rPr>
          <w:color w:val="231F20"/>
          <w:spacing w:val="-1"/>
        </w:rPr>
        <w:t>co-morbidities who show significant </w:t>
      </w:r>
      <w:r>
        <w:rPr>
          <w:color w:val="231F20"/>
        </w:rPr>
        <w:t>response to</w:t>
      </w:r>
      <w:r>
        <w:rPr>
          <w:color w:val="231F20"/>
          <w:spacing w:val="1"/>
        </w:rPr>
        <w:t> </w:t>
      </w:r>
      <w:r>
        <w:rPr>
          <w:color w:val="231F20"/>
          <w:spacing w:val="-2"/>
        </w:rPr>
        <w:t>treatment. </w:t>
      </w:r>
      <w:r>
        <w:rPr>
          <w:i/>
          <w:color w:val="231F20"/>
          <w:spacing w:val="-1"/>
        </w:rPr>
        <w:t>AIDS and Behavior, 17</w:t>
      </w:r>
      <w:r>
        <w:rPr>
          <w:color w:val="231F20"/>
          <w:spacing w:val="-1"/>
        </w:rPr>
        <w:t>(8), 2781-2791.</w:t>
      </w:r>
      <w:r>
        <w:rPr>
          <w:color w:val="3953A4"/>
          <w:spacing w:val="-52"/>
        </w:rPr>
        <w:t> </w:t>
      </w:r>
      <w:hyperlink r:id="rId95">
        <w:r>
          <w:rPr>
            <w:color w:val="3953A4"/>
            <w:u w:val="single" w:color="3953A4"/>
          </w:rPr>
          <w:t>https://doi.org/10.1007/s10461-012-0342-7</w:t>
        </w:r>
      </w:hyperlink>
    </w:p>
    <w:p>
      <w:pPr>
        <w:pStyle w:val="BodyText"/>
        <w:tabs>
          <w:tab w:pos="519" w:val="left" w:leader="none"/>
        </w:tabs>
        <w:spacing w:line="228" w:lineRule="auto" w:before="87"/>
        <w:ind w:left="520" w:right="54" w:hanging="360"/>
      </w:pPr>
      <w:r>
        <w:rPr>
          <w:color w:val="231F20"/>
          <w:vertAlign w:val="superscript"/>
        </w:rPr>
        <w:t>58</w:t>
      </w:r>
      <w:r>
        <w:rPr>
          <w:color w:val="231F20"/>
          <w:vertAlign w:val="baseline"/>
        </w:rPr>
        <w:tab/>
      </w:r>
      <w:r>
        <w:rPr>
          <w:color w:val="231F20"/>
          <w:spacing w:val="-3"/>
          <w:vertAlign w:val="baseline"/>
        </w:rPr>
        <w:t>Substance Abuse and Mental </w:t>
      </w:r>
      <w:r>
        <w:rPr>
          <w:color w:val="231F20"/>
          <w:spacing w:val="-2"/>
          <w:vertAlign w:val="baseline"/>
        </w:rPr>
        <w:t>Health Services</w:t>
      </w:r>
      <w:r>
        <w:rPr>
          <w:color w:val="231F20"/>
          <w:spacing w:val="-1"/>
          <w:vertAlign w:val="baseline"/>
        </w:rPr>
        <w:t> </w:t>
      </w:r>
      <w:r>
        <w:rPr>
          <w:color w:val="231F20"/>
          <w:vertAlign w:val="baseline"/>
        </w:rPr>
        <w:t>Administration, &amp; Health Resources and Services</w:t>
      </w:r>
      <w:r>
        <w:rPr>
          <w:color w:val="231F20"/>
          <w:spacing w:val="1"/>
          <w:vertAlign w:val="baseline"/>
        </w:rPr>
        <w:t> </w:t>
      </w:r>
      <w:r>
        <w:rPr>
          <w:color w:val="231F20"/>
          <w:vertAlign w:val="baseline"/>
        </w:rPr>
        <w:t>Administration. (2016). </w:t>
      </w:r>
      <w:r>
        <w:rPr>
          <w:i/>
          <w:color w:val="231F20"/>
          <w:vertAlign w:val="baseline"/>
        </w:rPr>
        <w:t>The case for behavioral</w:t>
      </w:r>
      <w:r>
        <w:rPr>
          <w:i/>
          <w:color w:val="231F20"/>
          <w:spacing w:val="1"/>
          <w:vertAlign w:val="baseline"/>
        </w:rPr>
        <w:t> </w:t>
      </w:r>
      <w:r>
        <w:rPr>
          <w:i/>
          <w:color w:val="231F20"/>
          <w:vertAlign w:val="baseline"/>
        </w:rPr>
        <w:t>health screening in HIV care settings</w:t>
      </w:r>
      <w:r>
        <w:rPr>
          <w:color w:val="231F20"/>
          <w:vertAlign w:val="baseline"/>
        </w:rPr>
        <w:t>. U.S.</w:t>
      </w:r>
      <w:r>
        <w:rPr>
          <w:color w:val="231F20"/>
          <w:spacing w:val="1"/>
          <w:vertAlign w:val="baseline"/>
        </w:rPr>
        <w:t> </w:t>
      </w:r>
      <w:r>
        <w:rPr>
          <w:color w:val="231F20"/>
          <w:spacing w:val="-1"/>
          <w:vertAlign w:val="baseline"/>
        </w:rPr>
        <w:t>Department of Health and </w:t>
      </w:r>
      <w:r>
        <w:rPr>
          <w:color w:val="231F20"/>
          <w:vertAlign w:val="baseline"/>
        </w:rPr>
        <w:t>Human Services. </w:t>
      </w:r>
      <w:hyperlink r:id="rId96">
        <w:r>
          <w:rPr>
            <w:color w:val="3953A4"/>
            <w:u w:val="single" w:color="3953A4"/>
            <w:vertAlign w:val="baseline"/>
          </w:rPr>
          <w:t>https://</w:t>
        </w:r>
      </w:hyperlink>
      <w:r>
        <w:rPr>
          <w:color w:val="3953A4"/>
          <w:spacing w:val="1"/>
          <w:vertAlign w:val="baseline"/>
        </w:rPr>
        <w:t> </w:t>
      </w:r>
      <w:hyperlink r:id="rId96">
        <w:r>
          <w:rPr>
            <w:color w:val="3953A4"/>
            <w:spacing w:val="-1"/>
            <w:u w:val="single" w:color="3953A4"/>
            <w:vertAlign w:val="baseline"/>
          </w:rPr>
          <w:t>store.samhsa.gov/product/The-Case-for-Behavioral-</w:t>
        </w:r>
      </w:hyperlink>
      <w:r>
        <w:rPr>
          <w:color w:val="3953A4"/>
          <w:vertAlign w:val="baseline"/>
        </w:rPr>
        <w:t> </w:t>
      </w:r>
      <w:hyperlink r:id="rId96">
        <w:r>
          <w:rPr>
            <w:color w:val="3953A4"/>
            <w:spacing w:val="-3"/>
            <w:u w:val="single" w:color="3953A4"/>
            <w:vertAlign w:val="baseline"/>
          </w:rPr>
          <w:t>Health-Screening-in-HIV-Care-Settings/SMA16-4999</w:t>
        </w:r>
      </w:hyperlink>
    </w:p>
    <w:p>
      <w:pPr>
        <w:pStyle w:val="BodyText"/>
        <w:tabs>
          <w:tab w:pos="519" w:val="left" w:leader="none"/>
        </w:tabs>
        <w:spacing w:line="228" w:lineRule="auto" w:before="88"/>
        <w:ind w:left="520" w:right="100" w:hanging="360"/>
      </w:pPr>
      <w:r>
        <w:rPr>
          <w:color w:val="231F20"/>
          <w:vertAlign w:val="superscript"/>
        </w:rPr>
        <w:t>59</w:t>
      </w:r>
      <w:r>
        <w:rPr>
          <w:color w:val="231F20"/>
          <w:vertAlign w:val="baseline"/>
        </w:rPr>
        <w:tab/>
      </w:r>
      <w:r>
        <w:rPr>
          <w:color w:val="231F20"/>
          <w:spacing w:val="-4"/>
          <w:vertAlign w:val="baseline"/>
        </w:rPr>
        <w:t>Safren, S. A., O’Cleirigh, </w:t>
      </w:r>
      <w:r>
        <w:rPr>
          <w:color w:val="231F20"/>
          <w:spacing w:val="-3"/>
          <w:vertAlign w:val="baseline"/>
        </w:rPr>
        <w:t>C., Tan, J. Y., Raminani, S.</w:t>
      </w:r>
      <w:r>
        <w:rPr>
          <w:color w:val="231F20"/>
          <w:spacing w:val="-2"/>
          <w:vertAlign w:val="baseline"/>
        </w:rPr>
        <w:t> </w:t>
      </w:r>
      <w:r>
        <w:rPr>
          <w:color w:val="231F20"/>
          <w:spacing w:val="-3"/>
          <w:vertAlign w:val="baseline"/>
        </w:rPr>
        <w:t>R.,</w:t>
      </w:r>
      <w:r>
        <w:rPr>
          <w:color w:val="231F20"/>
          <w:spacing w:val="-8"/>
          <w:vertAlign w:val="baseline"/>
        </w:rPr>
        <w:t> </w:t>
      </w:r>
      <w:r>
        <w:rPr>
          <w:color w:val="231F20"/>
          <w:spacing w:val="-3"/>
          <w:vertAlign w:val="baseline"/>
        </w:rPr>
        <w:t>Reilly,</w:t>
      </w:r>
      <w:r>
        <w:rPr>
          <w:color w:val="231F20"/>
          <w:spacing w:val="-8"/>
          <w:vertAlign w:val="baseline"/>
        </w:rPr>
        <w:t> </w:t>
      </w:r>
      <w:r>
        <w:rPr>
          <w:color w:val="231F20"/>
          <w:spacing w:val="-3"/>
          <w:vertAlign w:val="baseline"/>
        </w:rPr>
        <w:t>L.</w:t>
      </w:r>
      <w:r>
        <w:rPr>
          <w:color w:val="231F20"/>
          <w:spacing w:val="-8"/>
          <w:vertAlign w:val="baseline"/>
        </w:rPr>
        <w:t> </w:t>
      </w:r>
      <w:r>
        <w:rPr>
          <w:color w:val="231F20"/>
          <w:spacing w:val="-3"/>
          <w:vertAlign w:val="baseline"/>
        </w:rPr>
        <w:t>C.,</w:t>
      </w:r>
      <w:r>
        <w:rPr>
          <w:color w:val="231F20"/>
          <w:spacing w:val="-8"/>
          <w:vertAlign w:val="baseline"/>
        </w:rPr>
        <w:t> </w:t>
      </w:r>
      <w:r>
        <w:rPr>
          <w:color w:val="231F20"/>
          <w:spacing w:val="-3"/>
          <w:vertAlign w:val="baseline"/>
        </w:rPr>
        <w:t>Otto,</w:t>
      </w:r>
      <w:r>
        <w:rPr>
          <w:color w:val="231F20"/>
          <w:spacing w:val="-8"/>
          <w:vertAlign w:val="baseline"/>
        </w:rPr>
        <w:t> </w:t>
      </w:r>
      <w:r>
        <w:rPr>
          <w:color w:val="231F20"/>
          <w:spacing w:val="-2"/>
          <w:vertAlign w:val="baseline"/>
        </w:rPr>
        <w:t>M.</w:t>
      </w:r>
      <w:r>
        <w:rPr>
          <w:color w:val="231F20"/>
          <w:spacing w:val="-11"/>
          <w:vertAlign w:val="baseline"/>
        </w:rPr>
        <w:t> </w:t>
      </w:r>
      <w:r>
        <w:rPr>
          <w:color w:val="231F20"/>
          <w:spacing w:val="-2"/>
          <w:vertAlign w:val="baseline"/>
        </w:rPr>
        <w:t>W.,</w:t>
      </w:r>
      <w:r>
        <w:rPr>
          <w:color w:val="231F20"/>
          <w:spacing w:val="-8"/>
          <w:vertAlign w:val="baseline"/>
        </w:rPr>
        <w:t> </w:t>
      </w:r>
      <w:r>
        <w:rPr>
          <w:color w:val="231F20"/>
          <w:spacing w:val="-2"/>
          <w:vertAlign w:val="baseline"/>
        </w:rPr>
        <w:t>&amp;</w:t>
      </w:r>
      <w:r>
        <w:rPr>
          <w:color w:val="231F20"/>
          <w:spacing w:val="-8"/>
          <w:vertAlign w:val="baseline"/>
        </w:rPr>
        <w:t> </w:t>
      </w:r>
      <w:r>
        <w:rPr>
          <w:color w:val="231F20"/>
          <w:spacing w:val="-2"/>
          <w:vertAlign w:val="baseline"/>
        </w:rPr>
        <w:t>Mayer,</w:t>
      </w:r>
      <w:r>
        <w:rPr>
          <w:color w:val="231F20"/>
          <w:spacing w:val="-8"/>
          <w:vertAlign w:val="baseline"/>
        </w:rPr>
        <w:t> </w:t>
      </w:r>
      <w:r>
        <w:rPr>
          <w:color w:val="231F20"/>
          <w:spacing w:val="-2"/>
          <w:vertAlign w:val="baseline"/>
        </w:rPr>
        <w:t>K.</w:t>
      </w:r>
      <w:r>
        <w:rPr>
          <w:color w:val="231F20"/>
          <w:spacing w:val="-8"/>
          <w:vertAlign w:val="baseline"/>
        </w:rPr>
        <w:t> </w:t>
      </w:r>
      <w:r>
        <w:rPr>
          <w:color w:val="231F20"/>
          <w:spacing w:val="-2"/>
          <w:vertAlign w:val="baseline"/>
        </w:rPr>
        <w:t>H.</w:t>
      </w:r>
      <w:r>
        <w:rPr>
          <w:color w:val="231F20"/>
          <w:spacing w:val="-8"/>
          <w:vertAlign w:val="baseline"/>
        </w:rPr>
        <w:t> </w:t>
      </w:r>
      <w:r>
        <w:rPr>
          <w:color w:val="231F20"/>
          <w:spacing w:val="-2"/>
          <w:vertAlign w:val="baseline"/>
        </w:rPr>
        <w:t>(2009).</w:t>
      </w:r>
      <w:r>
        <w:rPr>
          <w:color w:val="231F20"/>
          <w:spacing w:val="-52"/>
          <w:vertAlign w:val="baseline"/>
        </w:rPr>
        <w:t> </w:t>
      </w:r>
      <w:r>
        <w:rPr>
          <w:color w:val="231F20"/>
          <w:spacing w:val="-3"/>
          <w:vertAlign w:val="baseline"/>
        </w:rPr>
        <w:t>A randomized controlled trial of cognitive </w:t>
      </w:r>
      <w:r>
        <w:rPr>
          <w:color w:val="231F20"/>
          <w:spacing w:val="-2"/>
          <w:vertAlign w:val="baseline"/>
        </w:rPr>
        <w:t>behavioral</w:t>
      </w:r>
      <w:r>
        <w:rPr>
          <w:color w:val="231F20"/>
          <w:spacing w:val="-1"/>
          <w:vertAlign w:val="baseline"/>
        </w:rPr>
        <w:t> therapy for adherence and depression </w:t>
      </w:r>
      <w:r>
        <w:rPr>
          <w:color w:val="231F20"/>
          <w:vertAlign w:val="baseline"/>
        </w:rPr>
        <w:t>(CBT-ad) in</w:t>
      </w:r>
      <w:r>
        <w:rPr>
          <w:color w:val="231F20"/>
          <w:spacing w:val="1"/>
          <w:vertAlign w:val="baseline"/>
        </w:rPr>
        <w:t> </w:t>
      </w:r>
      <w:r>
        <w:rPr>
          <w:color w:val="231F20"/>
          <w:spacing w:val="-3"/>
          <w:vertAlign w:val="baseline"/>
        </w:rPr>
        <w:t>HIV-infected individuals. </w:t>
      </w:r>
      <w:r>
        <w:rPr>
          <w:i/>
          <w:color w:val="231F20"/>
          <w:spacing w:val="-3"/>
          <w:vertAlign w:val="baseline"/>
        </w:rPr>
        <w:t>Health Psychology, </w:t>
      </w:r>
      <w:r>
        <w:rPr>
          <w:i/>
          <w:color w:val="231F20"/>
          <w:spacing w:val="-2"/>
          <w:vertAlign w:val="baseline"/>
        </w:rPr>
        <w:t>28</w:t>
      </w:r>
      <w:r>
        <w:rPr>
          <w:color w:val="231F20"/>
          <w:spacing w:val="-2"/>
          <w:vertAlign w:val="baseline"/>
        </w:rPr>
        <w:t>(1),</w:t>
      </w:r>
      <w:r>
        <w:rPr>
          <w:color w:val="231F20"/>
          <w:spacing w:val="-1"/>
          <w:vertAlign w:val="baseline"/>
        </w:rPr>
        <w:t> </w:t>
      </w:r>
      <w:r>
        <w:rPr>
          <w:color w:val="231F20"/>
          <w:vertAlign w:val="baseline"/>
        </w:rPr>
        <w:t>1-10.</w:t>
      </w:r>
      <w:r>
        <w:rPr>
          <w:color w:val="231F20"/>
          <w:spacing w:val="-10"/>
          <w:vertAlign w:val="baseline"/>
        </w:rPr>
        <w:t> </w:t>
      </w:r>
      <w:hyperlink r:id="rId97">
        <w:r>
          <w:rPr>
            <w:color w:val="3953A4"/>
            <w:u w:val="single" w:color="3953A4"/>
            <w:vertAlign w:val="baseline"/>
          </w:rPr>
          <w:t>https://doi.org/10.1037/a0012715</w:t>
        </w:r>
      </w:hyperlink>
    </w:p>
    <w:p>
      <w:pPr>
        <w:pStyle w:val="BodyText"/>
        <w:tabs>
          <w:tab w:pos="519" w:val="left" w:leader="none"/>
        </w:tabs>
        <w:spacing w:line="228" w:lineRule="auto" w:before="88"/>
        <w:ind w:left="519" w:right="171" w:hanging="360"/>
      </w:pPr>
      <w:r>
        <w:rPr>
          <w:color w:val="231F20"/>
          <w:vertAlign w:val="superscript"/>
        </w:rPr>
        <w:t>60</w:t>
      </w:r>
      <w:r>
        <w:rPr>
          <w:color w:val="231F20"/>
          <w:vertAlign w:val="baseline"/>
        </w:rPr>
        <w:tab/>
        <w:t>Leserman, J. (2008). Role of depression, stress, and</w:t>
      </w:r>
      <w:r>
        <w:rPr>
          <w:color w:val="231F20"/>
          <w:spacing w:val="-52"/>
          <w:vertAlign w:val="baseline"/>
        </w:rPr>
        <w:t> </w:t>
      </w:r>
      <w:r>
        <w:rPr>
          <w:color w:val="231F20"/>
          <w:vertAlign w:val="baseline"/>
        </w:rPr>
        <w:t>trauma in HIV disease progression. </w:t>
      </w:r>
      <w:r>
        <w:rPr>
          <w:i/>
          <w:color w:val="231F20"/>
          <w:vertAlign w:val="baseline"/>
        </w:rPr>
        <w:t>Psychosomatic</w:t>
      </w:r>
      <w:r>
        <w:rPr>
          <w:i/>
          <w:color w:val="231F20"/>
          <w:spacing w:val="1"/>
          <w:vertAlign w:val="baseline"/>
        </w:rPr>
        <w:t> </w:t>
      </w:r>
      <w:r>
        <w:rPr>
          <w:i/>
          <w:color w:val="231F20"/>
          <w:vertAlign w:val="baseline"/>
        </w:rPr>
        <w:t>Medicine, 70</w:t>
      </w:r>
      <w:r>
        <w:rPr>
          <w:color w:val="231F20"/>
          <w:vertAlign w:val="baseline"/>
        </w:rPr>
        <w:t>(5), 539-545. </w:t>
      </w:r>
      <w:hyperlink r:id="rId98">
        <w:r>
          <w:rPr>
            <w:color w:val="3953A4"/>
            <w:u w:val="single" w:color="3953A4"/>
            <w:vertAlign w:val="baseline"/>
          </w:rPr>
          <w:t>https://doi.org/10.1097/</w:t>
        </w:r>
      </w:hyperlink>
      <w:r>
        <w:rPr>
          <w:color w:val="3953A4"/>
          <w:spacing w:val="1"/>
          <w:vertAlign w:val="baseline"/>
        </w:rPr>
        <w:t> </w:t>
      </w:r>
      <w:hyperlink r:id="rId98">
        <w:r>
          <w:rPr>
            <w:color w:val="3953A4"/>
            <w:u w:val="single" w:color="3953A4"/>
            <w:vertAlign w:val="baseline"/>
          </w:rPr>
          <w:t>psy.0b013e3181777a5f</w:t>
        </w:r>
      </w:hyperlink>
    </w:p>
    <w:p>
      <w:pPr>
        <w:pStyle w:val="BodyText"/>
        <w:tabs>
          <w:tab w:pos="519" w:val="left" w:leader="none"/>
        </w:tabs>
        <w:spacing w:line="246" w:lineRule="exact" w:before="79"/>
        <w:ind w:left="159"/>
      </w:pPr>
      <w:r>
        <w:rPr>
          <w:color w:val="231F20"/>
          <w:vertAlign w:val="superscript"/>
        </w:rPr>
        <w:t>61</w:t>
      </w:r>
      <w:r>
        <w:rPr>
          <w:color w:val="231F20"/>
          <w:vertAlign w:val="baseline"/>
        </w:rPr>
        <w:tab/>
      </w:r>
      <w:r>
        <w:rPr>
          <w:color w:val="231F20"/>
          <w:spacing w:val="-3"/>
          <w:vertAlign w:val="baseline"/>
        </w:rPr>
        <w:t>Sales,</w:t>
      </w:r>
      <w:r>
        <w:rPr>
          <w:color w:val="231F20"/>
          <w:spacing w:val="-5"/>
          <w:vertAlign w:val="baseline"/>
        </w:rPr>
        <w:t> </w:t>
      </w:r>
      <w:r>
        <w:rPr>
          <w:color w:val="231F20"/>
          <w:spacing w:val="-3"/>
          <w:vertAlign w:val="baseline"/>
        </w:rPr>
        <w:t>J.</w:t>
      </w:r>
      <w:r>
        <w:rPr>
          <w:color w:val="231F20"/>
          <w:spacing w:val="-5"/>
          <w:vertAlign w:val="baseline"/>
        </w:rPr>
        <w:t> </w:t>
      </w:r>
      <w:r>
        <w:rPr>
          <w:color w:val="231F20"/>
          <w:spacing w:val="-3"/>
          <w:vertAlign w:val="baseline"/>
        </w:rPr>
        <w:t>M.,</w:t>
      </w:r>
      <w:r>
        <w:rPr>
          <w:color w:val="231F20"/>
          <w:spacing w:val="-5"/>
          <w:vertAlign w:val="baseline"/>
        </w:rPr>
        <w:t> </w:t>
      </w:r>
      <w:r>
        <w:rPr>
          <w:color w:val="231F20"/>
          <w:spacing w:val="-3"/>
          <w:vertAlign w:val="baseline"/>
        </w:rPr>
        <w:t>Swartzendruber,</w:t>
      </w:r>
      <w:r>
        <w:rPr>
          <w:color w:val="231F20"/>
          <w:spacing w:val="-17"/>
          <w:vertAlign w:val="baseline"/>
        </w:rPr>
        <w:t> </w:t>
      </w:r>
      <w:r>
        <w:rPr>
          <w:color w:val="231F20"/>
          <w:spacing w:val="-3"/>
          <w:vertAlign w:val="baseline"/>
        </w:rPr>
        <w:t>A.,</w:t>
      </w:r>
      <w:r>
        <w:rPr>
          <w:color w:val="231F20"/>
          <w:spacing w:val="-5"/>
          <w:vertAlign w:val="baseline"/>
        </w:rPr>
        <w:t> </w:t>
      </w:r>
      <w:r>
        <w:rPr>
          <w:color w:val="231F20"/>
          <w:spacing w:val="-2"/>
          <w:vertAlign w:val="baseline"/>
        </w:rPr>
        <w:t>&amp;</w:t>
      </w:r>
      <w:r>
        <w:rPr>
          <w:color w:val="231F20"/>
          <w:spacing w:val="-4"/>
          <w:vertAlign w:val="baseline"/>
        </w:rPr>
        <w:t> </w:t>
      </w:r>
      <w:r>
        <w:rPr>
          <w:color w:val="231F20"/>
          <w:spacing w:val="-2"/>
          <w:vertAlign w:val="baseline"/>
        </w:rPr>
        <w:t>Phillips,</w:t>
      </w:r>
      <w:r>
        <w:rPr>
          <w:color w:val="231F20"/>
          <w:spacing w:val="-17"/>
          <w:vertAlign w:val="baseline"/>
        </w:rPr>
        <w:t> </w:t>
      </w:r>
      <w:r>
        <w:rPr>
          <w:color w:val="231F20"/>
          <w:spacing w:val="-2"/>
          <w:vertAlign w:val="baseline"/>
        </w:rPr>
        <w:t>A.</w:t>
      </w:r>
    </w:p>
    <w:p>
      <w:pPr>
        <w:pStyle w:val="BodyText"/>
        <w:spacing w:line="228" w:lineRule="auto" w:before="3"/>
        <w:ind w:left="519" w:right="378"/>
      </w:pPr>
      <w:r>
        <w:rPr>
          <w:color w:val="231F20"/>
          <w:spacing w:val="-2"/>
        </w:rPr>
        <w:t>L. (2016). Trauma-informed </w:t>
      </w:r>
      <w:r>
        <w:rPr>
          <w:color w:val="231F20"/>
          <w:spacing w:val="-1"/>
        </w:rPr>
        <w:t>HIV prevention and</w:t>
      </w:r>
      <w:r>
        <w:rPr>
          <w:color w:val="231F20"/>
        </w:rPr>
        <w:t> </w:t>
      </w:r>
      <w:r>
        <w:rPr>
          <w:color w:val="231F20"/>
          <w:spacing w:val="-2"/>
        </w:rPr>
        <w:t>treatment.</w:t>
      </w:r>
      <w:r>
        <w:rPr>
          <w:color w:val="231F20"/>
          <w:spacing w:val="-11"/>
        </w:rPr>
        <w:t> </w:t>
      </w:r>
      <w:r>
        <w:rPr>
          <w:i/>
          <w:color w:val="231F20"/>
          <w:spacing w:val="-2"/>
        </w:rPr>
        <w:t>Current</w:t>
      </w:r>
      <w:r>
        <w:rPr>
          <w:i/>
          <w:color w:val="231F20"/>
          <w:spacing w:val="-11"/>
        </w:rPr>
        <w:t> </w:t>
      </w:r>
      <w:r>
        <w:rPr>
          <w:i/>
          <w:color w:val="231F20"/>
          <w:spacing w:val="-1"/>
        </w:rPr>
        <w:t>HIV/AIDS</w:t>
      </w:r>
      <w:r>
        <w:rPr>
          <w:i/>
          <w:color w:val="231F20"/>
          <w:spacing w:val="-11"/>
        </w:rPr>
        <w:t> </w:t>
      </w:r>
      <w:r>
        <w:rPr>
          <w:i/>
          <w:color w:val="231F20"/>
          <w:spacing w:val="-1"/>
        </w:rPr>
        <w:t>Reports,</w:t>
      </w:r>
      <w:r>
        <w:rPr>
          <w:i/>
          <w:color w:val="231F20"/>
          <w:spacing w:val="-10"/>
        </w:rPr>
        <w:t> </w:t>
      </w:r>
      <w:r>
        <w:rPr>
          <w:i/>
          <w:color w:val="231F20"/>
          <w:spacing w:val="-1"/>
        </w:rPr>
        <w:t>13</w:t>
      </w:r>
      <w:r>
        <w:rPr>
          <w:color w:val="231F20"/>
          <w:spacing w:val="-1"/>
        </w:rPr>
        <w:t>(6),</w:t>
      </w:r>
      <w:r>
        <w:rPr>
          <w:color w:val="231F20"/>
          <w:spacing w:val="-10"/>
        </w:rPr>
        <w:t> </w:t>
      </w:r>
      <w:r>
        <w:rPr>
          <w:color w:val="231F20"/>
          <w:spacing w:val="-1"/>
        </w:rPr>
        <w:t>374-</w:t>
      </w:r>
      <w:r>
        <w:rPr>
          <w:color w:val="231F20"/>
          <w:spacing w:val="-52"/>
        </w:rPr>
        <w:t> </w:t>
      </w:r>
      <w:r>
        <w:rPr>
          <w:color w:val="231F20"/>
          <w:spacing w:val="-2"/>
        </w:rPr>
        <w:t>382.</w:t>
      </w:r>
      <w:r>
        <w:rPr>
          <w:color w:val="3953A4"/>
          <w:spacing w:val="-7"/>
        </w:rPr>
        <w:t> </w:t>
      </w:r>
      <w:hyperlink r:id="rId99">
        <w:r>
          <w:rPr>
            <w:color w:val="3953A4"/>
            <w:spacing w:val="-2"/>
            <w:u w:val="single" w:color="3953A4"/>
          </w:rPr>
          <w:t>https://doi.org/10.1007/s11904-016-0337-5</w:t>
        </w:r>
      </w:hyperlink>
    </w:p>
    <w:p>
      <w:pPr>
        <w:pStyle w:val="BodyText"/>
        <w:tabs>
          <w:tab w:pos="519" w:val="left" w:leader="none"/>
        </w:tabs>
        <w:spacing w:line="228" w:lineRule="auto" w:before="89"/>
        <w:ind w:left="519" w:right="38" w:hanging="360"/>
      </w:pPr>
      <w:r>
        <w:rPr>
          <w:color w:val="231F20"/>
          <w:vertAlign w:val="superscript"/>
        </w:rPr>
        <w:t>62</w:t>
      </w:r>
      <w:r>
        <w:rPr>
          <w:color w:val="231F20"/>
          <w:vertAlign w:val="baseline"/>
        </w:rPr>
        <w:tab/>
      </w:r>
      <w:r>
        <w:rPr>
          <w:color w:val="231F20"/>
          <w:spacing w:val="-3"/>
          <w:vertAlign w:val="baseline"/>
        </w:rPr>
        <w:t>Machtinger, Wilson, T., E., Haberer, </w:t>
      </w:r>
      <w:r>
        <w:rPr>
          <w:color w:val="231F20"/>
          <w:spacing w:val="-2"/>
          <w:vertAlign w:val="baseline"/>
        </w:rPr>
        <w:t>J., &amp; Weiss, D.</w:t>
      </w:r>
      <w:r>
        <w:rPr>
          <w:color w:val="231F20"/>
          <w:spacing w:val="-1"/>
          <w:vertAlign w:val="baseline"/>
        </w:rPr>
        <w:t> </w:t>
      </w:r>
      <w:r>
        <w:rPr>
          <w:color w:val="231F20"/>
          <w:vertAlign w:val="baseline"/>
        </w:rPr>
        <w:t>(2012). Psychological trauma and PTSD in HIV-</w:t>
      </w:r>
      <w:r>
        <w:rPr>
          <w:color w:val="231F20"/>
          <w:spacing w:val="1"/>
          <w:vertAlign w:val="baseline"/>
        </w:rPr>
        <w:t> </w:t>
      </w:r>
      <w:r>
        <w:rPr>
          <w:color w:val="231F20"/>
          <w:spacing w:val="-3"/>
          <w:vertAlign w:val="baseline"/>
        </w:rPr>
        <w:t>positive</w:t>
      </w:r>
      <w:r>
        <w:rPr>
          <w:color w:val="231F20"/>
          <w:spacing w:val="-2"/>
          <w:vertAlign w:val="baseline"/>
        </w:rPr>
        <w:t> </w:t>
      </w:r>
      <w:r>
        <w:rPr>
          <w:color w:val="231F20"/>
          <w:spacing w:val="-3"/>
          <w:vertAlign w:val="baseline"/>
        </w:rPr>
        <w:t>women:</w:t>
      </w:r>
      <w:r>
        <w:rPr>
          <w:color w:val="231F20"/>
          <w:spacing w:val="-16"/>
          <w:vertAlign w:val="baseline"/>
        </w:rPr>
        <w:t> </w:t>
      </w:r>
      <w:r>
        <w:rPr>
          <w:color w:val="231F20"/>
          <w:spacing w:val="-3"/>
          <w:vertAlign w:val="baseline"/>
        </w:rPr>
        <w:t>A</w:t>
      </w:r>
      <w:r>
        <w:rPr>
          <w:color w:val="231F20"/>
          <w:spacing w:val="-15"/>
          <w:vertAlign w:val="baseline"/>
        </w:rPr>
        <w:t> </w:t>
      </w:r>
      <w:r>
        <w:rPr>
          <w:color w:val="231F20"/>
          <w:spacing w:val="-3"/>
          <w:vertAlign w:val="baseline"/>
        </w:rPr>
        <w:t>meta-analysis. </w:t>
      </w:r>
      <w:r>
        <w:rPr>
          <w:i/>
          <w:color w:val="231F20"/>
          <w:spacing w:val="-2"/>
          <w:vertAlign w:val="baseline"/>
        </w:rPr>
        <w:t>AIDS</w:t>
      </w:r>
      <w:r>
        <w:rPr>
          <w:i/>
          <w:color w:val="231F20"/>
          <w:spacing w:val="-1"/>
          <w:vertAlign w:val="baseline"/>
        </w:rPr>
        <w:t> </w:t>
      </w:r>
      <w:r>
        <w:rPr>
          <w:i/>
          <w:color w:val="231F20"/>
          <w:spacing w:val="-2"/>
          <w:vertAlign w:val="baseline"/>
        </w:rPr>
        <w:t>and Behavior,</w:t>
      </w:r>
      <w:r>
        <w:rPr>
          <w:i/>
          <w:color w:val="231F20"/>
          <w:spacing w:val="-52"/>
          <w:vertAlign w:val="baseline"/>
        </w:rPr>
        <w:t> </w:t>
      </w:r>
      <w:r>
        <w:rPr>
          <w:i/>
          <w:color w:val="231F20"/>
          <w:spacing w:val="-2"/>
          <w:vertAlign w:val="baseline"/>
        </w:rPr>
        <w:t>16</w:t>
      </w:r>
      <w:r>
        <w:rPr>
          <w:color w:val="231F20"/>
          <w:spacing w:val="-2"/>
          <w:vertAlign w:val="baseline"/>
        </w:rPr>
        <w:t>, 2091-2100. </w:t>
      </w:r>
      <w:hyperlink r:id="rId90">
        <w:r>
          <w:rPr>
            <w:color w:val="3953A4"/>
            <w:spacing w:val="-1"/>
            <w:u w:val="single" w:color="3953A4"/>
            <w:vertAlign w:val="baseline"/>
          </w:rPr>
          <w:t>https://doi.org/10.1007/s10461-011-</w:t>
        </w:r>
      </w:hyperlink>
      <w:r>
        <w:rPr>
          <w:color w:val="3953A4"/>
          <w:vertAlign w:val="baseline"/>
        </w:rPr>
        <w:t> </w:t>
      </w:r>
      <w:hyperlink r:id="rId90">
        <w:r>
          <w:rPr>
            <w:color w:val="3953A4"/>
            <w:u w:val="single" w:color="3953A4"/>
            <w:vertAlign w:val="baseline"/>
          </w:rPr>
          <w:t>0127-4</w:t>
        </w:r>
      </w:hyperlink>
    </w:p>
    <w:p>
      <w:pPr>
        <w:pStyle w:val="BodyText"/>
        <w:tabs>
          <w:tab w:pos="519" w:val="left" w:leader="none"/>
        </w:tabs>
        <w:spacing w:line="228" w:lineRule="auto" w:before="89"/>
        <w:ind w:left="519" w:right="72" w:hanging="360"/>
      </w:pPr>
      <w:r>
        <w:rPr>
          <w:color w:val="231F20"/>
          <w:vertAlign w:val="superscript"/>
        </w:rPr>
        <w:t>63</w:t>
      </w:r>
      <w:r>
        <w:rPr>
          <w:color w:val="231F20"/>
          <w:vertAlign w:val="baseline"/>
        </w:rPr>
        <w:tab/>
        <w:t>Golin, C. E., Haley, D. F., Wang, J., Hughes, J. P.,</w:t>
      </w:r>
      <w:r>
        <w:rPr>
          <w:color w:val="231F20"/>
          <w:spacing w:val="1"/>
          <w:vertAlign w:val="baseline"/>
        </w:rPr>
        <w:t> </w:t>
      </w:r>
      <w:r>
        <w:rPr>
          <w:color w:val="231F20"/>
          <w:spacing w:val="-1"/>
          <w:vertAlign w:val="baseline"/>
        </w:rPr>
        <w:t>Kuo, I.,</w:t>
      </w:r>
      <w:r>
        <w:rPr>
          <w:color w:val="231F20"/>
          <w:vertAlign w:val="baseline"/>
        </w:rPr>
        <w:t> </w:t>
      </w:r>
      <w:r>
        <w:rPr>
          <w:color w:val="231F20"/>
          <w:spacing w:val="-1"/>
          <w:vertAlign w:val="baseline"/>
        </w:rPr>
        <w:t>Justman, J.,</w:t>
      </w:r>
      <w:r>
        <w:rPr>
          <w:color w:val="231F20"/>
          <w:spacing w:val="-13"/>
          <w:vertAlign w:val="baseline"/>
        </w:rPr>
        <w:t> </w:t>
      </w:r>
      <w:r>
        <w:rPr>
          <w:color w:val="231F20"/>
          <w:spacing w:val="-1"/>
          <w:vertAlign w:val="baseline"/>
        </w:rPr>
        <w:t>Adimora,</w:t>
      </w:r>
      <w:r>
        <w:rPr>
          <w:color w:val="231F20"/>
          <w:spacing w:val="-13"/>
          <w:vertAlign w:val="baseline"/>
        </w:rPr>
        <w:t> </w:t>
      </w:r>
      <w:r>
        <w:rPr>
          <w:color w:val="231F20"/>
          <w:spacing w:val="-1"/>
          <w:vertAlign w:val="baseline"/>
        </w:rPr>
        <w:t>A.</w:t>
      </w:r>
      <w:r>
        <w:rPr>
          <w:color w:val="231F20"/>
          <w:spacing w:val="-13"/>
          <w:vertAlign w:val="baseline"/>
        </w:rPr>
        <w:t> </w:t>
      </w:r>
      <w:r>
        <w:rPr>
          <w:color w:val="231F20"/>
          <w:spacing w:val="-1"/>
          <w:vertAlign w:val="baseline"/>
        </w:rPr>
        <w:t>A., Soto-Torres,</w:t>
      </w:r>
      <w:r>
        <w:rPr>
          <w:color w:val="231F20"/>
          <w:vertAlign w:val="baseline"/>
        </w:rPr>
        <w:t> L.,</w:t>
      </w:r>
      <w:r>
        <w:rPr>
          <w:color w:val="231F20"/>
          <w:spacing w:val="-52"/>
          <w:vertAlign w:val="baseline"/>
        </w:rPr>
        <w:t> </w:t>
      </w:r>
      <w:r>
        <w:rPr>
          <w:color w:val="231F20"/>
          <w:spacing w:val="-2"/>
          <w:vertAlign w:val="baseline"/>
        </w:rPr>
        <w:t>O’Leary, A., </w:t>
      </w:r>
      <w:r>
        <w:rPr>
          <w:color w:val="231F20"/>
          <w:spacing w:val="-1"/>
          <w:vertAlign w:val="baseline"/>
        </w:rPr>
        <w:t>&amp; Hodder, S. (2016). Post-traumatic</w:t>
      </w:r>
      <w:r>
        <w:rPr>
          <w:color w:val="231F20"/>
          <w:vertAlign w:val="baseline"/>
        </w:rPr>
        <w:t> stress disorder symptoms and mental health over</w:t>
      </w:r>
      <w:r>
        <w:rPr>
          <w:color w:val="231F20"/>
          <w:spacing w:val="1"/>
          <w:vertAlign w:val="baseline"/>
        </w:rPr>
        <w:t> </w:t>
      </w:r>
      <w:r>
        <w:rPr>
          <w:color w:val="231F20"/>
          <w:vertAlign w:val="baseline"/>
        </w:rPr>
        <w:t>time</w:t>
      </w:r>
      <w:r>
        <w:rPr>
          <w:color w:val="231F20"/>
          <w:spacing w:val="-1"/>
          <w:vertAlign w:val="baseline"/>
        </w:rPr>
        <w:t> </w:t>
      </w:r>
      <w:r>
        <w:rPr>
          <w:color w:val="231F20"/>
          <w:vertAlign w:val="baseline"/>
        </w:rPr>
        <w:t>among low-income</w:t>
      </w:r>
      <w:r>
        <w:rPr>
          <w:color w:val="231F20"/>
          <w:spacing w:val="-1"/>
          <w:vertAlign w:val="baseline"/>
        </w:rPr>
        <w:t> </w:t>
      </w:r>
      <w:r>
        <w:rPr>
          <w:color w:val="231F20"/>
          <w:vertAlign w:val="baseline"/>
        </w:rPr>
        <w:t>women</w:t>
      </w:r>
      <w:r>
        <w:rPr>
          <w:color w:val="231F20"/>
          <w:spacing w:val="-1"/>
          <w:vertAlign w:val="baseline"/>
        </w:rPr>
        <w:t> </w:t>
      </w:r>
      <w:r>
        <w:rPr>
          <w:color w:val="231F20"/>
          <w:vertAlign w:val="baseline"/>
        </w:rPr>
        <w:t>at increased</w:t>
      </w:r>
      <w:r>
        <w:rPr>
          <w:color w:val="231F20"/>
          <w:spacing w:val="-1"/>
          <w:vertAlign w:val="baseline"/>
        </w:rPr>
        <w:t> </w:t>
      </w:r>
      <w:r>
        <w:rPr>
          <w:color w:val="231F20"/>
          <w:vertAlign w:val="baseline"/>
        </w:rPr>
        <w:t>risk</w:t>
      </w:r>
    </w:p>
    <w:p>
      <w:pPr>
        <w:spacing w:line="228" w:lineRule="auto" w:before="0"/>
        <w:ind w:left="519" w:right="197" w:firstLine="0"/>
        <w:jc w:val="left"/>
        <w:rPr>
          <w:sz w:val="22"/>
        </w:rPr>
      </w:pPr>
      <w:r>
        <w:rPr>
          <w:color w:val="231F20"/>
          <w:sz w:val="22"/>
        </w:rPr>
        <w:t>of HIV in the U.S. </w:t>
      </w:r>
      <w:r>
        <w:rPr>
          <w:i/>
          <w:color w:val="231F20"/>
          <w:sz w:val="22"/>
        </w:rPr>
        <w:t>Journal of Health Care for the</w:t>
      </w:r>
      <w:r>
        <w:rPr>
          <w:i/>
          <w:color w:val="231F20"/>
          <w:spacing w:val="1"/>
          <w:sz w:val="22"/>
        </w:rPr>
        <w:t> </w:t>
      </w:r>
      <w:r>
        <w:rPr>
          <w:i/>
          <w:color w:val="231F20"/>
          <w:sz w:val="22"/>
        </w:rPr>
        <w:t>Poor and Underserved, 27</w:t>
      </w:r>
      <w:r>
        <w:rPr>
          <w:color w:val="231F20"/>
          <w:sz w:val="22"/>
        </w:rPr>
        <w:t>(2), 891-910. </w:t>
      </w:r>
      <w:hyperlink r:id="rId100">
        <w:r>
          <w:rPr>
            <w:color w:val="3953A4"/>
            <w:sz w:val="22"/>
            <w:u w:val="single" w:color="3953A4"/>
          </w:rPr>
          <w:t>https://doi.</w:t>
        </w:r>
      </w:hyperlink>
      <w:r>
        <w:rPr>
          <w:color w:val="3953A4"/>
          <w:spacing w:val="-52"/>
          <w:sz w:val="22"/>
        </w:rPr>
        <w:t> </w:t>
      </w:r>
      <w:hyperlink r:id="rId100">
        <w:r>
          <w:rPr>
            <w:color w:val="3953A4"/>
            <w:sz w:val="22"/>
            <w:u w:val="single" w:color="3953A4"/>
          </w:rPr>
          <w:t>org/10.1353/hpu.2016.0093</w:t>
        </w:r>
      </w:hyperlink>
    </w:p>
    <w:p>
      <w:pPr>
        <w:pStyle w:val="BodyText"/>
        <w:tabs>
          <w:tab w:pos="519" w:val="left" w:leader="none"/>
        </w:tabs>
        <w:spacing w:line="246" w:lineRule="exact" w:before="77"/>
        <w:ind w:left="159"/>
      </w:pPr>
      <w:r>
        <w:rPr>
          <w:color w:val="231F20"/>
          <w:vertAlign w:val="superscript"/>
        </w:rPr>
        <w:t>64</w:t>
      </w:r>
      <w:r>
        <w:rPr>
          <w:color w:val="231F20"/>
          <w:vertAlign w:val="baseline"/>
        </w:rPr>
        <w:tab/>
      </w:r>
      <w:r>
        <w:rPr>
          <w:color w:val="231F20"/>
          <w:spacing w:val="-4"/>
          <w:vertAlign w:val="baseline"/>
        </w:rPr>
        <w:t>Singer,</w:t>
      </w:r>
      <w:r>
        <w:rPr>
          <w:color w:val="231F20"/>
          <w:spacing w:val="-8"/>
          <w:vertAlign w:val="baseline"/>
        </w:rPr>
        <w:t> </w:t>
      </w:r>
      <w:r>
        <w:rPr>
          <w:color w:val="231F20"/>
          <w:spacing w:val="-4"/>
          <w:vertAlign w:val="baseline"/>
        </w:rPr>
        <w:t>M.</w:t>
      </w:r>
      <w:r>
        <w:rPr>
          <w:color w:val="231F20"/>
          <w:spacing w:val="-8"/>
          <w:vertAlign w:val="baseline"/>
        </w:rPr>
        <w:t> </w:t>
      </w:r>
      <w:r>
        <w:rPr>
          <w:color w:val="231F20"/>
          <w:spacing w:val="-4"/>
          <w:vertAlign w:val="baseline"/>
        </w:rPr>
        <w:t>(1994).</w:t>
      </w:r>
      <w:r>
        <w:rPr>
          <w:color w:val="231F20"/>
          <w:spacing w:val="-21"/>
          <w:vertAlign w:val="baseline"/>
        </w:rPr>
        <w:t> </w:t>
      </w:r>
      <w:r>
        <w:rPr>
          <w:color w:val="231F20"/>
          <w:spacing w:val="-4"/>
          <w:vertAlign w:val="baseline"/>
        </w:rPr>
        <w:t>AIDS</w:t>
      </w:r>
      <w:r>
        <w:rPr>
          <w:color w:val="231F20"/>
          <w:spacing w:val="-7"/>
          <w:vertAlign w:val="baseline"/>
        </w:rPr>
        <w:t> </w:t>
      </w:r>
      <w:r>
        <w:rPr>
          <w:color w:val="231F20"/>
          <w:spacing w:val="-4"/>
          <w:vertAlign w:val="baseline"/>
        </w:rPr>
        <w:t>and</w:t>
      </w:r>
      <w:r>
        <w:rPr>
          <w:color w:val="231F20"/>
          <w:spacing w:val="-8"/>
          <w:vertAlign w:val="baseline"/>
        </w:rPr>
        <w:t> </w:t>
      </w:r>
      <w:r>
        <w:rPr>
          <w:color w:val="231F20"/>
          <w:spacing w:val="-3"/>
          <w:vertAlign w:val="baseline"/>
        </w:rPr>
        <w:t>the</w:t>
      </w:r>
      <w:r>
        <w:rPr>
          <w:color w:val="231F20"/>
          <w:spacing w:val="-8"/>
          <w:vertAlign w:val="baseline"/>
        </w:rPr>
        <w:t> </w:t>
      </w:r>
      <w:r>
        <w:rPr>
          <w:color w:val="231F20"/>
          <w:spacing w:val="-3"/>
          <w:vertAlign w:val="baseline"/>
        </w:rPr>
        <w:t>health</w:t>
      </w:r>
      <w:r>
        <w:rPr>
          <w:color w:val="231F20"/>
          <w:spacing w:val="-7"/>
          <w:vertAlign w:val="baseline"/>
        </w:rPr>
        <w:t> </w:t>
      </w:r>
      <w:r>
        <w:rPr>
          <w:color w:val="231F20"/>
          <w:spacing w:val="-3"/>
          <w:vertAlign w:val="baseline"/>
        </w:rPr>
        <w:t>crisis</w:t>
      </w:r>
      <w:r>
        <w:rPr>
          <w:color w:val="231F20"/>
          <w:spacing w:val="-8"/>
          <w:vertAlign w:val="baseline"/>
        </w:rPr>
        <w:t> </w:t>
      </w:r>
      <w:r>
        <w:rPr>
          <w:color w:val="231F20"/>
          <w:spacing w:val="-3"/>
          <w:vertAlign w:val="baseline"/>
        </w:rPr>
        <w:t>of</w:t>
      </w:r>
      <w:r>
        <w:rPr>
          <w:color w:val="231F20"/>
          <w:spacing w:val="-7"/>
          <w:vertAlign w:val="baseline"/>
        </w:rPr>
        <w:t> </w:t>
      </w:r>
      <w:r>
        <w:rPr>
          <w:color w:val="231F20"/>
          <w:spacing w:val="-3"/>
          <w:vertAlign w:val="baseline"/>
        </w:rPr>
        <w:t>the</w:t>
      </w:r>
    </w:p>
    <w:p>
      <w:pPr>
        <w:pStyle w:val="BodyText"/>
        <w:spacing w:line="228" w:lineRule="auto" w:before="4"/>
        <w:ind w:left="519" w:right="33"/>
      </w:pPr>
      <w:r>
        <w:rPr>
          <w:color w:val="231F20"/>
          <w:spacing w:val="-3"/>
        </w:rPr>
        <w:t>U.S. urban poor; the perspective of critical </w:t>
      </w:r>
      <w:r>
        <w:rPr>
          <w:color w:val="231F20"/>
          <w:spacing w:val="-2"/>
        </w:rPr>
        <w:t>medical</w:t>
      </w:r>
      <w:r>
        <w:rPr>
          <w:color w:val="231F20"/>
          <w:spacing w:val="-1"/>
        </w:rPr>
        <w:t> </w:t>
      </w:r>
      <w:r>
        <w:rPr>
          <w:color w:val="231F20"/>
          <w:spacing w:val="-4"/>
        </w:rPr>
        <w:t>anthropology.</w:t>
      </w:r>
      <w:r>
        <w:rPr>
          <w:color w:val="231F20"/>
          <w:spacing w:val="-10"/>
        </w:rPr>
        <w:t> </w:t>
      </w:r>
      <w:r>
        <w:rPr>
          <w:i/>
          <w:color w:val="231F20"/>
          <w:spacing w:val="-4"/>
        </w:rPr>
        <w:t>Social</w:t>
      </w:r>
      <w:r>
        <w:rPr>
          <w:i/>
          <w:color w:val="231F20"/>
          <w:spacing w:val="-9"/>
        </w:rPr>
        <w:t> </w:t>
      </w:r>
      <w:r>
        <w:rPr>
          <w:i/>
          <w:color w:val="231F20"/>
          <w:spacing w:val="-4"/>
        </w:rPr>
        <w:t>Science</w:t>
      </w:r>
      <w:r>
        <w:rPr>
          <w:i/>
          <w:color w:val="231F20"/>
          <w:spacing w:val="-8"/>
        </w:rPr>
        <w:t> </w:t>
      </w:r>
      <w:r>
        <w:rPr>
          <w:i/>
          <w:color w:val="231F20"/>
          <w:spacing w:val="-4"/>
        </w:rPr>
        <w:t>&amp;</w:t>
      </w:r>
      <w:r>
        <w:rPr>
          <w:i/>
          <w:color w:val="231F20"/>
          <w:spacing w:val="-9"/>
        </w:rPr>
        <w:t> </w:t>
      </w:r>
      <w:r>
        <w:rPr>
          <w:i/>
          <w:color w:val="231F20"/>
          <w:spacing w:val="-4"/>
        </w:rPr>
        <w:t>Medicine,</w:t>
      </w:r>
      <w:r>
        <w:rPr>
          <w:i/>
          <w:color w:val="231F20"/>
          <w:spacing w:val="-8"/>
        </w:rPr>
        <w:t> </w:t>
      </w:r>
      <w:r>
        <w:rPr>
          <w:i/>
          <w:color w:val="231F20"/>
          <w:spacing w:val="-4"/>
        </w:rPr>
        <w:t>39</w:t>
      </w:r>
      <w:r>
        <w:rPr>
          <w:color w:val="231F20"/>
          <w:spacing w:val="-4"/>
        </w:rPr>
        <w:t>(7),</w:t>
      </w:r>
      <w:r>
        <w:rPr>
          <w:color w:val="231F20"/>
          <w:spacing w:val="-9"/>
        </w:rPr>
        <w:t> </w:t>
      </w:r>
      <w:r>
        <w:rPr>
          <w:color w:val="231F20"/>
          <w:spacing w:val="-4"/>
        </w:rPr>
        <w:t>931-</w:t>
      </w:r>
      <w:r>
        <w:rPr>
          <w:color w:val="231F20"/>
          <w:spacing w:val="-52"/>
        </w:rPr>
        <w:t> </w:t>
      </w:r>
      <w:r>
        <w:rPr>
          <w:color w:val="231F20"/>
          <w:spacing w:val="-4"/>
        </w:rPr>
        <w:t>948.</w:t>
      </w:r>
      <w:r>
        <w:rPr>
          <w:color w:val="3953A4"/>
          <w:spacing w:val="-8"/>
        </w:rPr>
        <w:t> </w:t>
      </w:r>
      <w:hyperlink r:id="rId101">
        <w:r>
          <w:rPr>
            <w:color w:val="3953A4"/>
            <w:spacing w:val="-4"/>
            <w:u w:val="single" w:color="3953A4"/>
          </w:rPr>
          <w:t>https://doi.org/10.1016/0277-9536(94)90205-4</w:t>
        </w:r>
      </w:hyperlink>
    </w:p>
    <w:p>
      <w:pPr>
        <w:pStyle w:val="BodyText"/>
        <w:tabs>
          <w:tab w:pos="519" w:val="left" w:leader="none"/>
        </w:tabs>
        <w:spacing w:line="246" w:lineRule="exact" w:before="78"/>
        <w:ind w:left="159"/>
      </w:pPr>
      <w:r>
        <w:rPr>
          <w:color w:val="231F20"/>
          <w:vertAlign w:val="superscript"/>
        </w:rPr>
        <w:t>65</w:t>
      </w:r>
      <w:r>
        <w:rPr>
          <w:color w:val="231F20"/>
          <w:vertAlign w:val="baseline"/>
        </w:rPr>
        <w:tab/>
      </w:r>
      <w:r>
        <w:rPr>
          <w:color w:val="231F20"/>
          <w:spacing w:val="-2"/>
          <w:vertAlign w:val="baseline"/>
        </w:rPr>
        <w:t>Aidala,</w:t>
      </w:r>
      <w:r>
        <w:rPr>
          <w:color w:val="231F20"/>
          <w:spacing w:val="-13"/>
          <w:vertAlign w:val="baseline"/>
        </w:rPr>
        <w:t> </w:t>
      </w:r>
      <w:r>
        <w:rPr>
          <w:color w:val="231F20"/>
          <w:spacing w:val="-2"/>
          <w:vertAlign w:val="baseline"/>
        </w:rPr>
        <w:t>A.</w:t>
      </w:r>
      <w:r>
        <w:rPr>
          <w:color w:val="231F20"/>
          <w:spacing w:val="-13"/>
          <w:vertAlign w:val="baseline"/>
        </w:rPr>
        <w:t> </w:t>
      </w:r>
      <w:r>
        <w:rPr>
          <w:color w:val="231F20"/>
          <w:spacing w:val="-2"/>
          <w:vertAlign w:val="baseline"/>
        </w:rPr>
        <w:t>A.,</w:t>
      </w:r>
      <w:r>
        <w:rPr>
          <w:color w:val="231F20"/>
          <w:spacing w:val="-5"/>
          <w:vertAlign w:val="baseline"/>
        </w:rPr>
        <w:t> </w:t>
      </w:r>
      <w:r>
        <w:rPr>
          <w:color w:val="231F20"/>
          <w:spacing w:val="-2"/>
          <w:vertAlign w:val="baseline"/>
        </w:rPr>
        <w:t>Wilson,</w:t>
      </w:r>
      <w:r>
        <w:rPr>
          <w:color w:val="231F20"/>
          <w:vertAlign w:val="baseline"/>
        </w:rPr>
        <w:t> </w:t>
      </w:r>
      <w:r>
        <w:rPr>
          <w:color w:val="231F20"/>
          <w:spacing w:val="-2"/>
          <w:vertAlign w:val="baseline"/>
        </w:rPr>
        <w:t>M.</w:t>
      </w:r>
      <w:r>
        <w:rPr>
          <w:color w:val="231F20"/>
          <w:vertAlign w:val="baseline"/>
        </w:rPr>
        <w:t> </w:t>
      </w:r>
      <w:r>
        <w:rPr>
          <w:color w:val="231F20"/>
          <w:spacing w:val="-2"/>
          <w:vertAlign w:val="baseline"/>
        </w:rPr>
        <w:t>G.,</w:t>
      </w:r>
      <w:r>
        <w:rPr>
          <w:color w:val="231F20"/>
          <w:spacing w:val="-1"/>
          <w:vertAlign w:val="baseline"/>
        </w:rPr>
        <w:t> Shubert,</w:t>
      </w:r>
      <w:r>
        <w:rPr>
          <w:color w:val="231F20"/>
          <w:spacing w:val="-5"/>
          <w:vertAlign w:val="baseline"/>
        </w:rPr>
        <w:t> </w:t>
      </w:r>
      <w:r>
        <w:rPr>
          <w:color w:val="231F20"/>
          <w:spacing w:val="-1"/>
          <w:vertAlign w:val="baseline"/>
        </w:rPr>
        <w:t>V.,</w:t>
      </w:r>
    </w:p>
    <w:p>
      <w:pPr>
        <w:pStyle w:val="BodyText"/>
        <w:spacing w:line="240" w:lineRule="exact"/>
        <w:ind w:left="519"/>
      </w:pPr>
      <w:r>
        <w:rPr>
          <w:color w:val="231F20"/>
        </w:rPr>
        <w:t>Gogolishvili,</w:t>
      </w:r>
      <w:r>
        <w:rPr>
          <w:color w:val="231F20"/>
          <w:spacing w:val="-6"/>
        </w:rPr>
        <w:t> </w:t>
      </w:r>
      <w:r>
        <w:rPr>
          <w:color w:val="231F20"/>
        </w:rPr>
        <w:t>D.,</w:t>
      </w:r>
      <w:r>
        <w:rPr>
          <w:color w:val="231F20"/>
          <w:spacing w:val="-5"/>
        </w:rPr>
        <w:t> </w:t>
      </w:r>
      <w:r>
        <w:rPr>
          <w:color w:val="231F20"/>
        </w:rPr>
        <w:t>Globerman,</w:t>
      </w:r>
      <w:r>
        <w:rPr>
          <w:color w:val="231F20"/>
          <w:spacing w:val="-6"/>
        </w:rPr>
        <w:t> </w:t>
      </w:r>
      <w:r>
        <w:rPr>
          <w:color w:val="231F20"/>
        </w:rPr>
        <w:t>J.,</w:t>
      </w:r>
      <w:r>
        <w:rPr>
          <w:color w:val="231F20"/>
          <w:spacing w:val="-5"/>
        </w:rPr>
        <w:t> </w:t>
      </w:r>
      <w:r>
        <w:rPr>
          <w:color w:val="231F20"/>
        </w:rPr>
        <w:t>Rueda,</w:t>
      </w:r>
      <w:r>
        <w:rPr>
          <w:color w:val="231F20"/>
          <w:spacing w:val="-5"/>
        </w:rPr>
        <w:t> </w:t>
      </w:r>
      <w:r>
        <w:rPr>
          <w:color w:val="231F20"/>
        </w:rPr>
        <w:t>S.,</w:t>
      </w:r>
      <w:r>
        <w:rPr>
          <w:color w:val="231F20"/>
          <w:spacing w:val="-5"/>
        </w:rPr>
        <w:t> </w:t>
      </w:r>
      <w:r>
        <w:rPr>
          <w:color w:val="231F20"/>
        </w:rPr>
        <w:t>Bozack,</w:t>
      </w:r>
    </w:p>
    <w:p>
      <w:pPr>
        <w:pStyle w:val="BodyText"/>
        <w:spacing w:line="228" w:lineRule="auto" w:before="4"/>
        <w:ind w:left="519" w:right="160"/>
      </w:pPr>
      <w:r>
        <w:rPr>
          <w:color w:val="231F20"/>
        </w:rPr>
        <w:t>A. K., Caban, M., &amp; Rourke, S. B. (2016). Housing</w:t>
      </w:r>
      <w:r>
        <w:rPr>
          <w:color w:val="231F20"/>
          <w:spacing w:val="-52"/>
        </w:rPr>
        <w:t> </w:t>
      </w:r>
      <w:r>
        <w:rPr>
          <w:color w:val="231F20"/>
        </w:rPr>
        <w:t>status, medical care, and health outcomes among</w:t>
      </w:r>
      <w:r>
        <w:rPr>
          <w:color w:val="231F20"/>
          <w:spacing w:val="1"/>
        </w:rPr>
        <w:t> </w:t>
      </w:r>
      <w:r>
        <w:rPr>
          <w:color w:val="231F20"/>
          <w:spacing w:val="-1"/>
        </w:rPr>
        <w:t>people</w:t>
      </w:r>
      <w:r>
        <w:rPr>
          <w:color w:val="231F20"/>
        </w:rPr>
        <w:t> </w:t>
      </w:r>
      <w:r>
        <w:rPr>
          <w:color w:val="231F20"/>
          <w:spacing w:val="-1"/>
        </w:rPr>
        <w:t>living</w:t>
      </w:r>
      <w:r>
        <w:rPr>
          <w:color w:val="231F20"/>
        </w:rPr>
        <w:t> </w:t>
      </w:r>
      <w:r>
        <w:rPr>
          <w:color w:val="231F20"/>
          <w:spacing w:val="-1"/>
        </w:rPr>
        <w:t>with HIV/AIDS:</w:t>
      </w:r>
      <w:r>
        <w:rPr>
          <w:color w:val="231F20"/>
          <w:spacing w:val="-13"/>
        </w:rPr>
        <w:t> </w:t>
      </w:r>
      <w:r>
        <w:rPr>
          <w:color w:val="231F20"/>
          <w:spacing w:val="-1"/>
        </w:rPr>
        <w:t>A</w:t>
      </w:r>
      <w:r>
        <w:rPr>
          <w:color w:val="231F20"/>
          <w:spacing w:val="-13"/>
        </w:rPr>
        <w:t> </w:t>
      </w:r>
      <w:r>
        <w:rPr>
          <w:color w:val="231F20"/>
          <w:spacing w:val="-1"/>
        </w:rPr>
        <w:t>systematic</w:t>
      </w:r>
      <w:r>
        <w:rPr>
          <w:color w:val="231F20"/>
        </w:rPr>
        <w:t> review.</w:t>
      </w:r>
    </w:p>
    <w:p>
      <w:pPr>
        <w:spacing w:line="246" w:lineRule="exact" w:before="91"/>
        <w:ind w:left="520" w:right="0" w:firstLine="0"/>
        <w:jc w:val="left"/>
        <w:rPr>
          <w:sz w:val="22"/>
        </w:rPr>
      </w:pPr>
      <w:r>
        <w:rPr/>
        <w:br w:type="column"/>
      </w:r>
      <w:r>
        <w:rPr>
          <w:i/>
          <w:color w:val="231F20"/>
          <w:sz w:val="22"/>
        </w:rPr>
        <w:t>American</w:t>
      </w:r>
      <w:r>
        <w:rPr>
          <w:i/>
          <w:color w:val="231F20"/>
          <w:spacing w:val="-2"/>
          <w:sz w:val="22"/>
        </w:rPr>
        <w:t> </w:t>
      </w:r>
      <w:r>
        <w:rPr>
          <w:i/>
          <w:color w:val="231F20"/>
          <w:sz w:val="22"/>
        </w:rPr>
        <w:t>Journal</w:t>
      </w:r>
      <w:r>
        <w:rPr>
          <w:i/>
          <w:color w:val="231F20"/>
          <w:spacing w:val="-1"/>
          <w:sz w:val="22"/>
        </w:rPr>
        <w:t> </w:t>
      </w:r>
      <w:r>
        <w:rPr>
          <w:i/>
          <w:color w:val="231F20"/>
          <w:sz w:val="22"/>
        </w:rPr>
        <w:t>of</w:t>
      </w:r>
      <w:r>
        <w:rPr>
          <w:i/>
          <w:color w:val="231F20"/>
          <w:spacing w:val="-1"/>
          <w:sz w:val="22"/>
        </w:rPr>
        <w:t> </w:t>
      </w:r>
      <w:r>
        <w:rPr>
          <w:i/>
          <w:color w:val="231F20"/>
          <w:sz w:val="22"/>
        </w:rPr>
        <w:t>Public</w:t>
      </w:r>
      <w:r>
        <w:rPr>
          <w:i/>
          <w:color w:val="231F20"/>
          <w:spacing w:val="-2"/>
          <w:sz w:val="22"/>
        </w:rPr>
        <w:t> </w:t>
      </w:r>
      <w:r>
        <w:rPr>
          <w:i/>
          <w:color w:val="231F20"/>
          <w:sz w:val="22"/>
        </w:rPr>
        <w:t>Health,</w:t>
      </w:r>
      <w:r>
        <w:rPr>
          <w:i/>
          <w:color w:val="231F20"/>
          <w:spacing w:val="-2"/>
          <w:sz w:val="22"/>
        </w:rPr>
        <w:t> </w:t>
      </w:r>
      <w:r>
        <w:rPr>
          <w:i/>
          <w:color w:val="231F20"/>
          <w:sz w:val="22"/>
        </w:rPr>
        <w:t>106</w:t>
      </w:r>
      <w:r>
        <w:rPr>
          <w:color w:val="231F20"/>
          <w:sz w:val="22"/>
        </w:rPr>
        <w:t>(1),</w:t>
      </w:r>
      <w:r>
        <w:rPr>
          <w:color w:val="231F20"/>
          <w:spacing w:val="-1"/>
          <w:sz w:val="22"/>
        </w:rPr>
        <w:t> </w:t>
      </w:r>
      <w:r>
        <w:rPr>
          <w:color w:val="231F20"/>
          <w:sz w:val="22"/>
        </w:rPr>
        <w:t>e1-e23.</w:t>
      </w:r>
    </w:p>
    <w:p>
      <w:pPr>
        <w:pStyle w:val="BodyText"/>
        <w:spacing w:line="246" w:lineRule="exact"/>
        <w:ind w:left="520"/>
      </w:pPr>
      <w:hyperlink r:id="rId102">
        <w:r>
          <w:rPr>
            <w:color w:val="3953A4"/>
            <w:u w:val="single" w:color="3953A4"/>
          </w:rPr>
          <w:t>https://doi.org/10.2105/ajph.2015.302905</w:t>
        </w:r>
      </w:hyperlink>
    </w:p>
    <w:p>
      <w:pPr>
        <w:tabs>
          <w:tab w:pos="519" w:val="left" w:leader="none"/>
        </w:tabs>
        <w:spacing w:line="228" w:lineRule="auto" w:before="87"/>
        <w:ind w:left="520" w:right="977" w:hanging="360"/>
        <w:jc w:val="left"/>
        <w:rPr>
          <w:sz w:val="22"/>
        </w:rPr>
      </w:pPr>
      <w:r>
        <w:rPr>
          <w:color w:val="231F20"/>
          <w:sz w:val="22"/>
          <w:vertAlign w:val="superscript"/>
        </w:rPr>
        <w:t>66</w:t>
      </w:r>
      <w:r>
        <w:rPr>
          <w:color w:val="231F20"/>
          <w:sz w:val="22"/>
          <w:vertAlign w:val="baseline"/>
        </w:rPr>
        <w:tab/>
      </w:r>
      <w:r>
        <w:rPr>
          <w:color w:val="231F20"/>
          <w:spacing w:val="-3"/>
          <w:sz w:val="22"/>
          <w:vertAlign w:val="baseline"/>
        </w:rPr>
        <w:t>Feller, D. J., &amp; Agins, B. </w:t>
      </w:r>
      <w:r>
        <w:rPr>
          <w:color w:val="231F20"/>
          <w:spacing w:val="-2"/>
          <w:sz w:val="22"/>
          <w:vertAlign w:val="baseline"/>
        </w:rPr>
        <w:t>D. (2017). Understanding</w:t>
      </w:r>
      <w:r>
        <w:rPr>
          <w:color w:val="231F20"/>
          <w:spacing w:val="-52"/>
          <w:sz w:val="22"/>
          <w:vertAlign w:val="baseline"/>
        </w:rPr>
        <w:t> </w:t>
      </w:r>
      <w:r>
        <w:rPr>
          <w:color w:val="231F20"/>
          <w:spacing w:val="-1"/>
          <w:sz w:val="22"/>
          <w:vertAlign w:val="baseline"/>
        </w:rPr>
        <w:t>determinants</w:t>
      </w:r>
      <w:r>
        <w:rPr>
          <w:color w:val="231F20"/>
          <w:spacing w:val="-12"/>
          <w:sz w:val="22"/>
          <w:vertAlign w:val="baseline"/>
        </w:rPr>
        <w:t> </w:t>
      </w:r>
      <w:r>
        <w:rPr>
          <w:color w:val="231F20"/>
          <w:spacing w:val="-1"/>
          <w:sz w:val="22"/>
          <w:vertAlign w:val="baseline"/>
        </w:rPr>
        <w:t>of</w:t>
      </w:r>
      <w:r>
        <w:rPr>
          <w:color w:val="231F20"/>
          <w:spacing w:val="-12"/>
          <w:sz w:val="22"/>
          <w:vertAlign w:val="baseline"/>
        </w:rPr>
        <w:t> </w:t>
      </w:r>
      <w:r>
        <w:rPr>
          <w:color w:val="231F20"/>
          <w:spacing w:val="-1"/>
          <w:sz w:val="22"/>
          <w:vertAlign w:val="baseline"/>
        </w:rPr>
        <w:t>racial</w:t>
      </w:r>
      <w:r>
        <w:rPr>
          <w:color w:val="231F20"/>
          <w:spacing w:val="-11"/>
          <w:sz w:val="22"/>
          <w:vertAlign w:val="baseline"/>
        </w:rPr>
        <w:t> </w:t>
      </w:r>
      <w:r>
        <w:rPr>
          <w:color w:val="231F20"/>
          <w:spacing w:val="-1"/>
          <w:sz w:val="22"/>
          <w:vertAlign w:val="baseline"/>
        </w:rPr>
        <w:t>and</w:t>
      </w:r>
      <w:r>
        <w:rPr>
          <w:color w:val="231F20"/>
          <w:spacing w:val="-12"/>
          <w:sz w:val="22"/>
          <w:vertAlign w:val="baseline"/>
        </w:rPr>
        <w:t> </w:t>
      </w:r>
      <w:r>
        <w:rPr>
          <w:color w:val="231F20"/>
          <w:spacing w:val="-1"/>
          <w:sz w:val="22"/>
          <w:vertAlign w:val="baseline"/>
        </w:rPr>
        <w:t>ethnic</w:t>
      </w:r>
      <w:r>
        <w:rPr>
          <w:color w:val="231F20"/>
          <w:spacing w:val="-11"/>
          <w:sz w:val="22"/>
          <w:vertAlign w:val="baseline"/>
        </w:rPr>
        <w:t> </w:t>
      </w:r>
      <w:r>
        <w:rPr>
          <w:color w:val="231F20"/>
          <w:spacing w:val="-1"/>
          <w:sz w:val="22"/>
          <w:vertAlign w:val="baseline"/>
        </w:rPr>
        <w:t>disparities</w:t>
      </w:r>
      <w:r>
        <w:rPr>
          <w:color w:val="231F20"/>
          <w:spacing w:val="-12"/>
          <w:sz w:val="22"/>
          <w:vertAlign w:val="baseline"/>
        </w:rPr>
        <w:t> </w:t>
      </w:r>
      <w:r>
        <w:rPr>
          <w:color w:val="231F20"/>
          <w:sz w:val="22"/>
          <w:vertAlign w:val="baseline"/>
        </w:rPr>
        <w:t>in</w:t>
      </w:r>
      <w:r>
        <w:rPr>
          <w:color w:val="231F20"/>
          <w:spacing w:val="-11"/>
          <w:sz w:val="22"/>
          <w:vertAlign w:val="baseline"/>
        </w:rPr>
        <w:t> </w:t>
      </w:r>
      <w:r>
        <w:rPr>
          <w:color w:val="231F20"/>
          <w:sz w:val="22"/>
          <w:vertAlign w:val="baseline"/>
        </w:rPr>
        <w:t>viral</w:t>
      </w:r>
      <w:r>
        <w:rPr>
          <w:color w:val="231F20"/>
          <w:spacing w:val="-52"/>
          <w:sz w:val="22"/>
          <w:vertAlign w:val="baseline"/>
        </w:rPr>
        <w:t> </w:t>
      </w:r>
      <w:r>
        <w:rPr>
          <w:color w:val="231F20"/>
          <w:spacing w:val="-2"/>
          <w:sz w:val="22"/>
          <w:vertAlign w:val="baseline"/>
        </w:rPr>
        <w:t>load suppression: A data mining approach. </w:t>
      </w:r>
      <w:r>
        <w:rPr>
          <w:i/>
          <w:color w:val="231F20"/>
          <w:spacing w:val="-2"/>
          <w:sz w:val="22"/>
          <w:vertAlign w:val="baseline"/>
        </w:rPr>
        <w:t>Journal</w:t>
      </w:r>
      <w:r>
        <w:rPr>
          <w:i/>
          <w:color w:val="231F20"/>
          <w:spacing w:val="-52"/>
          <w:sz w:val="22"/>
          <w:vertAlign w:val="baseline"/>
        </w:rPr>
        <w:t> </w:t>
      </w:r>
      <w:r>
        <w:rPr>
          <w:i/>
          <w:color w:val="231F20"/>
          <w:sz w:val="22"/>
          <w:vertAlign w:val="baseline"/>
        </w:rPr>
        <w:t>of the International Association of Providers of</w:t>
      </w:r>
      <w:r>
        <w:rPr>
          <w:i/>
          <w:color w:val="231F20"/>
          <w:spacing w:val="1"/>
          <w:sz w:val="22"/>
          <w:vertAlign w:val="baseline"/>
        </w:rPr>
        <w:t> </w:t>
      </w:r>
      <w:r>
        <w:rPr>
          <w:i/>
          <w:color w:val="231F20"/>
          <w:sz w:val="22"/>
          <w:vertAlign w:val="baseline"/>
        </w:rPr>
        <w:t>AIDS Care (JIAPAC), 16</w:t>
      </w:r>
      <w:r>
        <w:rPr>
          <w:color w:val="231F20"/>
          <w:sz w:val="22"/>
          <w:vertAlign w:val="baseline"/>
        </w:rPr>
        <w:t>(1), 23-29. </w:t>
      </w:r>
      <w:hyperlink r:id="rId103">
        <w:r>
          <w:rPr>
            <w:color w:val="3953A4"/>
            <w:sz w:val="22"/>
            <w:u w:val="single" w:color="3953A4"/>
            <w:vertAlign w:val="baseline"/>
          </w:rPr>
          <w:t>https://doi.</w:t>
        </w:r>
      </w:hyperlink>
      <w:r>
        <w:rPr>
          <w:color w:val="3953A4"/>
          <w:spacing w:val="1"/>
          <w:sz w:val="22"/>
          <w:vertAlign w:val="baseline"/>
        </w:rPr>
        <w:t> </w:t>
      </w:r>
      <w:hyperlink r:id="rId103">
        <w:r>
          <w:rPr>
            <w:color w:val="3953A4"/>
            <w:sz w:val="22"/>
            <w:u w:val="single" w:color="3953A4"/>
            <w:vertAlign w:val="baseline"/>
          </w:rPr>
          <w:t>org/10.1177/2325957416667488</w:t>
        </w:r>
      </w:hyperlink>
    </w:p>
    <w:p>
      <w:pPr>
        <w:pStyle w:val="BodyText"/>
        <w:tabs>
          <w:tab w:pos="519" w:val="left" w:leader="none"/>
        </w:tabs>
        <w:spacing w:line="228" w:lineRule="auto" w:before="88"/>
        <w:ind w:left="520" w:right="855" w:hanging="360"/>
      </w:pPr>
      <w:r>
        <w:rPr>
          <w:color w:val="231F20"/>
          <w:vertAlign w:val="superscript"/>
        </w:rPr>
        <w:t>67</w:t>
      </w:r>
      <w:r>
        <w:rPr>
          <w:color w:val="231F20"/>
          <w:vertAlign w:val="baseline"/>
        </w:rPr>
        <w:tab/>
      </w:r>
      <w:r>
        <w:rPr>
          <w:color w:val="231F20"/>
          <w:spacing w:val="-1"/>
          <w:vertAlign w:val="baseline"/>
        </w:rPr>
        <w:t>Gupta, G. </w:t>
      </w:r>
      <w:r>
        <w:rPr>
          <w:color w:val="231F20"/>
          <w:vertAlign w:val="baseline"/>
        </w:rPr>
        <w:t>R., Parkhurst, J. O., Ogden, J. A.,</w:t>
      </w:r>
      <w:r>
        <w:rPr>
          <w:color w:val="231F20"/>
          <w:spacing w:val="1"/>
          <w:vertAlign w:val="baseline"/>
        </w:rPr>
        <w:t> </w:t>
      </w:r>
      <w:r>
        <w:rPr>
          <w:color w:val="231F20"/>
          <w:spacing w:val="-2"/>
          <w:vertAlign w:val="baseline"/>
        </w:rPr>
        <w:t>Aggleton, P., </w:t>
      </w:r>
      <w:r>
        <w:rPr>
          <w:color w:val="231F20"/>
          <w:spacing w:val="-1"/>
          <w:vertAlign w:val="baseline"/>
        </w:rPr>
        <w:t>&amp; Mahal, A. (2008). Structural</w:t>
      </w:r>
      <w:r>
        <w:rPr>
          <w:color w:val="231F20"/>
          <w:vertAlign w:val="baseline"/>
        </w:rPr>
        <w:t> approaches to HIV prevention. </w:t>
      </w:r>
      <w:r>
        <w:rPr>
          <w:i/>
          <w:color w:val="231F20"/>
          <w:vertAlign w:val="baseline"/>
        </w:rPr>
        <w:t>The Lancet,</w:t>
      </w:r>
      <w:r>
        <w:rPr>
          <w:i/>
          <w:color w:val="231F20"/>
          <w:spacing w:val="1"/>
          <w:vertAlign w:val="baseline"/>
        </w:rPr>
        <w:t> </w:t>
      </w:r>
      <w:r>
        <w:rPr>
          <w:i/>
          <w:color w:val="231F20"/>
          <w:vertAlign w:val="baseline"/>
        </w:rPr>
        <w:t>372</w:t>
      </w:r>
      <w:r>
        <w:rPr>
          <w:color w:val="231F20"/>
          <w:vertAlign w:val="baseline"/>
        </w:rPr>
        <w:t>(9640),</w:t>
      </w:r>
      <w:r>
        <w:rPr>
          <w:color w:val="231F20"/>
          <w:spacing w:val="-10"/>
          <w:vertAlign w:val="baseline"/>
        </w:rPr>
        <w:t> </w:t>
      </w:r>
      <w:r>
        <w:rPr>
          <w:color w:val="231F20"/>
          <w:vertAlign w:val="baseline"/>
        </w:rPr>
        <w:t>764-775.</w:t>
      </w:r>
      <w:r>
        <w:rPr>
          <w:color w:val="231F20"/>
          <w:spacing w:val="-9"/>
          <w:vertAlign w:val="baseline"/>
        </w:rPr>
        <w:t> </w:t>
      </w:r>
      <w:hyperlink r:id="rId104">
        <w:r>
          <w:rPr>
            <w:color w:val="3953A4"/>
            <w:u w:val="single" w:color="3953A4"/>
            <w:vertAlign w:val="baseline"/>
          </w:rPr>
          <w:t>https://doi.org/10.1016/s0140-</w:t>
        </w:r>
      </w:hyperlink>
      <w:r>
        <w:rPr>
          <w:color w:val="3953A4"/>
          <w:spacing w:val="-52"/>
          <w:vertAlign w:val="baseline"/>
        </w:rPr>
        <w:t> </w:t>
      </w:r>
      <w:hyperlink r:id="rId104">
        <w:r>
          <w:rPr>
            <w:color w:val="3953A4"/>
            <w:u w:val="single" w:color="3953A4"/>
            <w:vertAlign w:val="baseline"/>
          </w:rPr>
          <w:t>6736(08)60887-9</w:t>
        </w:r>
      </w:hyperlink>
    </w:p>
    <w:p>
      <w:pPr>
        <w:tabs>
          <w:tab w:pos="519" w:val="left" w:leader="none"/>
        </w:tabs>
        <w:spacing w:line="228" w:lineRule="auto" w:before="88"/>
        <w:ind w:left="520" w:right="753" w:hanging="360"/>
        <w:jc w:val="left"/>
        <w:rPr>
          <w:sz w:val="22"/>
        </w:rPr>
      </w:pPr>
      <w:r>
        <w:rPr>
          <w:color w:val="231F20"/>
          <w:sz w:val="22"/>
          <w:vertAlign w:val="superscript"/>
        </w:rPr>
        <w:t>68</w:t>
      </w:r>
      <w:r>
        <w:rPr>
          <w:color w:val="231F20"/>
          <w:sz w:val="22"/>
          <w:vertAlign w:val="baseline"/>
        </w:rPr>
        <w:tab/>
      </w:r>
      <w:r>
        <w:rPr>
          <w:color w:val="231F20"/>
          <w:spacing w:val="-3"/>
          <w:sz w:val="22"/>
          <w:vertAlign w:val="baseline"/>
        </w:rPr>
        <w:t>Kamarulzaman,</w:t>
      </w:r>
      <w:r>
        <w:rPr>
          <w:color w:val="231F20"/>
          <w:spacing w:val="-17"/>
          <w:sz w:val="22"/>
          <w:vertAlign w:val="baseline"/>
        </w:rPr>
        <w:t> </w:t>
      </w:r>
      <w:r>
        <w:rPr>
          <w:color w:val="231F20"/>
          <w:spacing w:val="-3"/>
          <w:sz w:val="22"/>
          <w:vertAlign w:val="baseline"/>
        </w:rPr>
        <w:t>A.,</w:t>
      </w:r>
      <w:r>
        <w:rPr>
          <w:color w:val="231F20"/>
          <w:spacing w:val="-5"/>
          <w:sz w:val="22"/>
          <w:vertAlign w:val="baseline"/>
        </w:rPr>
        <w:t> </w:t>
      </w:r>
      <w:r>
        <w:rPr>
          <w:color w:val="231F20"/>
          <w:spacing w:val="-3"/>
          <w:sz w:val="22"/>
          <w:vertAlign w:val="baseline"/>
        </w:rPr>
        <w:t>&amp;</w:t>
      </w:r>
      <w:r>
        <w:rPr>
          <w:color w:val="231F20"/>
          <w:spacing w:val="-16"/>
          <w:sz w:val="22"/>
          <w:vertAlign w:val="baseline"/>
        </w:rPr>
        <w:t> </w:t>
      </w:r>
      <w:r>
        <w:rPr>
          <w:color w:val="231F20"/>
          <w:spacing w:val="-3"/>
          <w:sz w:val="22"/>
          <w:vertAlign w:val="baseline"/>
        </w:rPr>
        <w:t>Altice,</w:t>
      </w:r>
      <w:r>
        <w:rPr>
          <w:color w:val="231F20"/>
          <w:spacing w:val="-5"/>
          <w:sz w:val="22"/>
          <w:vertAlign w:val="baseline"/>
        </w:rPr>
        <w:t> </w:t>
      </w:r>
      <w:r>
        <w:rPr>
          <w:color w:val="231F20"/>
          <w:spacing w:val="-3"/>
          <w:sz w:val="22"/>
          <w:vertAlign w:val="baseline"/>
        </w:rPr>
        <w:t>F.</w:t>
      </w:r>
      <w:r>
        <w:rPr>
          <w:color w:val="231F20"/>
          <w:spacing w:val="-4"/>
          <w:sz w:val="22"/>
          <w:vertAlign w:val="baseline"/>
        </w:rPr>
        <w:t> </w:t>
      </w:r>
      <w:r>
        <w:rPr>
          <w:color w:val="231F20"/>
          <w:spacing w:val="-3"/>
          <w:sz w:val="22"/>
          <w:vertAlign w:val="baseline"/>
        </w:rPr>
        <w:t>L.</w:t>
      </w:r>
      <w:r>
        <w:rPr>
          <w:color w:val="231F20"/>
          <w:spacing w:val="-4"/>
          <w:sz w:val="22"/>
          <w:vertAlign w:val="baseline"/>
        </w:rPr>
        <w:t> </w:t>
      </w:r>
      <w:r>
        <w:rPr>
          <w:color w:val="231F20"/>
          <w:spacing w:val="-3"/>
          <w:sz w:val="22"/>
          <w:vertAlign w:val="baseline"/>
        </w:rPr>
        <w:t>(2015).</w:t>
      </w:r>
      <w:r>
        <w:rPr>
          <w:color w:val="231F20"/>
          <w:spacing w:val="-5"/>
          <w:sz w:val="22"/>
          <w:vertAlign w:val="baseline"/>
        </w:rPr>
        <w:t> </w:t>
      </w:r>
      <w:r>
        <w:rPr>
          <w:color w:val="231F20"/>
          <w:spacing w:val="-3"/>
          <w:sz w:val="22"/>
          <w:vertAlign w:val="baseline"/>
        </w:rPr>
        <w:t>Challenges</w:t>
      </w:r>
      <w:r>
        <w:rPr>
          <w:color w:val="231F20"/>
          <w:spacing w:val="-52"/>
          <w:sz w:val="22"/>
          <w:vertAlign w:val="baseline"/>
        </w:rPr>
        <w:t> </w:t>
      </w:r>
      <w:r>
        <w:rPr>
          <w:color w:val="231F20"/>
          <w:spacing w:val="-2"/>
          <w:sz w:val="22"/>
          <w:vertAlign w:val="baseline"/>
        </w:rPr>
        <w:t>in managing HIV in people who use </w:t>
      </w:r>
      <w:r>
        <w:rPr>
          <w:color w:val="231F20"/>
          <w:spacing w:val="-1"/>
          <w:sz w:val="22"/>
          <w:vertAlign w:val="baseline"/>
        </w:rPr>
        <w:t>drugs. </w:t>
      </w:r>
      <w:r>
        <w:rPr>
          <w:i/>
          <w:color w:val="231F20"/>
          <w:spacing w:val="-1"/>
          <w:sz w:val="22"/>
          <w:vertAlign w:val="baseline"/>
        </w:rPr>
        <w:t>Current</w:t>
      </w:r>
      <w:r>
        <w:rPr>
          <w:i/>
          <w:color w:val="231F20"/>
          <w:sz w:val="22"/>
          <w:vertAlign w:val="baseline"/>
        </w:rPr>
        <w:t> </w:t>
      </w:r>
      <w:r>
        <w:rPr>
          <w:i/>
          <w:color w:val="231F20"/>
          <w:spacing w:val="-1"/>
          <w:sz w:val="22"/>
          <w:vertAlign w:val="baseline"/>
        </w:rPr>
        <w:t>Opinion in Infectious Disease, 28</w:t>
      </w:r>
      <w:r>
        <w:rPr>
          <w:color w:val="231F20"/>
          <w:spacing w:val="-1"/>
          <w:sz w:val="22"/>
          <w:vertAlign w:val="baseline"/>
        </w:rPr>
        <w:t>(1), 10-16. </w:t>
      </w:r>
      <w:hyperlink r:id="rId105">
        <w:r>
          <w:rPr>
            <w:color w:val="3953A4"/>
            <w:sz w:val="22"/>
            <w:u w:val="single" w:color="3953A4"/>
            <w:vertAlign w:val="baseline"/>
          </w:rPr>
          <w:t>https://</w:t>
        </w:r>
      </w:hyperlink>
      <w:r>
        <w:rPr>
          <w:color w:val="3953A4"/>
          <w:spacing w:val="1"/>
          <w:sz w:val="22"/>
          <w:vertAlign w:val="baseline"/>
        </w:rPr>
        <w:t> </w:t>
      </w:r>
      <w:hyperlink r:id="rId105">
        <w:r>
          <w:rPr>
            <w:color w:val="3953A4"/>
            <w:sz w:val="22"/>
            <w:u w:val="single" w:color="3953A4"/>
            <w:vertAlign w:val="baseline"/>
          </w:rPr>
          <w:t>doi.org/10.1097/QCO.0000000000000125</w:t>
        </w:r>
      </w:hyperlink>
    </w:p>
    <w:p>
      <w:pPr>
        <w:tabs>
          <w:tab w:pos="519" w:val="left" w:leader="none"/>
        </w:tabs>
        <w:spacing w:line="228" w:lineRule="auto" w:before="89"/>
        <w:ind w:left="520" w:right="1013" w:hanging="360"/>
        <w:jc w:val="left"/>
        <w:rPr>
          <w:sz w:val="22"/>
        </w:rPr>
      </w:pPr>
      <w:r>
        <w:rPr>
          <w:color w:val="231F20"/>
          <w:sz w:val="22"/>
          <w:vertAlign w:val="superscript"/>
        </w:rPr>
        <w:t>69</w:t>
      </w:r>
      <w:r>
        <w:rPr>
          <w:color w:val="231F20"/>
          <w:sz w:val="22"/>
          <w:vertAlign w:val="baseline"/>
        </w:rPr>
        <w:tab/>
      </w:r>
      <w:r>
        <w:rPr>
          <w:color w:val="231F20"/>
          <w:spacing w:val="-5"/>
          <w:sz w:val="22"/>
          <w:vertAlign w:val="baseline"/>
        </w:rPr>
        <w:t>Denning, P., &amp; DiNenno, </w:t>
      </w:r>
      <w:r>
        <w:rPr>
          <w:color w:val="231F20"/>
          <w:spacing w:val="-4"/>
          <w:sz w:val="22"/>
          <w:vertAlign w:val="baseline"/>
        </w:rPr>
        <w:t>E. (2019, December 11).</w:t>
      </w:r>
      <w:r>
        <w:rPr>
          <w:color w:val="231F20"/>
          <w:spacing w:val="-3"/>
          <w:sz w:val="22"/>
          <w:vertAlign w:val="baseline"/>
        </w:rPr>
        <w:t> </w:t>
      </w:r>
      <w:r>
        <w:rPr>
          <w:i/>
          <w:color w:val="231F20"/>
          <w:spacing w:val="-3"/>
          <w:sz w:val="22"/>
          <w:vertAlign w:val="baseline"/>
        </w:rPr>
        <w:t>Communities in crisis: Is there a generalized </w:t>
      </w:r>
      <w:r>
        <w:rPr>
          <w:i/>
          <w:color w:val="231F20"/>
          <w:spacing w:val="-2"/>
          <w:sz w:val="22"/>
          <w:vertAlign w:val="baseline"/>
        </w:rPr>
        <w:t>HIV</w:t>
      </w:r>
      <w:r>
        <w:rPr>
          <w:i/>
          <w:color w:val="231F20"/>
          <w:spacing w:val="-1"/>
          <w:sz w:val="22"/>
          <w:vertAlign w:val="baseline"/>
        </w:rPr>
        <w:t> </w:t>
      </w:r>
      <w:r>
        <w:rPr>
          <w:i/>
          <w:color w:val="231F20"/>
          <w:spacing w:val="-4"/>
          <w:sz w:val="22"/>
          <w:vertAlign w:val="baseline"/>
        </w:rPr>
        <w:t>epidemic</w:t>
      </w:r>
      <w:r>
        <w:rPr>
          <w:i/>
          <w:color w:val="231F20"/>
          <w:spacing w:val="-10"/>
          <w:sz w:val="22"/>
          <w:vertAlign w:val="baseline"/>
        </w:rPr>
        <w:t> </w:t>
      </w:r>
      <w:r>
        <w:rPr>
          <w:i/>
          <w:color w:val="231F20"/>
          <w:spacing w:val="-4"/>
          <w:sz w:val="22"/>
          <w:vertAlign w:val="baseline"/>
        </w:rPr>
        <w:t>in</w:t>
      </w:r>
      <w:r>
        <w:rPr>
          <w:i/>
          <w:color w:val="231F20"/>
          <w:spacing w:val="-9"/>
          <w:sz w:val="22"/>
          <w:vertAlign w:val="baseline"/>
        </w:rPr>
        <w:t> </w:t>
      </w:r>
      <w:r>
        <w:rPr>
          <w:i/>
          <w:color w:val="231F20"/>
          <w:spacing w:val="-4"/>
          <w:sz w:val="22"/>
          <w:vertAlign w:val="baseline"/>
        </w:rPr>
        <w:t>impoverished</w:t>
      </w:r>
      <w:r>
        <w:rPr>
          <w:i/>
          <w:color w:val="231F20"/>
          <w:spacing w:val="-9"/>
          <w:sz w:val="22"/>
          <w:vertAlign w:val="baseline"/>
        </w:rPr>
        <w:t> </w:t>
      </w:r>
      <w:r>
        <w:rPr>
          <w:i/>
          <w:color w:val="231F20"/>
          <w:spacing w:val="-4"/>
          <w:sz w:val="22"/>
          <w:vertAlign w:val="baseline"/>
        </w:rPr>
        <w:t>urban</w:t>
      </w:r>
      <w:r>
        <w:rPr>
          <w:i/>
          <w:color w:val="231F20"/>
          <w:spacing w:val="-10"/>
          <w:sz w:val="22"/>
          <w:vertAlign w:val="baseline"/>
        </w:rPr>
        <w:t> </w:t>
      </w:r>
      <w:r>
        <w:rPr>
          <w:i/>
          <w:color w:val="231F20"/>
          <w:spacing w:val="-3"/>
          <w:sz w:val="22"/>
          <w:vertAlign w:val="baseline"/>
        </w:rPr>
        <w:t>areas</w:t>
      </w:r>
      <w:r>
        <w:rPr>
          <w:i/>
          <w:color w:val="231F20"/>
          <w:spacing w:val="-9"/>
          <w:sz w:val="22"/>
          <w:vertAlign w:val="baseline"/>
        </w:rPr>
        <w:t> </w:t>
      </w:r>
      <w:r>
        <w:rPr>
          <w:i/>
          <w:color w:val="231F20"/>
          <w:spacing w:val="-3"/>
          <w:sz w:val="22"/>
          <w:vertAlign w:val="baseline"/>
        </w:rPr>
        <w:t>of</w:t>
      </w:r>
      <w:r>
        <w:rPr>
          <w:i/>
          <w:color w:val="231F20"/>
          <w:spacing w:val="-9"/>
          <w:sz w:val="22"/>
          <w:vertAlign w:val="baseline"/>
        </w:rPr>
        <w:t> </w:t>
      </w:r>
      <w:r>
        <w:rPr>
          <w:i/>
          <w:color w:val="231F20"/>
          <w:spacing w:val="-3"/>
          <w:sz w:val="22"/>
          <w:vertAlign w:val="baseline"/>
        </w:rPr>
        <w:t>the</w:t>
      </w:r>
      <w:r>
        <w:rPr>
          <w:i/>
          <w:color w:val="231F20"/>
          <w:spacing w:val="-10"/>
          <w:sz w:val="22"/>
          <w:vertAlign w:val="baseline"/>
        </w:rPr>
        <w:t> </w:t>
      </w:r>
      <w:r>
        <w:rPr>
          <w:i/>
          <w:color w:val="231F20"/>
          <w:spacing w:val="-3"/>
          <w:sz w:val="22"/>
          <w:vertAlign w:val="baseline"/>
        </w:rPr>
        <w:t>United</w:t>
      </w:r>
      <w:r>
        <w:rPr>
          <w:i/>
          <w:color w:val="231F20"/>
          <w:spacing w:val="-52"/>
          <w:sz w:val="22"/>
          <w:vertAlign w:val="baseline"/>
        </w:rPr>
        <w:t> </w:t>
      </w:r>
      <w:r>
        <w:rPr>
          <w:i/>
          <w:color w:val="231F20"/>
          <w:spacing w:val="-4"/>
          <w:sz w:val="22"/>
          <w:vertAlign w:val="baseline"/>
        </w:rPr>
        <w:t>States?</w:t>
      </w:r>
      <w:r>
        <w:rPr>
          <w:i/>
          <w:color w:val="231F20"/>
          <w:spacing w:val="-10"/>
          <w:sz w:val="22"/>
          <w:vertAlign w:val="baseline"/>
        </w:rPr>
        <w:t> </w:t>
      </w:r>
      <w:r>
        <w:rPr>
          <w:color w:val="231F20"/>
          <w:spacing w:val="-4"/>
          <w:sz w:val="22"/>
          <w:vertAlign w:val="baseline"/>
        </w:rPr>
        <w:t>Centers</w:t>
      </w:r>
      <w:r>
        <w:rPr>
          <w:color w:val="231F20"/>
          <w:spacing w:val="-10"/>
          <w:sz w:val="22"/>
          <w:vertAlign w:val="baseline"/>
        </w:rPr>
        <w:t> </w:t>
      </w:r>
      <w:r>
        <w:rPr>
          <w:color w:val="231F20"/>
          <w:spacing w:val="-4"/>
          <w:sz w:val="22"/>
          <w:vertAlign w:val="baseline"/>
        </w:rPr>
        <w:t>for</w:t>
      </w:r>
      <w:r>
        <w:rPr>
          <w:color w:val="231F20"/>
          <w:spacing w:val="-9"/>
          <w:sz w:val="22"/>
          <w:vertAlign w:val="baseline"/>
        </w:rPr>
        <w:t> </w:t>
      </w:r>
      <w:r>
        <w:rPr>
          <w:color w:val="231F20"/>
          <w:spacing w:val="-3"/>
          <w:sz w:val="22"/>
          <w:vertAlign w:val="baseline"/>
        </w:rPr>
        <w:t>Disease</w:t>
      </w:r>
      <w:r>
        <w:rPr>
          <w:color w:val="231F20"/>
          <w:spacing w:val="-10"/>
          <w:sz w:val="22"/>
          <w:vertAlign w:val="baseline"/>
        </w:rPr>
        <w:t> </w:t>
      </w:r>
      <w:r>
        <w:rPr>
          <w:color w:val="231F20"/>
          <w:spacing w:val="-3"/>
          <w:sz w:val="22"/>
          <w:vertAlign w:val="baseline"/>
        </w:rPr>
        <w:t>Control</w:t>
      </w:r>
      <w:r>
        <w:rPr>
          <w:color w:val="231F20"/>
          <w:spacing w:val="-9"/>
          <w:sz w:val="22"/>
          <w:vertAlign w:val="baseline"/>
        </w:rPr>
        <w:t> </w:t>
      </w:r>
      <w:r>
        <w:rPr>
          <w:color w:val="231F20"/>
          <w:spacing w:val="-3"/>
          <w:sz w:val="22"/>
          <w:vertAlign w:val="baseline"/>
        </w:rPr>
        <w:t>and</w:t>
      </w:r>
      <w:r>
        <w:rPr>
          <w:color w:val="231F20"/>
          <w:spacing w:val="-10"/>
          <w:sz w:val="22"/>
          <w:vertAlign w:val="baseline"/>
        </w:rPr>
        <w:t> </w:t>
      </w:r>
      <w:r>
        <w:rPr>
          <w:color w:val="231F20"/>
          <w:spacing w:val="-3"/>
          <w:sz w:val="22"/>
          <w:vertAlign w:val="baseline"/>
        </w:rPr>
        <w:t>Prevention.</w:t>
      </w:r>
      <w:r>
        <w:rPr>
          <w:color w:val="231F20"/>
          <w:spacing w:val="-52"/>
          <w:sz w:val="22"/>
          <w:vertAlign w:val="baseline"/>
        </w:rPr>
        <w:t> </w:t>
      </w:r>
      <w:hyperlink r:id="rId106">
        <w:r>
          <w:rPr>
            <w:color w:val="3953A4"/>
            <w:sz w:val="22"/>
            <w:u w:val="single" w:color="3953A4"/>
            <w:vertAlign w:val="baseline"/>
          </w:rPr>
          <w:t>https://www.cdc.gov/hiv/group/poverty.html</w:t>
        </w:r>
      </w:hyperlink>
    </w:p>
    <w:p>
      <w:pPr>
        <w:pStyle w:val="BodyText"/>
        <w:tabs>
          <w:tab w:pos="519" w:val="left" w:leader="none"/>
        </w:tabs>
        <w:spacing w:line="246" w:lineRule="exact" w:before="78"/>
        <w:ind w:left="160"/>
      </w:pPr>
      <w:r>
        <w:rPr>
          <w:color w:val="231F20"/>
          <w:vertAlign w:val="superscript"/>
        </w:rPr>
        <w:t>70</w:t>
      </w:r>
      <w:r>
        <w:rPr>
          <w:color w:val="231F20"/>
          <w:vertAlign w:val="baseline"/>
        </w:rPr>
        <w:tab/>
      </w:r>
      <w:r>
        <w:rPr>
          <w:color w:val="231F20"/>
          <w:spacing w:val="-2"/>
          <w:vertAlign w:val="baseline"/>
        </w:rPr>
        <w:t>Buot,</w:t>
      </w:r>
      <w:r>
        <w:rPr>
          <w:color w:val="231F20"/>
          <w:spacing w:val="-12"/>
          <w:vertAlign w:val="baseline"/>
        </w:rPr>
        <w:t> </w:t>
      </w:r>
      <w:r>
        <w:rPr>
          <w:color w:val="231F20"/>
          <w:spacing w:val="-2"/>
          <w:vertAlign w:val="baseline"/>
        </w:rPr>
        <w:t>M.</w:t>
      </w:r>
      <w:r>
        <w:rPr>
          <w:color w:val="231F20"/>
          <w:spacing w:val="-12"/>
          <w:vertAlign w:val="baseline"/>
        </w:rPr>
        <w:t> </w:t>
      </w:r>
      <w:r>
        <w:rPr>
          <w:color w:val="231F20"/>
          <w:spacing w:val="-2"/>
          <w:vertAlign w:val="baseline"/>
        </w:rPr>
        <w:t>G.,</w:t>
      </w:r>
      <w:r>
        <w:rPr>
          <w:color w:val="231F20"/>
          <w:spacing w:val="-11"/>
          <w:vertAlign w:val="baseline"/>
        </w:rPr>
        <w:t> </w:t>
      </w:r>
      <w:r>
        <w:rPr>
          <w:color w:val="231F20"/>
          <w:spacing w:val="-2"/>
          <w:vertAlign w:val="baseline"/>
        </w:rPr>
        <w:t>Docena,</w:t>
      </w:r>
      <w:r>
        <w:rPr>
          <w:color w:val="231F20"/>
          <w:spacing w:val="-12"/>
          <w:vertAlign w:val="baseline"/>
        </w:rPr>
        <w:t> </w:t>
      </w:r>
      <w:r>
        <w:rPr>
          <w:color w:val="231F20"/>
          <w:spacing w:val="-1"/>
          <w:vertAlign w:val="baseline"/>
        </w:rPr>
        <w:t>J.</w:t>
      </w:r>
      <w:r>
        <w:rPr>
          <w:color w:val="231F20"/>
          <w:spacing w:val="-11"/>
          <w:vertAlign w:val="baseline"/>
        </w:rPr>
        <w:t> </w:t>
      </w:r>
      <w:r>
        <w:rPr>
          <w:color w:val="231F20"/>
          <w:spacing w:val="-1"/>
          <w:vertAlign w:val="baseline"/>
        </w:rPr>
        <w:t>P.,</w:t>
      </w:r>
      <w:r>
        <w:rPr>
          <w:color w:val="231F20"/>
          <w:spacing w:val="-12"/>
          <w:vertAlign w:val="baseline"/>
        </w:rPr>
        <w:t> </w:t>
      </w:r>
      <w:r>
        <w:rPr>
          <w:color w:val="231F20"/>
          <w:spacing w:val="-1"/>
          <w:vertAlign w:val="baseline"/>
        </w:rPr>
        <w:t>Ratemo,</w:t>
      </w:r>
      <w:r>
        <w:rPr>
          <w:color w:val="231F20"/>
          <w:spacing w:val="-12"/>
          <w:vertAlign w:val="baseline"/>
        </w:rPr>
        <w:t> </w:t>
      </w:r>
      <w:r>
        <w:rPr>
          <w:color w:val="231F20"/>
          <w:spacing w:val="-1"/>
          <w:vertAlign w:val="baseline"/>
        </w:rPr>
        <w:t>B.</w:t>
      </w:r>
      <w:r>
        <w:rPr>
          <w:color w:val="231F20"/>
          <w:spacing w:val="-11"/>
          <w:vertAlign w:val="baseline"/>
        </w:rPr>
        <w:t> </w:t>
      </w:r>
      <w:r>
        <w:rPr>
          <w:color w:val="231F20"/>
          <w:spacing w:val="-1"/>
          <w:vertAlign w:val="baseline"/>
        </w:rPr>
        <w:t>K.,</w:t>
      </w:r>
      <w:r>
        <w:rPr>
          <w:color w:val="231F20"/>
          <w:spacing w:val="-12"/>
          <w:vertAlign w:val="baseline"/>
        </w:rPr>
        <w:t> </w:t>
      </w:r>
      <w:r>
        <w:rPr>
          <w:color w:val="231F20"/>
          <w:spacing w:val="-1"/>
          <w:vertAlign w:val="baseline"/>
        </w:rPr>
        <w:t>Bittner,</w:t>
      </w:r>
    </w:p>
    <w:p>
      <w:pPr>
        <w:pStyle w:val="BodyText"/>
        <w:spacing w:line="240" w:lineRule="exact"/>
        <w:ind w:left="520"/>
      </w:pPr>
      <w:r>
        <w:rPr>
          <w:color w:val="231F20"/>
          <w:spacing w:val="-4"/>
        </w:rPr>
        <w:t>M.</w:t>
      </w:r>
      <w:r>
        <w:rPr>
          <w:color w:val="231F20"/>
          <w:spacing w:val="-5"/>
        </w:rPr>
        <w:t> </w:t>
      </w:r>
      <w:r>
        <w:rPr>
          <w:color w:val="231F20"/>
          <w:spacing w:val="-4"/>
        </w:rPr>
        <w:t>J.,</w:t>
      </w:r>
      <w:r>
        <w:rPr>
          <w:color w:val="231F20"/>
          <w:spacing w:val="-5"/>
        </w:rPr>
        <w:t> </w:t>
      </w:r>
      <w:r>
        <w:rPr>
          <w:color w:val="231F20"/>
          <w:spacing w:val="-4"/>
        </w:rPr>
        <w:t>Burlew,</w:t>
      </w:r>
      <w:r>
        <w:rPr>
          <w:color w:val="231F20"/>
          <w:spacing w:val="-5"/>
        </w:rPr>
        <w:t> </w:t>
      </w:r>
      <w:r>
        <w:rPr>
          <w:color w:val="231F20"/>
          <w:spacing w:val="-4"/>
        </w:rPr>
        <w:t>J.</w:t>
      </w:r>
      <w:r>
        <w:rPr>
          <w:color w:val="231F20"/>
          <w:spacing w:val="-8"/>
        </w:rPr>
        <w:t> </w:t>
      </w:r>
      <w:r>
        <w:rPr>
          <w:color w:val="231F20"/>
          <w:spacing w:val="-4"/>
        </w:rPr>
        <w:t>T.,</w:t>
      </w:r>
      <w:r>
        <w:rPr>
          <w:color w:val="231F20"/>
          <w:spacing w:val="-5"/>
        </w:rPr>
        <w:t> </w:t>
      </w:r>
      <w:r>
        <w:rPr>
          <w:color w:val="231F20"/>
          <w:spacing w:val="-3"/>
        </w:rPr>
        <w:t>Nuritdinov,</w:t>
      </w:r>
      <w:r>
        <w:rPr>
          <w:color w:val="231F20"/>
          <w:spacing w:val="-17"/>
        </w:rPr>
        <w:t> </w:t>
      </w:r>
      <w:r>
        <w:rPr>
          <w:color w:val="231F20"/>
          <w:spacing w:val="-3"/>
        </w:rPr>
        <w:t>A.</w:t>
      </w:r>
      <w:r>
        <w:rPr>
          <w:color w:val="231F20"/>
          <w:spacing w:val="-5"/>
        </w:rPr>
        <w:t> </w:t>
      </w:r>
      <w:r>
        <w:rPr>
          <w:color w:val="231F20"/>
          <w:spacing w:val="-3"/>
        </w:rPr>
        <w:t>R.,</w:t>
      </w:r>
      <w:r>
        <w:rPr>
          <w:color w:val="231F20"/>
          <w:spacing w:val="-4"/>
        </w:rPr>
        <w:t> </w:t>
      </w:r>
      <w:r>
        <w:rPr>
          <w:color w:val="231F20"/>
          <w:spacing w:val="-3"/>
        </w:rPr>
        <w:t>&amp;</w:t>
      </w:r>
      <w:r>
        <w:rPr>
          <w:color w:val="231F20"/>
          <w:spacing w:val="-5"/>
        </w:rPr>
        <w:t> </w:t>
      </w:r>
      <w:r>
        <w:rPr>
          <w:color w:val="231F20"/>
          <w:spacing w:val="-3"/>
        </w:rPr>
        <w:t>Robbins,</w:t>
      </w:r>
      <w:r>
        <w:rPr>
          <w:color w:val="231F20"/>
          <w:spacing w:val="-5"/>
        </w:rPr>
        <w:t> </w:t>
      </w:r>
      <w:r>
        <w:rPr>
          <w:color w:val="231F20"/>
          <w:spacing w:val="-3"/>
        </w:rPr>
        <w:t>J.</w:t>
      </w:r>
    </w:p>
    <w:p>
      <w:pPr>
        <w:pStyle w:val="BodyText"/>
        <w:spacing w:line="228" w:lineRule="auto" w:before="4"/>
        <w:ind w:left="520"/>
      </w:pPr>
      <w:r>
        <w:rPr>
          <w:color w:val="231F20"/>
          <w:spacing w:val="-2"/>
        </w:rPr>
        <w:t>R.</w:t>
      </w:r>
      <w:r>
        <w:rPr>
          <w:color w:val="231F20"/>
          <w:spacing w:val="-12"/>
        </w:rPr>
        <w:t> </w:t>
      </w:r>
      <w:r>
        <w:rPr>
          <w:color w:val="231F20"/>
          <w:spacing w:val="-2"/>
        </w:rPr>
        <w:t>(2014).</w:t>
      </w:r>
      <w:r>
        <w:rPr>
          <w:color w:val="231F20"/>
          <w:spacing w:val="-12"/>
        </w:rPr>
        <w:t> </w:t>
      </w:r>
      <w:r>
        <w:rPr>
          <w:color w:val="231F20"/>
          <w:spacing w:val="-2"/>
        </w:rPr>
        <w:t>Beyond</w:t>
      </w:r>
      <w:r>
        <w:rPr>
          <w:color w:val="231F20"/>
          <w:spacing w:val="-12"/>
        </w:rPr>
        <w:t> </w:t>
      </w:r>
      <w:r>
        <w:rPr>
          <w:color w:val="231F20"/>
          <w:spacing w:val="-2"/>
        </w:rPr>
        <w:t>race</w:t>
      </w:r>
      <w:r>
        <w:rPr>
          <w:color w:val="231F20"/>
          <w:spacing w:val="-11"/>
        </w:rPr>
        <w:t> </w:t>
      </w:r>
      <w:r>
        <w:rPr>
          <w:color w:val="231F20"/>
          <w:spacing w:val="-1"/>
        </w:rPr>
        <w:t>and</w:t>
      </w:r>
      <w:r>
        <w:rPr>
          <w:color w:val="231F20"/>
          <w:spacing w:val="-12"/>
        </w:rPr>
        <w:t> </w:t>
      </w:r>
      <w:r>
        <w:rPr>
          <w:color w:val="231F20"/>
          <w:spacing w:val="-1"/>
        </w:rPr>
        <w:t>place:</w:t>
      </w:r>
      <w:r>
        <w:rPr>
          <w:color w:val="231F20"/>
          <w:spacing w:val="-12"/>
        </w:rPr>
        <w:t> </w:t>
      </w:r>
      <w:r>
        <w:rPr>
          <w:color w:val="231F20"/>
          <w:spacing w:val="-1"/>
        </w:rPr>
        <w:t>Distal</w:t>
      </w:r>
      <w:r>
        <w:rPr>
          <w:color w:val="231F20"/>
          <w:spacing w:val="-12"/>
        </w:rPr>
        <w:t> </w:t>
      </w:r>
      <w:r>
        <w:rPr>
          <w:color w:val="231F20"/>
          <w:spacing w:val="-1"/>
        </w:rPr>
        <w:t>sociological</w:t>
      </w:r>
      <w:r>
        <w:rPr>
          <w:color w:val="231F20"/>
          <w:spacing w:val="-52"/>
        </w:rPr>
        <w:t> </w:t>
      </w:r>
      <w:r>
        <w:rPr>
          <w:color w:val="231F20"/>
          <w:spacing w:val="-2"/>
        </w:rPr>
        <w:t>determinants </w:t>
      </w:r>
      <w:r>
        <w:rPr>
          <w:color w:val="231F20"/>
          <w:spacing w:val="-1"/>
        </w:rPr>
        <w:t>of HIV disparities. </w:t>
      </w:r>
      <w:r>
        <w:rPr>
          <w:i/>
          <w:color w:val="231F20"/>
          <w:spacing w:val="-1"/>
        </w:rPr>
        <w:t>PloS One, 9</w:t>
      </w:r>
      <w:r>
        <w:rPr>
          <w:color w:val="231F20"/>
          <w:spacing w:val="-1"/>
        </w:rPr>
        <w:t>(4).</w:t>
      </w:r>
      <w:r>
        <w:rPr>
          <w:color w:val="3953A4"/>
        </w:rPr>
        <w:t> </w:t>
      </w:r>
      <w:hyperlink r:id="rId107">
        <w:r>
          <w:rPr>
            <w:color w:val="3953A4"/>
            <w:u w:val="single" w:color="3953A4"/>
          </w:rPr>
          <w:t>https://doi.org/10.1371/journal.pone.0091711</w:t>
        </w:r>
      </w:hyperlink>
    </w:p>
    <w:p>
      <w:pPr>
        <w:tabs>
          <w:tab w:pos="519" w:val="left" w:leader="none"/>
        </w:tabs>
        <w:spacing w:line="228" w:lineRule="auto" w:before="89"/>
        <w:ind w:left="520" w:right="1172" w:hanging="360"/>
        <w:jc w:val="left"/>
        <w:rPr>
          <w:i/>
          <w:sz w:val="22"/>
        </w:rPr>
      </w:pPr>
      <w:r>
        <w:rPr>
          <w:color w:val="231F20"/>
          <w:sz w:val="22"/>
          <w:vertAlign w:val="superscript"/>
        </w:rPr>
        <w:t>71</w:t>
      </w:r>
      <w:r>
        <w:rPr>
          <w:color w:val="231F20"/>
          <w:sz w:val="22"/>
          <w:vertAlign w:val="baseline"/>
        </w:rPr>
        <w:tab/>
      </w:r>
      <w:r>
        <w:rPr>
          <w:color w:val="231F20"/>
          <w:spacing w:val="-1"/>
          <w:sz w:val="22"/>
          <w:vertAlign w:val="baseline"/>
        </w:rPr>
        <w:t>National Academies of Sciences, </w:t>
      </w:r>
      <w:r>
        <w:rPr>
          <w:color w:val="231F20"/>
          <w:sz w:val="22"/>
          <w:vertAlign w:val="baseline"/>
        </w:rPr>
        <w:t>Engineering,</w:t>
      </w:r>
      <w:r>
        <w:rPr>
          <w:color w:val="231F20"/>
          <w:spacing w:val="1"/>
          <w:sz w:val="22"/>
          <w:vertAlign w:val="baseline"/>
        </w:rPr>
        <w:t> </w:t>
      </w:r>
      <w:r>
        <w:rPr>
          <w:color w:val="231F20"/>
          <w:sz w:val="22"/>
          <w:vertAlign w:val="baseline"/>
        </w:rPr>
        <w:t>and</w:t>
      </w:r>
      <w:r>
        <w:rPr>
          <w:color w:val="231F20"/>
          <w:spacing w:val="-6"/>
          <w:sz w:val="22"/>
          <w:vertAlign w:val="baseline"/>
        </w:rPr>
        <w:t> </w:t>
      </w:r>
      <w:r>
        <w:rPr>
          <w:color w:val="231F20"/>
          <w:sz w:val="22"/>
          <w:vertAlign w:val="baseline"/>
        </w:rPr>
        <w:t>Medicine.</w:t>
      </w:r>
      <w:r>
        <w:rPr>
          <w:color w:val="231F20"/>
          <w:spacing w:val="-6"/>
          <w:sz w:val="22"/>
          <w:vertAlign w:val="baseline"/>
        </w:rPr>
        <w:t> </w:t>
      </w:r>
      <w:r>
        <w:rPr>
          <w:color w:val="231F20"/>
          <w:sz w:val="22"/>
          <w:vertAlign w:val="baseline"/>
        </w:rPr>
        <w:t>(2020).</w:t>
      </w:r>
      <w:r>
        <w:rPr>
          <w:color w:val="231F20"/>
          <w:spacing w:val="-5"/>
          <w:sz w:val="22"/>
          <w:vertAlign w:val="baseline"/>
        </w:rPr>
        <w:t> </w:t>
      </w:r>
      <w:r>
        <w:rPr>
          <w:i/>
          <w:color w:val="231F20"/>
          <w:sz w:val="22"/>
          <w:vertAlign w:val="baseline"/>
        </w:rPr>
        <w:t>Opportunities</w:t>
      </w:r>
      <w:r>
        <w:rPr>
          <w:i/>
          <w:color w:val="231F20"/>
          <w:spacing w:val="-7"/>
          <w:sz w:val="22"/>
          <w:vertAlign w:val="baseline"/>
        </w:rPr>
        <w:t> </w:t>
      </w:r>
      <w:r>
        <w:rPr>
          <w:i/>
          <w:color w:val="231F20"/>
          <w:sz w:val="22"/>
          <w:vertAlign w:val="baseline"/>
        </w:rPr>
        <w:t>to</w:t>
      </w:r>
      <w:r>
        <w:rPr>
          <w:i/>
          <w:color w:val="231F20"/>
          <w:spacing w:val="-5"/>
          <w:sz w:val="22"/>
          <w:vertAlign w:val="baseline"/>
        </w:rPr>
        <w:t> </w:t>
      </w:r>
      <w:r>
        <w:rPr>
          <w:i/>
          <w:color w:val="231F20"/>
          <w:sz w:val="22"/>
          <w:vertAlign w:val="baseline"/>
        </w:rPr>
        <w:t>improve</w:t>
      </w:r>
      <w:r>
        <w:rPr>
          <w:i/>
          <w:color w:val="231F20"/>
          <w:spacing w:val="-52"/>
          <w:sz w:val="22"/>
          <w:vertAlign w:val="baseline"/>
        </w:rPr>
        <w:t> </w:t>
      </w:r>
      <w:r>
        <w:rPr>
          <w:i/>
          <w:color w:val="231F20"/>
          <w:sz w:val="22"/>
          <w:vertAlign w:val="baseline"/>
        </w:rPr>
        <w:t>opioid</w:t>
      </w:r>
      <w:r>
        <w:rPr>
          <w:i/>
          <w:color w:val="231F20"/>
          <w:spacing w:val="-1"/>
          <w:sz w:val="22"/>
          <w:vertAlign w:val="baseline"/>
        </w:rPr>
        <w:t> </w:t>
      </w:r>
      <w:r>
        <w:rPr>
          <w:i/>
          <w:color w:val="231F20"/>
          <w:sz w:val="22"/>
          <w:vertAlign w:val="baseline"/>
        </w:rPr>
        <w:t>use</w:t>
      </w:r>
      <w:r>
        <w:rPr>
          <w:i/>
          <w:color w:val="231F20"/>
          <w:spacing w:val="-1"/>
          <w:sz w:val="22"/>
          <w:vertAlign w:val="baseline"/>
        </w:rPr>
        <w:t> </w:t>
      </w:r>
      <w:r>
        <w:rPr>
          <w:i/>
          <w:color w:val="231F20"/>
          <w:sz w:val="22"/>
          <w:vertAlign w:val="baseline"/>
        </w:rPr>
        <w:t>disorder and</w:t>
      </w:r>
      <w:r>
        <w:rPr>
          <w:i/>
          <w:color w:val="231F20"/>
          <w:spacing w:val="-1"/>
          <w:sz w:val="22"/>
          <w:vertAlign w:val="baseline"/>
        </w:rPr>
        <w:t> </w:t>
      </w:r>
      <w:r>
        <w:rPr>
          <w:i/>
          <w:color w:val="231F20"/>
          <w:sz w:val="22"/>
          <w:vertAlign w:val="baseline"/>
        </w:rPr>
        <w:t>infectious</w:t>
      </w:r>
      <w:r>
        <w:rPr>
          <w:i/>
          <w:color w:val="231F20"/>
          <w:spacing w:val="-1"/>
          <w:sz w:val="22"/>
          <w:vertAlign w:val="baseline"/>
        </w:rPr>
        <w:t> </w:t>
      </w:r>
      <w:r>
        <w:rPr>
          <w:i/>
          <w:color w:val="231F20"/>
          <w:sz w:val="22"/>
          <w:vertAlign w:val="baseline"/>
        </w:rPr>
        <w:t>disease</w:t>
      </w:r>
    </w:p>
    <w:p>
      <w:pPr>
        <w:spacing w:line="228" w:lineRule="auto" w:before="0"/>
        <w:ind w:left="520" w:right="908" w:firstLine="0"/>
        <w:jc w:val="left"/>
        <w:rPr>
          <w:sz w:val="22"/>
        </w:rPr>
      </w:pPr>
      <w:r>
        <w:rPr>
          <w:i/>
          <w:color w:val="231F20"/>
          <w:sz w:val="22"/>
        </w:rPr>
        <w:t>services:</w:t>
      </w:r>
      <w:r>
        <w:rPr>
          <w:i/>
          <w:color w:val="231F20"/>
          <w:spacing w:val="-4"/>
          <w:sz w:val="22"/>
        </w:rPr>
        <w:t> </w:t>
      </w:r>
      <w:r>
        <w:rPr>
          <w:i/>
          <w:color w:val="231F20"/>
          <w:sz w:val="22"/>
        </w:rPr>
        <w:t>Integrating</w:t>
      </w:r>
      <w:r>
        <w:rPr>
          <w:i/>
          <w:color w:val="231F20"/>
          <w:spacing w:val="-3"/>
          <w:sz w:val="22"/>
        </w:rPr>
        <w:t> </w:t>
      </w:r>
      <w:r>
        <w:rPr>
          <w:i/>
          <w:color w:val="231F20"/>
          <w:sz w:val="22"/>
        </w:rPr>
        <w:t>responses</w:t>
      </w:r>
      <w:r>
        <w:rPr>
          <w:i/>
          <w:color w:val="231F20"/>
          <w:spacing w:val="-3"/>
          <w:sz w:val="22"/>
        </w:rPr>
        <w:t> </w:t>
      </w:r>
      <w:r>
        <w:rPr>
          <w:i/>
          <w:color w:val="231F20"/>
          <w:sz w:val="22"/>
        </w:rPr>
        <w:t>to</w:t>
      </w:r>
      <w:r>
        <w:rPr>
          <w:i/>
          <w:color w:val="231F20"/>
          <w:spacing w:val="-3"/>
          <w:sz w:val="22"/>
        </w:rPr>
        <w:t> </w:t>
      </w:r>
      <w:r>
        <w:rPr>
          <w:i/>
          <w:color w:val="231F20"/>
          <w:sz w:val="22"/>
        </w:rPr>
        <w:t>a</w:t>
      </w:r>
      <w:r>
        <w:rPr>
          <w:i/>
          <w:color w:val="231F20"/>
          <w:spacing w:val="-3"/>
          <w:sz w:val="22"/>
        </w:rPr>
        <w:t> </w:t>
      </w:r>
      <w:r>
        <w:rPr>
          <w:i/>
          <w:color w:val="231F20"/>
          <w:sz w:val="22"/>
        </w:rPr>
        <w:t>dual</w:t>
      </w:r>
      <w:r>
        <w:rPr>
          <w:i/>
          <w:color w:val="231F20"/>
          <w:spacing w:val="-3"/>
          <w:sz w:val="22"/>
        </w:rPr>
        <w:t> </w:t>
      </w:r>
      <w:r>
        <w:rPr>
          <w:i/>
          <w:color w:val="231F20"/>
          <w:sz w:val="22"/>
        </w:rPr>
        <w:t>epidemic</w:t>
      </w:r>
      <w:r>
        <w:rPr>
          <w:color w:val="231F20"/>
          <w:sz w:val="22"/>
        </w:rPr>
        <w:t>.</w:t>
      </w:r>
      <w:r>
        <w:rPr>
          <w:color w:val="231F20"/>
          <w:spacing w:val="-52"/>
          <w:sz w:val="22"/>
        </w:rPr>
        <w:t> </w:t>
      </w:r>
      <w:r>
        <w:rPr>
          <w:color w:val="231F20"/>
          <w:spacing w:val="-1"/>
          <w:sz w:val="22"/>
        </w:rPr>
        <w:t>The </w:t>
      </w:r>
      <w:r>
        <w:rPr>
          <w:color w:val="231F20"/>
          <w:sz w:val="22"/>
        </w:rPr>
        <w:t>National Academies Press. </w:t>
      </w:r>
      <w:hyperlink r:id="rId108">
        <w:r>
          <w:rPr>
            <w:color w:val="3953A4"/>
            <w:sz w:val="22"/>
            <w:u w:val="single" w:color="3953A4"/>
          </w:rPr>
          <w:t>https://doi.</w:t>
        </w:r>
      </w:hyperlink>
      <w:r>
        <w:rPr>
          <w:color w:val="3953A4"/>
          <w:spacing w:val="1"/>
          <w:sz w:val="22"/>
        </w:rPr>
        <w:t> </w:t>
      </w:r>
      <w:hyperlink r:id="rId108">
        <w:r>
          <w:rPr>
            <w:color w:val="3953A4"/>
            <w:sz w:val="22"/>
            <w:u w:val="single" w:color="3953A4"/>
          </w:rPr>
          <w:t>org/10.17226/25626</w:t>
        </w:r>
      </w:hyperlink>
    </w:p>
    <w:p>
      <w:pPr>
        <w:pStyle w:val="BodyText"/>
        <w:tabs>
          <w:tab w:pos="359" w:val="left" w:leader="none"/>
        </w:tabs>
        <w:spacing w:line="246" w:lineRule="exact" w:before="78"/>
        <w:ind w:right="1129"/>
        <w:jc w:val="right"/>
      </w:pPr>
      <w:r>
        <w:rPr>
          <w:color w:val="231F20"/>
          <w:vertAlign w:val="superscript"/>
        </w:rPr>
        <w:t>72</w:t>
      </w:r>
      <w:r>
        <w:rPr>
          <w:color w:val="231F20"/>
          <w:vertAlign w:val="baseline"/>
        </w:rPr>
        <w:tab/>
      </w:r>
      <w:r>
        <w:rPr>
          <w:color w:val="231F20"/>
          <w:spacing w:val="-2"/>
          <w:vertAlign w:val="baseline"/>
        </w:rPr>
        <w:t>Turan,</w:t>
      </w:r>
      <w:r>
        <w:rPr>
          <w:color w:val="231F20"/>
          <w:spacing w:val="-12"/>
          <w:vertAlign w:val="baseline"/>
        </w:rPr>
        <w:t> </w:t>
      </w:r>
      <w:r>
        <w:rPr>
          <w:color w:val="231F20"/>
          <w:spacing w:val="-1"/>
          <w:vertAlign w:val="baseline"/>
        </w:rPr>
        <w:t>B.,</w:t>
      </w:r>
      <w:r>
        <w:rPr>
          <w:color w:val="231F20"/>
          <w:spacing w:val="-11"/>
          <w:vertAlign w:val="baseline"/>
        </w:rPr>
        <w:t> </w:t>
      </w:r>
      <w:r>
        <w:rPr>
          <w:color w:val="231F20"/>
          <w:spacing w:val="-1"/>
          <w:vertAlign w:val="baseline"/>
        </w:rPr>
        <w:t>Budhwani,</w:t>
      </w:r>
      <w:r>
        <w:rPr>
          <w:color w:val="231F20"/>
          <w:spacing w:val="-12"/>
          <w:vertAlign w:val="baseline"/>
        </w:rPr>
        <w:t> </w:t>
      </w:r>
      <w:r>
        <w:rPr>
          <w:color w:val="231F20"/>
          <w:spacing w:val="-1"/>
          <w:vertAlign w:val="baseline"/>
        </w:rPr>
        <w:t>H.,</w:t>
      </w:r>
      <w:r>
        <w:rPr>
          <w:color w:val="231F20"/>
          <w:spacing w:val="-12"/>
          <w:vertAlign w:val="baseline"/>
        </w:rPr>
        <w:t> </w:t>
      </w:r>
      <w:r>
        <w:rPr>
          <w:color w:val="231F20"/>
          <w:spacing w:val="-1"/>
          <w:vertAlign w:val="baseline"/>
        </w:rPr>
        <w:t>Fazeli,</w:t>
      </w:r>
      <w:r>
        <w:rPr>
          <w:color w:val="231F20"/>
          <w:spacing w:val="-13"/>
          <w:vertAlign w:val="baseline"/>
        </w:rPr>
        <w:t> </w:t>
      </w:r>
      <w:r>
        <w:rPr>
          <w:color w:val="231F20"/>
          <w:spacing w:val="-1"/>
          <w:vertAlign w:val="baseline"/>
        </w:rPr>
        <w:t>P.</w:t>
      </w:r>
      <w:r>
        <w:rPr>
          <w:color w:val="231F20"/>
          <w:spacing w:val="-11"/>
          <w:vertAlign w:val="baseline"/>
        </w:rPr>
        <w:t> </w:t>
      </w:r>
      <w:r>
        <w:rPr>
          <w:color w:val="231F20"/>
          <w:spacing w:val="-1"/>
          <w:vertAlign w:val="baseline"/>
        </w:rPr>
        <w:t>L.,</w:t>
      </w:r>
      <w:r>
        <w:rPr>
          <w:color w:val="231F20"/>
          <w:spacing w:val="-12"/>
          <w:vertAlign w:val="baseline"/>
        </w:rPr>
        <w:t> </w:t>
      </w:r>
      <w:r>
        <w:rPr>
          <w:color w:val="231F20"/>
          <w:spacing w:val="-1"/>
          <w:vertAlign w:val="baseline"/>
        </w:rPr>
        <w:t>Browning,</w:t>
      </w:r>
    </w:p>
    <w:p>
      <w:pPr>
        <w:pStyle w:val="BodyText"/>
        <w:spacing w:line="240" w:lineRule="exact"/>
        <w:ind w:right="1204"/>
        <w:jc w:val="right"/>
      </w:pPr>
      <w:r>
        <w:rPr>
          <w:color w:val="231F20"/>
          <w:spacing w:val="-2"/>
        </w:rPr>
        <w:t>W.</w:t>
      </w:r>
      <w:r>
        <w:rPr>
          <w:color w:val="231F20"/>
          <w:spacing w:val="-10"/>
        </w:rPr>
        <w:t> </w:t>
      </w:r>
      <w:r>
        <w:rPr>
          <w:color w:val="231F20"/>
          <w:spacing w:val="-2"/>
        </w:rPr>
        <w:t>R.,</w:t>
      </w:r>
      <w:r>
        <w:rPr>
          <w:color w:val="231F20"/>
          <w:spacing w:val="-9"/>
        </w:rPr>
        <w:t> </w:t>
      </w:r>
      <w:r>
        <w:rPr>
          <w:color w:val="231F20"/>
          <w:spacing w:val="-2"/>
        </w:rPr>
        <w:t>Raper,</w:t>
      </w:r>
      <w:r>
        <w:rPr>
          <w:color w:val="231F20"/>
          <w:spacing w:val="-9"/>
        </w:rPr>
        <w:t> </w:t>
      </w:r>
      <w:r>
        <w:rPr>
          <w:color w:val="231F20"/>
          <w:spacing w:val="-2"/>
        </w:rPr>
        <w:t>J.</w:t>
      </w:r>
      <w:r>
        <w:rPr>
          <w:color w:val="231F20"/>
          <w:spacing w:val="-10"/>
        </w:rPr>
        <w:t> </w:t>
      </w:r>
      <w:r>
        <w:rPr>
          <w:color w:val="231F20"/>
          <w:spacing w:val="-1"/>
        </w:rPr>
        <w:t>L.,</w:t>
      </w:r>
      <w:r>
        <w:rPr>
          <w:color w:val="231F20"/>
          <w:spacing w:val="-9"/>
        </w:rPr>
        <w:t> </w:t>
      </w:r>
      <w:r>
        <w:rPr>
          <w:color w:val="231F20"/>
          <w:spacing w:val="-1"/>
        </w:rPr>
        <w:t>Mugavero,</w:t>
      </w:r>
      <w:r>
        <w:rPr>
          <w:color w:val="231F20"/>
          <w:spacing w:val="-10"/>
        </w:rPr>
        <w:t> </w:t>
      </w:r>
      <w:r>
        <w:rPr>
          <w:color w:val="231F20"/>
          <w:spacing w:val="-1"/>
        </w:rPr>
        <w:t>M.</w:t>
      </w:r>
      <w:r>
        <w:rPr>
          <w:color w:val="231F20"/>
          <w:spacing w:val="-10"/>
        </w:rPr>
        <w:t> </w:t>
      </w:r>
      <w:r>
        <w:rPr>
          <w:color w:val="231F20"/>
          <w:spacing w:val="-1"/>
        </w:rPr>
        <w:t>J.,</w:t>
      </w:r>
      <w:r>
        <w:rPr>
          <w:color w:val="231F20"/>
          <w:spacing w:val="-10"/>
        </w:rPr>
        <w:t> </w:t>
      </w:r>
      <w:r>
        <w:rPr>
          <w:color w:val="231F20"/>
          <w:spacing w:val="-1"/>
        </w:rPr>
        <w:t>&amp;</w:t>
      </w:r>
      <w:r>
        <w:rPr>
          <w:color w:val="231F20"/>
          <w:spacing w:val="-13"/>
        </w:rPr>
        <w:t> </w:t>
      </w:r>
      <w:r>
        <w:rPr>
          <w:color w:val="231F20"/>
          <w:spacing w:val="-1"/>
        </w:rPr>
        <w:t>Turan,</w:t>
      </w:r>
      <w:r>
        <w:rPr>
          <w:color w:val="231F20"/>
          <w:spacing w:val="-9"/>
        </w:rPr>
        <w:t> </w:t>
      </w:r>
      <w:r>
        <w:rPr>
          <w:color w:val="231F20"/>
          <w:spacing w:val="-1"/>
        </w:rPr>
        <w:t>J.</w:t>
      </w:r>
    </w:p>
    <w:p>
      <w:pPr>
        <w:pStyle w:val="BodyText"/>
        <w:spacing w:line="228" w:lineRule="auto" w:before="4"/>
        <w:ind w:left="520" w:right="1044"/>
      </w:pPr>
      <w:r>
        <w:rPr>
          <w:color w:val="231F20"/>
        </w:rPr>
        <w:t>M. (2017). How does stigma affect people living</w:t>
      </w:r>
      <w:r>
        <w:rPr>
          <w:color w:val="231F20"/>
          <w:spacing w:val="1"/>
        </w:rPr>
        <w:t> </w:t>
      </w:r>
      <w:r>
        <w:rPr>
          <w:color w:val="231F20"/>
          <w:spacing w:val="-1"/>
        </w:rPr>
        <w:t>with</w:t>
      </w:r>
      <w:r>
        <w:rPr>
          <w:color w:val="231F20"/>
          <w:spacing w:val="-10"/>
        </w:rPr>
        <w:t> </w:t>
      </w:r>
      <w:r>
        <w:rPr>
          <w:color w:val="231F20"/>
          <w:spacing w:val="-1"/>
        </w:rPr>
        <w:t>HIV?</w:t>
      </w:r>
      <w:r>
        <w:rPr>
          <w:color w:val="231F20"/>
          <w:spacing w:val="-13"/>
        </w:rPr>
        <w:t> </w:t>
      </w:r>
      <w:r>
        <w:rPr>
          <w:color w:val="231F20"/>
          <w:spacing w:val="-1"/>
        </w:rPr>
        <w:t>The</w:t>
      </w:r>
      <w:r>
        <w:rPr>
          <w:color w:val="231F20"/>
          <w:spacing w:val="-8"/>
        </w:rPr>
        <w:t> </w:t>
      </w:r>
      <w:r>
        <w:rPr>
          <w:color w:val="231F20"/>
          <w:spacing w:val="-1"/>
        </w:rPr>
        <w:t>mediating</w:t>
      </w:r>
      <w:r>
        <w:rPr>
          <w:color w:val="231F20"/>
          <w:spacing w:val="-9"/>
        </w:rPr>
        <w:t> </w:t>
      </w:r>
      <w:r>
        <w:rPr>
          <w:color w:val="231F20"/>
          <w:spacing w:val="-1"/>
        </w:rPr>
        <w:t>roles</w:t>
      </w:r>
      <w:r>
        <w:rPr>
          <w:color w:val="231F20"/>
          <w:spacing w:val="-9"/>
        </w:rPr>
        <w:t> </w:t>
      </w:r>
      <w:r>
        <w:rPr>
          <w:color w:val="231F20"/>
          <w:spacing w:val="-1"/>
        </w:rPr>
        <w:t>of</w:t>
      </w:r>
      <w:r>
        <w:rPr>
          <w:color w:val="231F20"/>
          <w:spacing w:val="-9"/>
        </w:rPr>
        <w:t> </w:t>
      </w:r>
      <w:r>
        <w:rPr>
          <w:color w:val="231F20"/>
          <w:spacing w:val="-1"/>
        </w:rPr>
        <w:t>internalized</w:t>
      </w:r>
      <w:r>
        <w:rPr>
          <w:color w:val="231F20"/>
          <w:spacing w:val="-8"/>
        </w:rPr>
        <w:t> </w:t>
      </w:r>
      <w:r>
        <w:rPr>
          <w:color w:val="231F20"/>
          <w:spacing w:val="-1"/>
        </w:rPr>
        <w:t>and</w:t>
      </w:r>
      <w:r>
        <w:rPr>
          <w:color w:val="231F20"/>
          <w:spacing w:val="-52"/>
        </w:rPr>
        <w:t> </w:t>
      </w:r>
      <w:r>
        <w:rPr>
          <w:color w:val="231F20"/>
          <w:spacing w:val="-1"/>
        </w:rPr>
        <w:t>anticipated HIV stigma in the effects of perceived</w:t>
      </w:r>
      <w:r>
        <w:rPr>
          <w:color w:val="231F20"/>
          <w:spacing w:val="-52"/>
        </w:rPr>
        <w:t> </w:t>
      </w:r>
      <w:r>
        <w:rPr>
          <w:color w:val="231F20"/>
        </w:rPr>
        <w:t>community stigma on health and psychosocial</w:t>
      </w:r>
      <w:r>
        <w:rPr>
          <w:color w:val="231F20"/>
          <w:spacing w:val="1"/>
        </w:rPr>
        <w:t> </w:t>
      </w:r>
      <w:r>
        <w:rPr>
          <w:color w:val="231F20"/>
        </w:rPr>
        <w:t>outcomes. </w:t>
      </w:r>
      <w:r>
        <w:rPr>
          <w:i/>
          <w:color w:val="231F20"/>
        </w:rPr>
        <w:t>AIDS and Behavior, 21</w:t>
      </w:r>
      <w:r>
        <w:rPr>
          <w:color w:val="231F20"/>
        </w:rPr>
        <w:t>(1), 283-291.</w:t>
      </w:r>
      <w:r>
        <w:rPr>
          <w:color w:val="3953A4"/>
          <w:spacing w:val="1"/>
        </w:rPr>
        <w:t> </w:t>
      </w:r>
      <w:hyperlink r:id="rId109">
        <w:r>
          <w:rPr>
            <w:color w:val="3953A4"/>
            <w:u w:val="single" w:color="3953A4"/>
          </w:rPr>
          <w:t>https://doi.org/10.1007/s10461-016-1451-5</w:t>
        </w:r>
      </w:hyperlink>
    </w:p>
    <w:p>
      <w:pPr>
        <w:pStyle w:val="BodyText"/>
        <w:tabs>
          <w:tab w:pos="519" w:val="left" w:leader="none"/>
        </w:tabs>
        <w:spacing w:line="228" w:lineRule="auto" w:before="88"/>
        <w:ind w:left="519" w:right="1105" w:hanging="360"/>
      </w:pPr>
      <w:r>
        <w:rPr>
          <w:color w:val="231F20"/>
          <w:vertAlign w:val="superscript"/>
        </w:rPr>
        <w:t>73</w:t>
      </w:r>
      <w:r>
        <w:rPr>
          <w:color w:val="231F20"/>
          <w:vertAlign w:val="baseline"/>
        </w:rPr>
        <w:tab/>
      </w:r>
      <w:r>
        <w:rPr>
          <w:color w:val="231F20"/>
          <w:spacing w:val="-5"/>
          <w:vertAlign w:val="baseline"/>
        </w:rPr>
        <w:t>Vanable, P. A., </w:t>
      </w:r>
      <w:r>
        <w:rPr>
          <w:color w:val="231F20"/>
          <w:spacing w:val="-4"/>
          <w:vertAlign w:val="baseline"/>
        </w:rPr>
        <w:t>Carey, M. P., Blair, D. C., &amp;</w:t>
      </w:r>
      <w:r>
        <w:rPr>
          <w:color w:val="231F20"/>
          <w:spacing w:val="-3"/>
          <w:vertAlign w:val="baseline"/>
        </w:rPr>
        <w:t> Littlewood, R. </w:t>
      </w:r>
      <w:r>
        <w:rPr>
          <w:color w:val="231F20"/>
          <w:spacing w:val="-2"/>
          <w:vertAlign w:val="baseline"/>
        </w:rPr>
        <w:t>A. (2006). Impact of HIV-related</w:t>
      </w:r>
      <w:r>
        <w:rPr>
          <w:color w:val="231F20"/>
          <w:spacing w:val="-1"/>
          <w:vertAlign w:val="baseline"/>
        </w:rPr>
        <w:t> </w:t>
      </w:r>
      <w:r>
        <w:rPr>
          <w:color w:val="231F20"/>
          <w:vertAlign w:val="baseline"/>
        </w:rPr>
        <w:t>stigma on health behaviors and psychological</w:t>
      </w:r>
      <w:r>
        <w:rPr>
          <w:color w:val="231F20"/>
          <w:spacing w:val="1"/>
          <w:vertAlign w:val="baseline"/>
        </w:rPr>
        <w:t> </w:t>
      </w:r>
      <w:r>
        <w:rPr>
          <w:color w:val="231F20"/>
          <w:spacing w:val="-2"/>
          <w:vertAlign w:val="baseline"/>
        </w:rPr>
        <w:t>adjustment</w:t>
      </w:r>
      <w:r>
        <w:rPr>
          <w:color w:val="231F20"/>
          <w:spacing w:val="-10"/>
          <w:vertAlign w:val="baseline"/>
        </w:rPr>
        <w:t> </w:t>
      </w:r>
      <w:r>
        <w:rPr>
          <w:color w:val="231F20"/>
          <w:spacing w:val="-2"/>
          <w:vertAlign w:val="baseline"/>
        </w:rPr>
        <w:t>among</w:t>
      </w:r>
      <w:r>
        <w:rPr>
          <w:color w:val="231F20"/>
          <w:spacing w:val="-10"/>
          <w:vertAlign w:val="baseline"/>
        </w:rPr>
        <w:t> </w:t>
      </w:r>
      <w:r>
        <w:rPr>
          <w:color w:val="231F20"/>
          <w:spacing w:val="-2"/>
          <w:vertAlign w:val="baseline"/>
        </w:rPr>
        <w:t>HIV-positive</w:t>
      </w:r>
      <w:r>
        <w:rPr>
          <w:color w:val="231F20"/>
          <w:spacing w:val="-10"/>
          <w:vertAlign w:val="baseline"/>
        </w:rPr>
        <w:t> </w:t>
      </w:r>
      <w:r>
        <w:rPr>
          <w:color w:val="231F20"/>
          <w:spacing w:val="-1"/>
          <w:vertAlign w:val="baseline"/>
        </w:rPr>
        <w:t>men</w:t>
      </w:r>
      <w:r>
        <w:rPr>
          <w:color w:val="231F20"/>
          <w:spacing w:val="-10"/>
          <w:vertAlign w:val="baseline"/>
        </w:rPr>
        <w:t> </w:t>
      </w:r>
      <w:r>
        <w:rPr>
          <w:color w:val="231F20"/>
          <w:spacing w:val="-1"/>
          <w:vertAlign w:val="baseline"/>
        </w:rPr>
        <w:t>and</w:t>
      </w:r>
      <w:r>
        <w:rPr>
          <w:color w:val="231F20"/>
          <w:spacing w:val="-10"/>
          <w:vertAlign w:val="baseline"/>
        </w:rPr>
        <w:t> </w:t>
      </w:r>
      <w:r>
        <w:rPr>
          <w:color w:val="231F20"/>
          <w:spacing w:val="-1"/>
          <w:vertAlign w:val="baseline"/>
        </w:rPr>
        <w:t>women.</w:t>
      </w:r>
      <w:r>
        <w:rPr>
          <w:color w:val="231F20"/>
          <w:spacing w:val="-52"/>
          <w:vertAlign w:val="baseline"/>
        </w:rPr>
        <w:t> </w:t>
      </w:r>
      <w:r>
        <w:rPr>
          <w:i/>
          <w:color w:val="231F20"/>
          <w:spacing w:val="-1"/>
          <w:vertAlign w:val="baseline"/>
        </w:rPr>
        <w:t>AIDS and Behavior, 10</w:t>
      </w:r>
      <w:r>
        <w:rPr>
          <w:color w:val="231F20"/>
          <w:spacing w:val="-1"/>
          <w:vertAlign w:val="baseline"/>
        </w:rPr>
        <w:t>(5), </w:t>
      </w:r>
      <w:r>
        <w:rPr>
          <w:color w:val="231F20"/>
          <w:vertAlign w:val="baseline"/>
        </w:rPr>
        <w:t>473-482. </w:t>
      </w:r>
      <w:hyperlink r:id="rId110">
        <w:r>
          <w:rPr>
            <w:color w:val="3953A4"/>
            <w:u w:val="single" w:color="3953A4"/>
            <w:vertAlign w:val="baseline"/>
          </w:rPr>
          <w:t>https://doi.</w:t>
        </w:r>
      </w:hyperlink>
      <w:r>
        <w:rPr>
          <w:color w:val="3953A4"/>
          <w:spacing w:val="1"/>
          <w:vertAlign w:val="baseline"/>
        </w:rPr>
        <w:t> </w:t>
      </w:r>
      <w:hyperlink r:id="rId110">
        <w:r>
          <w:rPr>
            <w:color w:val="3953A4"/>
            <w:u w:val="single" w:color="3953A4"/>
            <w:vertAlign w:val="baseline"/>
          </w:rPr>
          <w:t>org/10.1007/s10461-006-9099-1</w:t>
        </w:r>
      </w:hyperlink>
    </w:p>
    <w:p>
      <w:pPr>
        <w:pStyle w:val="BodyText"/>
        <w:tabs>
          <w:tab w:pos="519" w:val="left" w:leader="none"/>
        </w:tabs>
        <w:spacing w:line="228" w:lineRule="auto" w:before="88"/>
        <w:ind w:left="519" w:right="863" w:hanging="360"/>
        <w:rPr>
          <w:i/>
        </w:rPr>
      </w:pPr>
      <w:r>
        <w:rPr>
          <w:color w:val="231F20"/>
          <w:vertAlign w:val="superscript"/>
        </w:rPr>
        <w:t>74</w:t>
      </w:r>
      <w:r>
        <w:rPr>
          <w:color w:val="231F20"/>
          <w:vertAlign w:val="baseline"/>
        </w:rPr>
        <w:tab/>
        <w:t>Antelman, G., Kaaya, S., Wei, R., Mbwambo, J.,</w:t>
      </w:r>
      <w:r>
        <w:rPr>
          <w:color w:val="231F20"/>
          <w:spacing w:val="1"/>
          <w:vertAlign w:val="baseline"/>
        </w:rPr>
        <w:t> </w:t>
      </w:r>
      <w:r>
        <w:rPr>
          <w:color w:val="231F20"/>
          <w:vertAlign w:val="baseline"/>
        </w:rPr>
        <w:t>Msamanga, G. I., Fawzi, W. W., &amp; Fawzi, M. C. S.</w:t>
      </w:r>
      <w:r>
        <w:rPr>
          <w:color w:val="231F20"/>
          <w:spacing w:val="-52"/>
          <w:vertAlign w:val="baseline"/>
        </w:rPr>
        <w:t> </w:t>
      </w:r>
      <w:r>
        <w:rPr>
          <w:color w:val="231F20"/>
          <w:vertAlign w:val="baseline"/>
        </w:rPr>
        <w:t>(2007). Depressive symptoms increase risk of HIV</w:t>
      </w:r>
      <w:r>
        <w:rPr>
          <w:color w:val="231F20"/>
          <w:spacing w:val="1"/>
          <w:vertAlign w:val="baseline"/>
        </w:rPr>
        <w:t> </w:t>
      </w:r>
      <w:r>
        <w:rPr>
          <w:color w:val="231F20"/>
          <w:vertAlign w:val="baseline"/>
        </w:rPr>
        <w:t>disease progression and mortality among women in</w:t>
      </w:r>
      <w:r>
        <w:rPr>
          <w:color w:val="231F20"/>
          <w:spacing w:val="-52"/>
          <w:vertAlign w:val="baseline"/>
        </w:rPr>
        <w:t> </w:t>
      </w:r>
      <w:r>
        <w:rPr>
          <w:color w:val="231F20"/>
          <w:vertAlign w:val="baseline"/>
        </w:rPr>
        <w:t>Tanzania.</w:t>
      </w:r>
      <w:r>
        <w:rPr>
          <w:color w:val="231F20"/>
          <w:spacing w:val="-8"/>
          <w:vertAlign w:val="baseline"/>
        </w:rPr>
        <w:t> </w:t>
      </w:r>
      <w:r>
        <w:rPr>
          <w:i/>
          <w:color w:val="231F20"/>
          <w:vertAlign w:val="baseline"/>
        </w:rPr>
        <w:t>Journal</w:t>
      </w:r>
      <w:r>
        <w:rPr>
          <w:i/>
          <w:color w:val="231F20"/>
          <w:spacing w:val="-6"/>
          <w:vertAlign w:val="baseline"/>
        </w:rPr>
        <w:t> </w:t>
      </w:r>
      <w:r>
        <w:rPr>
          <w:i/>
          <w:color w:val="231F20"/>
          <w:vertAlign w:val="baseline"/>
        </w:rPr>
        <w:t>of</w:t>
      </w:r>
      <w:r>
        <w:rPr>
          <w:i/>
          <w:color w:val="231F20"/>
          <w:spacing w:val="-11"/>
          <w:vertAlign w:val="baseline"/>
        </w:rPr>
        <w:t> </w:t>
      </w:r>
      <w:r>
        <w:rPr>
          <w:i/>
          <w:color w:val="231F20"/>
          <w:vertAlign w:val="baseline"/>
        </w:rPr>
        <w:t>Acquired</w:t>
      </w:r>
      <w:r>
        <w:rPr>
          <w:i/>
          <w:color w:val="231F20"/>
          <w:spacing w:val="-6"/>
          <w:vertAlign w:val="baseline"/>
        </w:rPr>
        <w:t> </w:t>
      </w:r>
      <w:r>
        <w:rPr>
          <w:i/>
          <w:color w:val="231F20"/>
          <w:vertAlign w:val="baseline"/>
        </w:rPr>
        <w:t>Immune</w:t>
      </w:r>
      <w:r>
        <w:rPr>
          <w:i/>
          <w:color w:val="231F20"/>
          <w:spacing w:val="-6"/>
          <w:vertAlign w:val="baseline"/>
        </w:rPr>
        <w:t> </w:t>
      </w:r>
      <w:r>
        <w:rPr>
          <w:i/>
          <w:color w:val="231F20"/>
          <w:vertAlign w:val="baseline"/>
        </w:rPr>
        <w:t>Deficiency</w:t>
      </w:r>
    </w:p>
    <w:p>
      <w:pPr>
        <w:spacing w:after="0" w:line="228" w:lineRule="auto"/>
        <w:sectPr>
          <w:type w:val="continuous"/>
          <w:pgSz w:w="12240" w:h="15840"/>
          <w:pgMar w:header="0" w:footer="666" w:top="1500" w:bottom="0" w:left="560" w:right="0"/>
          <w:cols w:num="2" w:equalWidth="0">
            <w:col w:w="5240" w:space="520"/>
            <w:col w:w="5920"/>
          </w:cols>
        </w:sectPr>
      </w:pPr>
    </w:p>
    <w:p>
      <w:pPr>
        <w:pStyle w:val="BodyText"/>
        <w:rPr>
          <w:i/>
          <w:sz w:val="20"/>
        </w:rPr>
      </w:pPr>
    </w:p>
    <w:p>
      <w:pPr>
        <w:pStyle w:val="BodyText"/>
        <w:spacing w:before="2"/>
        <w:rPr>
          <w:i/>
          <w:sz w:val="27"/>
        </w:rPr>
      </w:pPr>
    </w:p>
    <w:p>
      <w:pPr>
        <w:spacing w:after="0"/>
        <w:rPr>
          <w:sz w:val="27"/>
        </w:rPr>
        <w:sectPr>
          <w:pgSz w:w="12240" w:h="15840"/>
          <w:pgMar w:header="0" w:footer="666" w:top="380" w:bottom="860" w:left="560" w:right="0"/>
        </w:sectPr>
      </w:pPr>
    </w:p>
    <w:p>
      <w:pPr>
        <w:spacing w:line="228" w:lineRule="auto" w:before="101"/>
        <w:ind w:left="520" w:right="491" w:firstLine="0"/>
        <w:jc w:val="left"/>
        <w:rPr>
          <w:sz w:val="22"/>
        </w:rPr>
      </w:pPr>
      <w:r>
        <w:rPr>
          <w:i/>
          <w:color w:val="231F20"/>
          <w:sz w:val="22"/>
        </w:rPr>
        <w:t>Syndromes</w:t>
      </w:r>
      <w:r>
        <w:rPr>
          <w:i/>
          <w:color w:val="231F20"/>
          <w:spacing w:val="-6"/>
          <w:sz w:val="22"/>
        </w:rPr>
        <w:t> </w:t>
      </w:r>
      <w:r>
        <w:rPr>
          <w:i/>
          <w:color w:val="231F20"/>
          <w:sz w:val="22"/>
        </w:rPr>
        <w:t>(JAIDS),</w:t>
      </w:r>
      <w:r>
        <w:rPr>
          <w:i/>
          <w:color w:val="231F20"/>
          <w:spacing w:val="-6"/>
          <w:sz w:val="22"/>
        </w:rPr>
        <w:t> </w:t>
      </w:r>
      <w:r>
        <w:rPr>
          <w:i/>
          <w:color w:val="231F20"/>
          <w:sz w:val="22"/>
        </w:rPr>
        <w:t>44</w:t>
      </w:r>
      <w:r>
        <w:rPr>
          <w:color w:val="231F20"/>
          <w:sz w:val="22"/>
        </w:rPr>
        <w:t>(4),</w:t>
      </w:r>
      <w:r>
        <w:rPr>
          <w:color w:val="231F20"/>
          <w:spacing w:val="-6"/>
          <w:sz w:val="22"/>
        </w:rPr>
        <w:t> </w:t>
      </w:r>
      <w:r>
        <w:rPr>
          <w:color w:val="231F20"/>
          <w:sz w:val="22"/>
        </w:rPr>
        <w:t>470-477.</w:t>
      </w:r>
      <w:r>
        <w:rPr>
          <w:color w:val="231F20"/>
          <w:spacing w:val="-6"/>
          <w:sz w:val="22"/>
        </w:rPr>
        <w:t> </w:t>
      </w:r>
      <w:hyperlink r:id="rId111">
        <w:r>
          <w:rPr>
            <w:color w:val="3953A4"/>
            <w:sz w:val="22"/>
            <w:u w:val="single" w:color="3953A4"/>
          </w:rPr>
          <w:t>https://doi.</w:t>
        </w:r>
      </w:hyperlink>
      <w:r>
        <w:rPr>
          <w:color w:val="3953A4"/>
          <w:spacing w:val="-52"/>
          <w:sz w:val="22"/>
        </w:rPr>
        <w:t> </w:t>
      </w:r>
      <w:hyperlink r:id="rId111">
        <w:r>
          <w:rPr>
            <w:color w:val="3953A4"/>
            <w:sz w:val="22"/>
            <w:u w:val="single" w:color="3953A4"/>
          </w:rPr>
          <w:t>org/10.1097/QAI.0b013e31802f1318</w:t>
        </w:r>
      </w:hyperlink>
    </w:p>
    <w:p>
      <w:pPr>
        <w:pStyle w:val="BodyText"/>
        <w:tabs>
          <w:tab w:pos="519" w:val="left" w:leader="none"/>
        </w:tabs>
        <w:spacing w:line="228" w:lineRule="auto" w:before="90"/>
        <w:ind w:left="520" w:right="314" w:hanging="360"/>
      </w:pPr>
      <w:r>
        <w:rPr>
          <w:color w:val="231F20"/>
          <w:vertAlign w:val="superscript"/>
        </w:rPr>
        <w:t>75</w:t>
      </w:r>
      <w:r>
        <w:rPr>
          <w:color w:val="231F20"/>
          <w:vertAlign w:val="baseline"/>
        </w:rPr>
        <w:tab/>
        <w:t>Bemelmans, M., Baert, S., Negussie, E., Bygrave,</w:t>
      </w:r>
      <w:r>
        <w:rPr>
          <w:color w:val="231F20"/>
          <w:spacing w:val="-52"/>
          <w:vertAlign w:val="baseline"/>
        </w:rPr>
        <w:t> </w:t>
      </w:r>
      <w:r>
        <w:rPr>
          <w:color w:val="231F20"/>
          <w:spacing w:val="-1"/>
          <w:vertAlign w:val="baseline"/>
        </w:rPr>
        <w:t>H.,</w:t>
      </w:r>
      <w:r>
        <w:rPr>
          <w:color w:val="231F20"/>
          <w:spacing w:val="3"/>
          <w:vertAlign w:val="baseline"/>
        </w:rPr>
        <w:t> </w:t>
      </w:r>
      <w:r>
        <w:rPr>
          <w:color w:val="231F20"/>
          <w:spacing w:val="-1"/>
          <w:vertAlign w:val="baseline"/>
        </w:rPr>
        <w:t>Biot,</w:t>
      </w:r>
      <w:r>
        <w:rPr>
          <w:color w:val="231F20"/>
          <w:spacing w:val="4"/>
          <w:vertAlign w:val="baseline"/>
        </w:rPr>
        <w:t> </w:t>
      </w:r>
      <w:r>
        <w:rPr>
          <w:color w:val="231F20"/>
          <w:spacing w:val="-1"/>
          <w:vertAlign w:val="baseline"/>
        </w:rPr>
        <w:t>M.,</w:t>
      </w:r>
      <w:r>
        <w:rPr>
          <w:color w:val="231F20"/>
          <w:spacing w:val="3"/>
          <w:vertAlign w:val="baseline"/>
        </w:rPr>
        <w:t> </w:t>
      </w:r>
      <w:r>
        <w:rPr>
          <w:color w:val="231F20"/>
          <w:spacing w:val="-1"/>
          <w:vertAlign w:val="baseline"/>
        </w:rPr>
        <w:t>Jamet,</w:t>
      </w:r>
      <w:r>
        <w:rPr>
          <w:color w:val="231F20"/>
          <w:spacing w:val="4"/>
          <w:vertAlign w:val="baseline"/>
        </w:rPr>
        <w:t> </w:t>
      </w:r>
      <w:r>
        <w:rPr>
          <w:color w:val="231F20"/>
          <w:vertAlign w:val="baseline"/>
        </w:rPr>
        <w:t>C.,</w:t>
      </w:r>
      <w:r>
        <w:rPr>
          <w:color w:val="231F20"/>
          <w:spacing w:val="4"/>
          <w:vertAlign w:val="baseline"/>
        </w:rPr>
        <w:t> </w:t>
      </w:r>
      <w:r>
        <w:rPr>
          <w:color w:val="231F20"/>
          <w:vertAlign w:val="baseline"/>
        </w:rPr>
        <w:t>Ellman,</w:t>
      </w:r>
      <w:r>
        <w:rPr>
          <w:color w:val="231F20"/>
          <w:spacing w:val="-1"/>
          <w:vertAlign w:val="baseline"/>
        </w:rPr>
        <w:t> </w:t>
      </w:r>
      <w:r>
        <w:rPr>
          <w:color w:val="231F20"/>
          <w:vertAlign w:val="baseline"/>
        </w:rPr>
        <w:t>T.,</w:t>
      </w:r>
      <w:r>
        <w:rPr>
          <w:color w:val="231F20"/>
          <w:spacing w:val="4"/>
          <w:vertAlign w:val="baseline"/>
        </w:rPr>
        <w:t> </w:t>
      </w:r>
      <w:r>
        <w:rPr>
          <w:color w:val="231F20"/>
          <w:vertAlign w:val="baseline"/>
        </w:rPr>
        <w:t>Banda,</w:t>
      </w:r>
      <w:r>
        <w:rPr>
          <w:color w:val="231F20"/>
          <w:spacing w:val="-8"/>
          <w:vertAlign w:val="baseline"/>
        </w:rPr>
        <w:t> </w:t>
      </w:r>
      <w:r>
        <w:rPr>
          <w:color w:val="231F20"/>
          <w:vertAlign w:val="baseline"/>
        </w:rPr>
        <w:t>A.,</w:t>
      </w:r>
      <w:r>
        <w:rPr>
          <w:color w:val="231F20"/>
          <w:spacing w:val="1"/>
          <w:vertAlign w:val="baseline"/>
        </w:rPr>
        <w:t> </w:t>
      </w:r>
      <w:r>
        <w:rPr>
          <w:color w:val="231F20"/>
          <w:spacing w:val="-2"/>
          <w:vertAlign w:val="baseline"/>
        </w:rPr>
        <w:t>van den </w:t>
      </w:r>
      <w:r>
        <w:rPr>
          <w:color w:val="231F20"/>
          <w:spacing w:val="-1"/>
          <w:vertAlign w:val="baseline"/>
        </w:rPr>
        <w:t>Akker, T., &amp; Ford, N. (2016). Sustaining</w:t>
      </w:r>
      <w:r>
        <w:rPr>
          <w:color w:val="231F20"/>
          <w:vertAlign w:val="baseline"/>
        </w:rPr>
        <w:t> the</w:t>
      </w:r>
      <w:r>
        <w:rPr>
          <w:color w:val="231F20"/>
          <w:spacing w:val="-1"/>
          <w:vertAlign w:val="baseline"/>
        </w:rPr>
        <w:t> </w:t>
      </w:r>
      <w:r>
        <w:rPr>
          <w:color w:val="231F20"/>
          <w:vertAlign w:val="baseline"/>
        </w:rPr>
        <w:t>future of HIV</w:t>
      </w:r>
      <w:r>
        <w:rPr>
          <w:color w:val="231F20"/>
          <w:spacing w:val="-5"/>
          <w:vertAlign w:val="baseline"/>
        </w:rPr>
        <w:t> </w:t>
      </w:r>
      <w:r>
        <w:rPr>
          <w:color w:val="231F20"/>
          <w:vertAlign w:val="baseline"/>
        </w:rPr>
        <w:t>counselling to reach 90-90-</w:t>
      </w:r>
    </w:p>
    <w:p>
      <w:pPr>
        <w:spacing w:line="228" w:lineRule="auto" w:before="0"/>
        <w:ind w:left="520" w:right="463" w:firstLine="0"/>
        <w:jc w:val="left"/>
        <w:rPr>
          <w:sz w:val="22"/>
        </w:rPr>
      </w:pPr>
      <w:r>
        <w:rPr>
          <w:color w:val="231F20"/>
          <w:sz w:val="22"/>
        </w:rPr>
        <w:t>90: A regional country analysis. </w:t>
      </w:r>
      <w:r>
        <w:rPr>
          <w:i/>
          <w:color w:val="231F20"/>
          <w:sz w:val="22"/>
        </w:rPr>
        <w:t>Journal of the</w:t>
      </w:r>
      <w:r>
        <w:rPr>
          <w:i/>
          <w:color w:val="231F20"/>
          <w:spacing w:val="1"/>
          <w:sz w:val="22"/>
        </w:rPr>
        <w:t> </w:t>
      </w:r>
      <w:r>
        <w:rPr>
          <w:i/>
          <w:color w:val="231F20"/>
          <w:sz w:val="22"/>
        </w:rPr>
        <w:t>International</w:t>
      </w:r>
      <w:r>
        <w:rPr>
          <w:i/>
          <w:color w:val="231F20"/>
          <w:spacing w:val="-10"/>
          <w:sz w:val="22"/>
        </w:rPr>
        <w:t> </w:t>
      </w:r>
      <w:r>
        <w:rPr>
          <w:i/>
          <w:color w:val="231F20"/>
          <w:sz w:val="22"/>
        </w:rPr>
        <w:t>AIDS</w:t>
      </w:r>
      <w:r>
        <w:rPr>
          <w:i/>
          <w:color w:val="231F20"/>
          <w:spacing w:val="-6"/>
          <w:sz w:val="22"/>
        </w:rPr>
        <w:t> </w:t>
      </w:r>
      <w:r>
        <w:rPr>
          <w:i/>
          <w:color w:val="231F20"/>
          <w:sz w:val="22"/>
        </w:rPr>
        <w:t>Society,</w:t>
      </w:r>
      <w:r>
        <w:rPr>
          <w:i/>
          <w:color w:val="231F20"/>
          <w:spacing w:val="-5"/>
          <w:sz w:val="22"/>
        </w:rPr>
        <w:t> </w:t>
      </w:r>
      <w:r>
        <w:rPr>
          <w:i/>
          <w:color w:val="231F20"/>
          <w:sz w:val="22"/>
        </w:rPr>
        <w:t>19</w:t>
      </w:r>
      <w:r>
        <w:rPr>
          <w:color w:val="231F20"/>
          <w:sz w:val="22"/>
        </w:rPr>
        <w:t>(1),</w:t>
      </w:r>
      <w:r>
        <w:rPr>
          <w:color w:val="231F20"/>
          <w:spacing w:val="-6"/>
          <w:sz w:val="22"/>
        </w:rPr>
        <w:t> </w:t>
      </w:r>
      <w:r>
        <w:rPr>
          <w:color w:val="231F20"/>
          <w:sz w:val="22"/>
        </w:rPr>
        <w:t>20751.</w:t>
      </w:r>
      <w:r>
        <w:rPr>
          <w:color w:val="231F20"/>
          <w:spacing w:val="-5"/>
          <w:sz w:val="22"/>
        </w:rPr>
        <w:t> </w:t>
      </w:r>
      <w:hyperlink r:id="rId112">
        <w:r>
          <w:rPr>
            <w:color w:val="3953A4"/>
            <w:sz w:val="22"/>
            <w:u w:val="single" w:color="3953A4"/>
          </w:rPr>
          <w:t>http://</w:t>
        </w:r>
      </w:hyperlink>
      <w:r>
        <w:rPr>
          <w:color w:val="3953A4"/>
          <w:spacing w:val="-52"/>
          <w:sz w:val="22"/>
        </w:rPr>
        <w:t> </w:t>
      </w:r>
      <w:hyperlink r:id="rId112">
        <w:r>
          <w:rPr>
            <w:color w:val="3953A4"/>
            <w:sz w:val="22"/>
            <w:u w:val="single" w:color="3953A4"/>
          </w:rPr>
          <w:t>dx.doi.org/10.7448/IAS.19.1.20751</w:t>
        </w:r>
      </w:hyperlink>
    </w:p>
    <w:p>
      <w:pPr>
        <w:tabs>
          <w:tab w:pos="519" w:val="left" w:leader="none"/>
        </w:tabs>
        <w:spacing w:line="228" w:lineRule="auto" w:before="87"/>
        <w:ind w:left="520" w:right="387" w:hanging="360"/>
        <w:jc w:val="left"/>
        <w:rPr>
          <w:sz w:val="22"/>
        </w:rPr>
      </w:pPr>
      <w:r>
        <w:rPr>
          <w:color w:val="231F20"/>
          <w:sz w:val="22"/>
          <w:vertAlign w:val="superscript"/>
        </w:rPr>
        <w:t>76</w:t>
      </w:r>
      <w:r>
        <w:rPr>
          <w:color w:val="231F20"/>
          <w:sz w:val="22"/>
          <w:vertAlign w:val="baseline"/>
        </w:rPr>
        <w:tab/>
      </w:r>
      <w:r>
        <w:rPr>
          <w:color w:val="231F20"/>
          <w:spacing w:val="-2"/>
          <w:sz w:val="22"/>
          <w:vertAlign w:val="baseline"/>
        </w:rPr>
        <w:t>Gonzalez, </w:t>
      </w:r>
      <w:r>
        <w:rPr>
          <w:color w:val="231F20"/>
          <w:spacing w:val="-1"/>
          <w:sz w:val="22"/>
          <w:vertAlign w:val="baseline"/>
        </w:rPr>
        <w:t>J. S., Batchelder, A. W., Psaros, C., &amp;</w:t>
      </w:r>
      <w:r>
        <w:rPr>
          <w:color w:val="231F20"/>
          <w:sz w:val="22"/>
          <w:vertAlign w:val="baseline"/>
        </w:rPr>
        <w:t> </w:t>
      </w:r>
      <w:r>
        <w:rPr>
          <w:color w:val="231F20"/>
          <w:spacing w:val="-1"/>
          <w:sz w:val="22"/>
          <w:vertAlign w:val="baseline"/>
        </w:rPr>
        <w:t>Safren, S. A. (2011). Depression and HIV/AIDS</w:t>
      </w:r>
      <w:r>
        <w:rPr>
          <w:color w:val="231F20"/>
          <w:sz w:val="22"/>
          <w:vertAlign w:val="baseline"/>
        </w:rPr>
        <w:t> treatment nonadherence: A review and meta-</w:t>
      </w:r>
      <w:r>
        <w:rPr>
          <w:color w:val="231F20"/>
          <w:spacing w:val="1"/>
          <w:sz w:val="22"/>
          <w:vertAlign w:val="baseline"/>
        </w:rPr>
        <w:t> </w:t>
      </w:r>
      <w:r>
        <w:rPr>
          <w:color w:val="231F20"/>
          <w:sz w:val="22"/>
          <w:vertAlign w:val="baseline"/>
        </w:rPr>
        <w:t>analysis.</w:t>
      </w:r>
      <w:r>
        <w:rPr>
          <w:color w:val="231F20"/>
          <w:spacing w:val="-7"/>
          <w:sz w:val="22"/>
          <w:vertAlign w:val="baseline"/>
        </w:rPr>
        <w:t> </w:t>
      </w:r>
      <w:r>
        <w:rPr>
          <w:i/>
          <w:color w:val="231F20"/>
          <w:sz w:val="22"/>
          <w:vertAlign w:val="baseline"/>
        </w:rPr>
        <w:t>Journal</w:t>
      </w:r>
      <w:r>
        <w:rPr>
          <w:i/>
          <w:color w:val="231F20"/>
          <w:spacing w:val="-6"/>
          <w:sz w:val="22"/>
          <w:vertAlign w:val="baseline"/>
        </w:rPr>
        <w:t> </w:t>
      </w:r>
      <w:r>
        <w:rPr>
          <w:i/>
          <w:color w:val="231F20"/>
          <w:sz w:val="22"/>
          <w:vertAlign w:val="baseline"/>
        </w:rPr>
        <w:t>of</w:t>
      </w:r>
      <w:r>
        <w:rPr>
          <w:i/>
          <w:color w:val="231F20"/>
          <w:spacing w:val="-10"/>
          <w:sz w:val="22"/>
          <w:vertAlign w:val="baseline"/>
        </w:rPr>
        <w:t> </w:t>
      </w:r>
      <w:r>
        <w:rPr>
          <w:i/>
          <w:color w:val="231F20"/>
          <w:sz w:val="22"/>
          <w:vertAlign w:val="baseline"/>
        </w:rPr>
        <w:t>Acquired</w:t>
      </w:r>
      <w:r>
        <w:rPr>
          <w:i/>
          <w:color w:val="231F20"/>
          <w:spacing w:val="-6"/>
          <w:sz w:val="22"/>
          <w:vertAlign w:val="baseline"/>
        </w:rPr>
        <w:t> </w:t>
      </w:r>
      <w:r>
        <w:rPr>
          <w:i/>
          <w:color w:val="231F20"/>
          <w:sz w:val="22"/>
          <w:vertAlign w:val="baseline"/>
        </w:rPr>
        <w:t>Immune</w:t>
      </w:r>
      <w:r>
        <w:rPr>
          <w:i/>
          <w:color w:val="231F20"/>
          <w:spacing w:val="-6"/>
          <w:sz w:val="22"/>
          <w:vertAlign w:val="baseline"/>
        </w:rPr>
        <w:t> </w:t>
      </w:r>
      <w:r>
        <w:rPr>
          <w:i/>
          <w:color w:val="231F20"/>
          <w:sz w:val="22"/>
          <w:vertAlign w:val="baseline"/>
        </w:rPr>
        <w:t>Deficiency</w:t>
      </w:r>
      <w:r>
        <w:rPr>
          <w:i/>
          <w:color w:val="231F20"/>
          <w:spacing w:val="-52"/>
          <w:sz w:val="22"/>
          <w:vertAlign w:val="baseline"/>
        </w:rPr>
        <w:t> </w:t>
      </w:r>
      <w:r>
        <w:rPr>
          <w:i/>
          <w:color w:val="231F20"/>
          <w:sz w:val="22"/>
          <w:vertAlign w:val="baseline"/>
        </w:rPr>
        <w:t>Syndromes (JAIDS), 58</w:t>
      </w:r>
      <w:r>
        <w:rPr>
          <w:color w:val="231F20"/>
          <w:sz w:val="22"/>
          <w:vertAlign w:val="baseline"/>
        </w:rPr>
        <w:t>(2), 181-187. </w:t>
      </w:r>
      <w:hyperlink r:id="rId113">
        <w:r>
          <w:rPr>
            <w:color w:val="3953A4"/>
            <w:sz w:val="22"/>
            <w:u w:val="single" w:color="3953A4"/>
            <w:vertAlign w:val="baseline"/>
          </w:rPr>
          <w:t>https://doi.</w:t>
        </w:r>
      </w:hyperlink>
      <w:r>
        <w:rPr>
          <w:color w:val="3953A4"/>
          <w:spacing w:val="1"/>
          <w:sz w:val="22"/>
          <w:vertAlign w:val="baseline"/>
        </w:rPr>
        <w:t> </w:t>
      </w:r>
      <w:hyperlink r:id="rId113">
        <w:r>
          <w:rPr>
            <w:color w:val="3953A4"/>
            <w:sz w:val="22"/>
            <w:u w:val="single" w:color="3953A4"/>
            <w:vertAlign w:val="baseline"/>
          </w:rPr>
          <w:t>org/10.1097/QAI.0b013e31822d490a</w:t>
        </w:r>
      </w:hyperlink>
    </w:p>
    <w:p>
      <w:pPr>
        <w:pStyle w:val="BodyText"/>
        <w:tabs>
          <w:tab w:pos="519" w:val="left" w:leader="none"/>
        </w:tabs>
        <w:spacing w:line="228" w:lineRule="auto" w:before="88"/>
        <w:ind w:left="520" w:right="101" w:hanging="360"/>
      </w:pPr>
      <w:r>
        <w:rPr>
          <w:color w:val="231F20"/>
          <w:vertAlign w:val="superscript"/>
        </w:rPr>
        <w:t>77</w:t>
      </w:r>
      <w:r>
        <w:rPr>
          <w:color w:val="231F20"/>
          <w:vertAlign w:val="baseline"/>
        </w:rPr>
        <w:tab/>
      </w:r>
      <w:r>
        <w:rPr>
          <w:color w:val="231F20"/>
          <w:spacing w:val="-2"/>
          <w:vertAlign w:val="baseline"/>
        </w:rPr>
        <w:t>Krumme, </w:t>
      </w:r>
      <w:r>
        <w:rPr>
          <w:color w:val="231F20"/>
          <w:spacing w:val="-1"/>
          <w:vertAlign w:val="baseline"/>
        </w:rPr>
        <w:t>A. A., Kaigamba, F., Binagwaho, A.,</w:t>
      </w:r>
      <w:r>
        <w:rPr>
          <w:color w:val="231F20"/>
          <w:vertAlign w:val="baseline"/>
        </w:rPr>
        <w:t> Murray,</w:t>
      </w:r>
      <w:r>
        <w:rPr>
          <w:color w:val="231F20"/>
          <w:spacing w:val="-5"/>
          <w:vertAlign w:val="baseline"/>
        </w:rPr>
        <w:t> </w:t>
      </w:r>
      <w:r>
        <w:rPr>
          <w:color w:val="231F20"/>
          <w:vertAlign w:val="baseline"/>
        </w:rPr>
        <w:t>M.</w:t>
      </w:r>
      <w:r>
        <w:rPr>
          <w:color w:val="231F20"/>
          <w:spacing w:val="-6"/>
          <w:vertAlign w:val="baseline"/>
        </w:rPr>
        <w:t> </w:t>
      </w:r>
      <w:r>
        <w:rPr>
          <w:color w:val="231F20"/>
          <w:vertAlign w:val="baseline"/>
        </w:rPr>
        <w:t>B.,</w:t>
      </w:r>
      <w:r>
        <w:rPr>
          <w:color w:val="231F20"/>
          <w:spacing w:val="-4"/>
          <w:vertAlign w:val="baseline"/>
        </w:rPr>
        <w:t> </w:t>
      </w:r>
      <w:r>
        <w:rPr>
          <w:color w:val="231F20"/>
          <w:vertAlign w:val="baseline"/>
        </w:rPr>
        <w:t>Rich,</w:t>
      </w:r>
      <w:r>
        <w:rPr>
          <w:color w:val="231F20"/>
          <w:spacing w:val="-5"/>
          <w:vertAlign w:val="baseline"/>
        </w:rPr>
        <w:t> </w:t>
      </w:r>
      <w:r>
        <w:rPr>
          <w:color w:val="231F20"/>
          <w:vertAlign w:val="baseline"/>
        </w:rPr>
        <w:t>M.</w:t>
      </w:r>
      <w:r>
        <w:rPr>
          <w:color w:val="231F20"/>
          <w:spacing w:val="-5"/>
          <w:vertAlign w:val="baseline"/>
        </w:rPr>
        <w:t> </w:t>
      </w:r>
      <w:r>
        <w:rPr>
          <w:color w:val="231F20"/>
          <w:vertAlign w:val="baseline"/>
        </w:rPr>
        <w:t>L.,</w:t>
      </w:r>
      <w:r>
        <w:rPr>
          <w:color w:val="231F20"/>
          <w:spacing w:val="-5"/>
          <w:vertAlign w:val="baseline"/>
        </w:rPr>
        <w:t> </w:t>
      </w:r>
      <w:r>
        <w:rPr>
          <w:color w:val="231F20"/>
          <w:vertAlign w:val="baseline"/>
        </w:rPr>
        <w:t>&amp;</w:t>
      </w:r>
      <w:r>
        <w:rPr>
          <w:color w:val="231F20"/>
          <w:spacing w:val="-4"/>
          <w:vertAlign w:val="baseline"/>
        </w:rPr>
        <w:t> </w:t>
      </w:r>
      <w:r>
        <w:rPr>
          <w:color w:val="231F20"/>
          <w:vertAlign w:val="baseline"/>
        </w:rPr>
        <w:t>Franke,</w:t>
      </w:r>
      <w:r>
        <w:rPr>
          <w:color w:val="231F20"/>
          <w:spacing w:val="-6"/>
          <w:vertAlign w:val="baseline"/>
        </w:rPr>
        <w:t> </w:t>
      </w:r>
      <w:r>
        <w:rPr>
          <w:color w:val="231F20"/>
          <w:vertAlign w:val="baseline"/>
        </w:rPr>
        <w:t>M.</w:t>
      </w:r>
      <w:r>
        <w:rPr>
          <w:color w:val="231F20"/>
          <w:spacing w:val="-5"/>
          <w:vertAlign w:val="baseline"/>
        </w:rPr>
        <w:t> </w:t>
      </w:r>
      <w:r>
        <w:rPr>
          <w:color w:val="231F20"/>
          <w:vertAlign w:val="baseline"/>
        </w:rPr>
        <w:t>F.</w:t>
      </w:r>
      <w:r>
        <w:rPr>
          <w:color w:val="231F20"/>
          <w:spacing w:val="-5"/>
          <w:vertAlign w:val="baseline"/>
        </w:rPr>
        <w:t> </w:t>
      </w:r>
      <w:r>
        <w:rPr>
          <w:color w:val="231F20"/>
          <w:vertAlign w:val="baseline"/>
        </w:rPr>
        <w:t>(2015).</w:t>
      </w:r>
      <w:r>
        <w:rPr>
          <w:color w:val="231F20"/>
          <w:spacing w:val="-52"/>
          <w:vertAlign w:val="baseline"/>
        </w:rPr>
        <w:t> </w:t>
      </w:r>
      <w:r>
        <w:rPr>
          <w:color w:val="231F20"/>
          <w:vertAlign w:val="baseline"/>
        </w:rPr>
        <w:t>Depression, adherence and attrition from care in</w:t>
      </w:r>
      <w:r>
        <w:rPr>
          <w:color w:val="231F20"/>
          <w:spacing w:val="1"/>
          <w:vertAlign w:val="baseline"/>
        </w:rPr>
        <w:t> </w:t>
      </w:r>
      <w:r>
        <w:rPr>
          <w:color w:val="231F20"/>
          <w:vertAlign w:val="baseline"/>
        </w:rPr>
        <w:t>HIV-infected adults receiving antiretroviral therapy.</w:t>
      </w:r>
      <w:r>
        <w:rPr>
          <w:color w:val="231F20"/>
          <w:spacing w:val="-52"/>
          <w:vertAlign w:val="baseline"/>
        </w:rPr>
        <w:t> </w:t>
      </w:r>
      <w:r>
        <w:rPr>
          <w:i/>
          <w:color w:val="231F20"/>
          <w:vertAlign w:val="baseline"/>
        </w:rPr>
        <w:t>Journal of Epidemiology &amp; Community Health,</w:t>
      </w:r>
      <w:r>
        <w:rPr>
          <w:i/>
          <w:color w:val="231F20"/>
          <w:spacing w:val="1"/>
          <w:vertAlign w:val="baseline"/>
        </w:rPr>
        <w:t> </w:t>
      </w:r>
      <w:r>
        <w:rPr>
          <w:i/>
          <w:color w:val="231F20"/>
          <w:vertAlign w:val="baseline"/>
        </w:rPr>
        <w:t>69</w:t>
      </w:r>
      <w:r>
        <w:rPr>
          <w:color w:val="231F20"/>
          <w:vertAlign w:val="baseline"/>
        </w:rPr>
        <w:t>(3), 284-289. </w:t>
      </w:r>
      <w:hyperlink r:id="rId114">
        <w:r>
          <w:rPr>
            <w:color w:val="3953A4"/>
            <w:u w:val="single" w:color="3953A4"/>
            <w:vertAlign w:val="baseline"/>
          </w:rPr>
          <w:t>https://doi.org/10.1136/jech-2014-</w:t>
        </w:r>
      </w:hyperlink>
      <w:r>
        <w:rPr>
          <w:color w:val="3953A4"/>
          <w:spacing w:val="1"/>
          <w:vertAlign w:val="baseline"/>
        </w:rPr>
        <w:t> </w:t>
      </w:r>
      <w:hyperlink r:id="rId114">
        <w:r>
          <w:rPr>
            <w:color w:val="3953A4"/>
            <w:u w:val="single" w:color="3953A4"/>
            <w:vertAlign w:val="baseline"/>
          </w:rPr>
          <w:t>204494</w:t>
        </w:r>
      </w:hyperlink>
    </w:p>
    <w:p>
      <w:pPr>
        <w:pStyle w:val="BodyText"/>
        <w:tabs>
          <w:tab w:pos="519" w:val="left" w:leader="none"/>
        </w:tabs>
        <w:spacing w:line="228" w:lineRule="auto" w:before="88"/>
        <w:ind w:left="520" w:right="305" w:hanging="360"/>
      </w:pPr>
      <w:r>
        <w:rPr>
          <w:color w:val="231F20"/>
          <w:vertAlign w:val="superscript"/>
        </w:rPr>
        <w:t>78</w:t>
      </w:r>
      <w:r>
        <w:rPr>
          <w:color w:val="231F20"/>
          <w:vertAlign w:val="baseline"/>
        </w:rPr>
        <w:tab/>
      </w:r>
      <w:r>
        <w:rPr>
          <w:color w:val="231F20"/>
          <w:spacing w:val="-2"/>
          <w:vertAlign w:val="baseline"/>
        </w:rPr>
        <w:t>Uthman, </w:t>
      </w:r>
      <w:r>
        <w:rPr>
          <w:color w:val="231F20"/>
          <w:spacing w:val="-1"/>
          <w:vertAlign w:val="baseline"/>
        </w:rPr>
        <w:t>O. A., Magidson, J. F., Safren, S. A., &amp;</w:t>
      </w:r>
      <w:r>
        <w:rPr>
          <w:color w:val="231F20"/>
          <w:vertAlign w:val="baseline"/>
        </w:rPr>
        <w:t> Nachega, J. B. (2014). Depression and adherence</w:t>
      </w:r>
      <w:r>
        <w:rPr>
          <w:color w:val="231F20"/>
          <w:spacing w:val="1"/>
          <w:vertAlign w:val="baseline"/>
        </w:rPr>
        <w:t> </w:t>
      </w:r>
      <w:r>
        <w:rPr>
          <w:color w:val="231F20"/>
          <w:vertAlign w:val="baseline"/>
        </w:rPr>
        <w:t>to antiretroviral therapy in low-, middle-and high-</w:t>
      </w:r>
      <w:r>
        <w:rPr>
          <w:color w:val="231F20"/>
          <w:spacing w:val="-52"/>
          <w:vertAlign w:val="baseline"/>
        </w:rPr>
        <w:t> </w:t>
      </w:r>
      <w:r>
        <w:rPr>
          <w:color w:val="231F20"/>
          <w:spacing w:val="-1"/>
          <w:vertAlign w:val="baseline"/>
        </w:rPr>
        <w:t>income </w:t>
      </w:r>
      <w:r>
        <w:rPr>
          <w:color w:val="231F20"/>
          <w:vertAlign w:val="baseline"/>
        </w:rPr>
        <w:t>countries:</w:t>
      </w:r>
      <w:r>
        <w:rPr>
          <w:color w:val="231F20"/>
          <w:spacing w:val="-13"/>
          <w:vertAlign w:val="baseline"/>
        </w:rPr>
        <w:t> </w:t>
      </w:r>
      <w:r>
        <w:rPr>
          <w:color w:val="231F20"/>
          <w:vertAlign w:val="baseline"/>
        </w:rPr>
        <w:t>A</w:t>
      </w:r>
      <w:r>
        <w:rPr>
          <w:color w:val="231F20"/>
          <w:spacing w:val="-14"/>
          <w:vertAlign w:val="baseline"/>
        </w:rPr>
        <w:t> </w:t>
      </w:r>
      <w:r>
        <w:rPr>
          <w:color w:val="231F20"/>
          <w:vertAlign w:val="baseline"/>
        </w:rPr>
        <w:t>systematic</w:t>
      </w:r>
      <w:r>
        <w:rPr>
          <w:color w:val="231F20"/>
          <w:spacing w:val="-1"/>
          <w:vertAlign w:val="baseline"/>
        </w:rPr>
        <w:t> </w:t>
      </w:r>
      <w:r>
        <w:rPr>
          <w:color w:val="231F20"/>
          <w:vertAlign w:val="baseline"/>
        </w:rPr>
        <w:t>review and</w:t>
      </w:r>
      <w:r>
        <w:rPr>
          <w:color w:val="231F20"/>
          <w:spacing w:val="-1"/>
          <w:vertAlign w:val="baseline"/>
        </w:rPr>
        <w:t> </w:t>
      </w:r>
      <w:r>
        <w:rPr>
          <w:color w:val="231F20"/>
          <w:vertAlign w:val="baseline"/>
        </w:rPr>
        <w:t>meta-</w:t>
      </w:r>
    </w:p>
    <w:p>
      <w:pPr>
        <w:spacing w:line="228" w:lineRule="auto" w:before="0"/>
        <w:ind w:left="520" w:right="38" w:firstLine="0"/>
        <w:jc w:val="left"/>
        <w:rPr>
          <w:sz w:val="22"/>
        </w:rPr>
      </w:pPr>
      <w:r>
        <w:rPr>
          <w:color w:val="231F20"/>
          <w:sz w:val="22"/>
        </w:rPr>
        <w:t>analysis.</w:t>
      </w:r>
      <w:r>
        <w:rPr>
          <w:color w:val="231F20"/>
          <w:spacing w:val="-7"/>
          <w:sz w:val="22"/>
        </w:rPr>
        <w:t> </w:t>
      </w:r>
      <w:r>
        <w:rPr>
          <w:i/>
          <w:color w:val="231F20"/>
          <w:sz w:val="22"/>
        </w:rPr>
        <w:t>Current</w:t>
      </w:r>
      <w:r>
        <w:rPr>
          <w:i/>
          <w:color w:val="231F20"/>
          <w:spacing w:val="-6"/>
          <w:sz w:val="22"/>
        </w:rPr>
        <w:t> </w:t>
      </w:r>
      <w:r>
        <w:rPr>
          <w:i/>
          <w:color w:val="231F20"/>
          <w:sz w:val="22"/>
        </w:rPr>
        <w:t>HIV/AIDS</w:t>
      </w:r>
      <w:r>
        <w:rPr>
          <w:i/>
          <w:color w:val="231F20"/>
          <w:spacing w:val="-7"/>
          <w:sz w:val="22"/>
        </w:rPr>
        <w:t> </w:t>
      </w:r>
      <w:r>
        <w:rPr>
          <w:i/>
          <w:color w:val="231F20"/>
          <w:sz w:val="22"/>
        </w:rPr>
        <w:t>Reports,</w:t>
      </w:r>
      <w:r>
        <w:rPr>
          <w:i/>
          <w:color w:val="231F20"/>
          <w:spacing w:val="-7"/>
          <w:sz w:val="22"/>
        </w:rPr>
        <w:t> </w:t>
      </w:r>
      <w:r>
        <w:rPr>
          <w:i/>
          <w:color w:val="231F20"/>
          <w:sz w:val="22"/>
        </w:rPr>
        <w:t>11</w:t>
      </w:r>
      <w:r>
        <w:rPr>
          <w:color w:val="231F20"/>
          <w:sz w:val="22"/>
        </w:rPr>
        <w:t>(3),</w:t>
      </w:r>
      <w:r>
        <w:rPr>
          <w:color w:val="231F20"/>
          <w:spacing w:val="-6"/>
          <w:sz w:val="22"/>
        </w:rPr>
        <w:t> </w:t>
      </w:r>
      <w:r>
        <w:rPr>
          <w:color w:val="231F20"/>
          <w:sz w:val="22"/>
        </w:rPr>
        <w:t>291-307.</w:t>
      </w:r>
      <w:r>
        <w:rPr>
          <w:color w:val="231F20"/>
          <w:spacing w:val="-52"/>
          <w:sz w:val="22"/>
        </w:rPr>
        <w:t> </w:t>
      </w:r>
      <w:hyperlink r:id="rId115">
        <w:r>
          <w:rPr>
            <w:color w:val="3953A4"/>
            <w:sz w:val="22"/>
            <w:u w:val="single" w:color="3953A4"/>
          </w:rPr>
          <w:t>https://doi.org/10.1007/s11904-014-0220-1</w:t>
        </w:r>
      </w:hyperlink>
    </w:p>
    <w:p>
      <w:pPr>
        <w:pStyle w:val="BodyText"/>
        <w:tabs>
          <w:tab w:pos="519" w:val="left" w:leader="none"/>
        </w:tabs>
        <w:spacing w:line="228" w:lineRule="auto" w:before="88"/>
        <w:ind w:left="520" w:right="265" w:hanging="360"/>
      </w:pPr>
      <w:r>
        <w:rPr>
          <w:color w:val="231F20"/>
          <w:vertAlign w:val="superscript"/>
        </w:rPr>
        <w:t>79</w:t>
      </w:r>
      <w:r>
        <w:rPr>
          <w:color w:val="231F20"/>
          <w:vertAlign w:val="baseline"/>
        </w:rPr>
        <w:tab/>
        <w:t>Hartzler, B., Dombrowski, J. C., Crane, H. M.,</w:t>
      </w:r>
      <w:r>
        <w:rPr>
          <w:color w:val="231F20"/>
          <w:spacing w:val="1"/>
          <w:vertAlign w:val="baseline"/>
        </w:rPr>
        <w:t> </w:t>
      </w:r>
      <w:r>
        <w:rPr>
          <w:color w:val="231F20"/>
          <w:spacing w:val="-2"/>
          <w:vertAlign w:val="baseline"/>
        </w:rPr>
        <w:t>Eron,</w:t>
      </w:r>
      <w:r>
        <w:rPr>
          <w:color w:val="231F20"/>
          <w:spacing w:val="-10"/>
          <w:vertAlign w:val="baseline"/>
        </w:rPr>
        <w:t> </w:t>
      </w:r>
      <w:r>
        <w:rPr>
          <w:color w:val="231F20"/>
          <w:spacing w:val="-2"/>
          <w:vertAlign w:val="baseline"/>
        </w:rPr>
        <w:t>J.</w:t>
      </w:r>
      <w:r>
        <w:rPr>
          <w:color w:val="231F20"/>
          <w:spacing w:val="-10"/>
          <w:vertAlign w:val="baseline"/>
        </w:rPr>
        <w:t> </w:t>
      </w:r>
      <w:r>
        <w:rPr>
          <w:color w:val="231F20"/>
          <w:spacing w:val="-2"/>
          <w:vertAlign w:val="baseline"/>
        </w:rPr>
        <w:t>J.,</w:t>
      </w:r>
      <w:r>
        <w:rPr>
          <w:color w:val="231F20"/>
          <w:spacing w:val="-10"/>
          <w:vertAlign w:val="baseline"/>
        </w:rPr>
        <w:t> </w:t>
      </w:r>
      <w:r>
        <w:rPr>
          <w:color w:val="231F20"/>
          <w:spacing w:val="-2"/>
          <w:vertAlign w:val="baseline"/>
        </w:rPr>
        <w:t>Geng,</w:t>
      </w:r>
      <w:r>
        <w:rPr>
          <w:color w:val="231F20"/>
          <w:spacing w:val="-10"/>
          <w:vertAlign w:val="baseline"/>
        </w:rPr>
        <w:t> </w:t>
      </w:r>
      <w:r>
        <w:rPr>
          <w:color w:val="231F20"/>
          <w:spacing w:val="-2"/>
          <w:vertAlign w:val="baseline"/>
        </w:rPr>
        <w:t>E.</w:t>
      </w:r>
      <w:r>
        <w:rPr>
          <w:color w:val="231F20"/>
          <w:spacing w:val="-9"/>
          <w:vertAlign w:val="baseline"/>
        </w:rPr>
        <w:t> </w:t>
      </w:r>
      <w:r>
        <w:rPr>
          <w:color w:val="231F20"/>
          <w:spacing w:val="-2"/>
          <w:vertAlign w:val="baseline"/>
        </w:rPr>
        <w:t>H.,</w:t>
      </w:r>
      <w:r>
        <w:rPr>
          <w:color w:val="231F20"/>
          <w:spacing w:val="-10"/>
          <w:vertAlign w:val="baseline"/>
        </w:rPr>
        <w:t> </w:t>
      </w:r>
      <w:r>
        <w:rPr>
          <w:color w:val="231F20"/>
          <w:spacing w:val="-1"/>
          <w:vertAlign w:val="baseline"/>
        </w:rPr>
        <w:t>Mathews,</w:t>
      </w:r>
      <w:r>
        <w:rPr>
          <w:color w:val="231F20"/>
          <w:spacing w:val="-12"/>
          <w:vertAlign w:val="baseline"/>
        </w:rPr>
        <w:t> </w:t>
      </w:r>
      <w:r>
        <w:rPr>
          <w:color w:val="231F20"/>
          <w:spacing w:val="-1"/>
          <w:vertAlign w:val="baseline"/>
        </w:rPr>
        <w:t>W.</w:t>
      </w:r>
      <w:r>
        <w:rPr>
          <w:color w:val="231F20"/>
          <w:spacing w:val="-9"/>
          <w:vertAlign w:val="baseline"/>
        </w:rPr>
        <w:t> </w:t>
      </w:r>
      <w:r>
        <w:rPr>
          <w:color w:val="231F20"/>
          <w:spacing w:val="-1"/>
          <w:vertAlign w:val="baseline"/>
        </w:rPr>
        <w:t>C.,</w:t>
      </w:r>
      <w:r>
        <w:rPr>
          <w:color w:val="231F20"/>
          <w:spacing w:val="-9"/>
          <w:vertAlign w:val="baseline"/>
        </w:rPr>
        <w:t> </w:t>
      </w:r>
      <w:r>
        <w:rPr>
          <w:color w:val="231F20"/>
          <w:spacing w:val="-1"/>
          <w:vertAlign w:val="baseline"/>
        </w:rPr>
        <w:t>Mayer,</w:t>
      </w:r>
      <w:r>
        <w:rPr>
          <w:color w:val="231F20"/>
          <w:spacing w:val="-9"/>
          <w:vertAlign w:val="baseline"/>
        </w:rPr>
        <w:t> </w:t>
      </w:r>
      <w:r>
        <w:rPr>
          <w:color w:val="231F20"/>
          <w:spacing w:val="-1"/>
          <w:vertAlign w:val="baseline"/>
        </w:rPr>
        <w:t>K.</w:t>
      </w:r>
      <w:r>
        <w:rPr>
          <w:color w:val="231F20"/>
          <w:spacing w:val="-52"/>
          <w:vertAlign w:val="baseline"/>
        </w:rPr>
        <w:t> </w:t>
      </w:r>
      <w:r>
        <w:rPr>
          <w:color w:val="231F20"/>
          <w:spacing w:val="-1"/>
          <w:vertAlign w:val="baseline"/>
        </w:rPr>
        <w:t>H.,</w:t>
      </w:r>
      <w:r>
        <w:rPr>
          <w:color w:val="231F20"/>
          <w:spacing w:val="-13"/>
          <w:vertAlign w:val="baseline"/>
        </w:rPr>
        <w:t> </w:t>
      </w:r>
      <w:r>
        <w:rPr>
          <w:color w:val="231F20"/>
          <w:spacing w:val="-1"/>
          <w:vertAlign w:val="baseline"/>
        </w:rPr>
        <w:t>Moore,</w:t>
      </w:r>
      <w:r>
        <w:rPr>
          <w:color w:val="231F20"/>
          <w:spacing w:val="-13"/>
          <w:vertAlign w:val="baseline"/>
        </w:rPr>
        <w:t> </w:t>
      </w:r>
      <w:r>
        <w:rPr>
          <w:color w:val="231F20"/>
          <w:spacing w:val="-1"/>
          <w:vertAlign w:val="baseline"/>
        </w:rPr>
        <w:t>R.</w:t>
      </w:r>
      <w:r>
        <w:rPr>
          <w:color w:val="231F20"/>
          <w:spacing w:val="-12"/>
          <w:vertAlign w:val="baseline"/>
        </w:rPr>
        <w:t> </w:t>
      </w:r>
      <w:r>
        <w:rPr>
          <w:color w:val="231F20"/>
          <w:spacing w:val="-1"/>
          <w:vertAlign w:val="baseline"/>
        </w:rPr>
        <w:t>D.,</w:t>
      </w:r>
      <w:r>
        <w:rPr>
          <w:color w:val="231F20"/>
          <w:spacing w:val="-12"/>
          <w:vertAlign w:val="baseline"/>
        </w:rPr>
        <w:t> </w:t>
      </w:r>
      <w:r>
        <w:rPr>
          <w:color w:val="231F20"/>
          <w:vertAlign w:val="baseline"/>
        </w:rPr>
        <w:t>Mugavero,</w:t>
      </w:r>
      <w:r>
        <w:rPr>
          <w:color w:val="231F20"/>
          <w:spacing w:val="-13"/>
          <w:vertAlign w:val="baseline"/>
        </w:rPr>
        <w:t> </w:t>
      </w:r>
      <w:r>
        <w:rPr>
          <w:color w:val="231F20"/>
          <w:vertAlign w:val="baseline"/>
        </w:rPr>
        <w:t>M.</w:t>
      </w:r>
      <w:r>
        <w:rPr>
          <w:color w:val="231F20"/>
          <w:spacing w:val="-13"/>
          <w:vertAlign w:val="baseline"/>
        </w:rPr>
        <w:t> </w:t>
      </w:r>
      <w:r>
        <w:rPr>
          <w:color w:val="231F20"/>
          <w:vertAlign w:val="baseline"/>
        </w:rPr>
        <w:t>J.,</w:t>
      </w:r>
      <w:r>
        <w:rPr>
          <w:color w:val="231F20"/>
          <w:spacing w:val="-12"/>
          <w:vertAlign w:val="baseline"/>
        </w:rPr>
        <w:t> </w:t>
      </w:r>
      <w:r>
        <w:rPr>
          <w:color w:val="231F20"/>
          <w:vertAlign w:val="baseline"/>
        </w:rPr>
        <w:t>Napravnik,</w:t>
      </w:r>
      <w:r>
        <w:rPr>
          <w:color w:val="231F20"/>
          <w:spacing w:val="-13"/>
          <w:vertAlign w:val="baseline"/>
        </w:rPr>
        <w:t> </w:t>
      </w:r>
      <w:r>
        <w:rPr>
          <w:color w:val="231F20"/>
          <w:vertAlign w:val="baseline"/>
        </w:rPr>
        <w:t>S.,</w:t>
      </w:r>
    </w:p>
    <w:p>
      <w:pPr>
        <w:pStyle w:val="BodyText"/>
        <w:spacing w:line="235" w:lineRule="exact"/>
        <w:ind w:left="520"/>
      </w:pPr>
      <w:r>
        <w:rPr>
          <w:color w:val="231F20"/>
          <w:spacing w:val="-1"/>
        </w:rPr>
        <w:t>Rodriguez,</w:t>
      </w:r>
      <w:r>
        <w:rPr>
          <w:color w:val="231F20"/>
          <w:spacing w:val="-12"/>
        </w:rPr>
        <w:t> </w:t>
      </w:r>
      <w:r>
        <w:rPr>
          <w:color w:val="231F20"/>
          <w:spacing w:val="-1"/>
        </w:rPr>
        <w:t>B.,</w:t>
      </w:r>
      <w:r>
        <w:rPr>
          <w:color w:val="231F20"/>
          <w:spacing w:val="-12"/>
        </w:rPr>
        <w:t> </w:t>
      </w:r>
      <w:r>
        <w:rPr>
          <w:color w:val="231F20"/>
          <w:spacing w:val="-1"/>
        </w:rPr>
        <w:t>&amp;</w:t>
      </w:r>
      <w:r>
        <w:rPr>
          <w:color w:val="231F20"/>
          <w:spacing w:val="-12"/>
        </w:rPr>
        <w:t> </w:t>
      </w:r>
      <w:r>
        <w:rPr>
          <w:color w:val="231F20"/>
          <w:spacing w:val="-1"/>
        </w:rPr>
        <w:t>Donovan,</w:t>
      </w:r>
      <w:r>
        <w:rPr>
          <w:color w:val="231F20"/>
          <w:spacing w:val="-12"/>
        </w:rPr>
        <w:t> </w:t>
      </w:r>
      <w:r>
        <w:rPr>
          <w:color w:val="231F20"/>
          <w:spacing w:val="-1"/>
        </w:rPr>
        <w:t>D.</w:t>
      </w:r>
      <w:r>
        <w:rPr>
          <w:color w:val="231F20"/>
          <w:spacing w:val="-13"/>
        </w:rPr>
        <w:t> </w:t>
      </w:r>
      <w:r>
        <w:rPr>
          <w:color w:val="231F20"/>
          <w:spacing w:val="-1"/>
        </w:rPr>
        <w:t>M.</w:t>
      </w:r>
      <w:r>
        <w:rPr>
          <w:color w:val="231F20"/>
          <w:spacing w:val="-13"/>
        </w:rPr>
        <w:t> </w:t>
      </w:r>
      <w:r>
        <w:rPr>
          <w:color w:val="231F20"/>
        </w:rPr>
        <w:t>(2017).</w:t>
      </w:r>
      <w:r>
        <w:rPr>
          <w:color w:val="231F20"/>
          <w:spacing w:val="-11"/>
        </w:rPr>
        <w:t> </w:t>
      </w:r>
      <w:r>
        <w:rPr>
          <w:color w:val="231F20"/>
        </w:rPr>
        <w:t>Prevalence</w:t>
      </w:r>
    </w:p>
    <w:p>
      <w:pPr>
        <w:pStyle w:val="BodyText"/>
        <w:spacing w:line="228" w:lineRule="auto" w:before="4"/>
        <w:ind w:left="520" w:right="216"/>
      </w:pPr>
      <w:r>
        <w:rPr>
          <w:color w:val="231F20"/>
        </w:rPr>
        <w:t>and predictors of substance use disorders among</w:t>
      </w:r>
      <w:r>
        <w:rPr>
          <w:color w:val="231F20"/>
          <w:spacing w:val="1"/>
        </w:rPr>
        <w:t> </w:t>
      </w:r>
      <w:r>
        <w:rPr>
          <w:color w:val="231F20"/>
          <w:spacing w:val="-1"/>
        </w:rPr>
        <w:t>HIV care enrollees in the </w:t>
      </w:r>
      <w:r>
        <w:rPr>
          <w:color w:val="231F20"/>
        </w:rPr>
        <w:t>United States. </w:t>
      </w:r>
      <w:r>
        <w:rPr>
          <w:i/>
          <w:color w:val="231F20"/>
        </w:rPr>
        <w:t>AIDS and</w:t>
      </w:r>
      <w:r>
        <w:rPr>
          <w:i/>
          <w:color w:val="231F20"/>
          <w:spacing w:val="1"/>
        </w:rPr>
        <w:t> </w:t>
      </w:r>
      <w:r>
        <w:rPr>
          <w:i/>
          <w:color w:val="231F20"/>
          <w:spacing w:val="-3"/>
        </w:rPr>
        <w:t>Behavior, 21</w:t>
      </w:r>
      <w:r>
        <w:rPr>
          <w:color w:val="231F20"/>
          <w:spacing w:val="-3"/>
        </w:rPr>
        <w:t>(4), 1138-1148. </w:t>
      </w:r>
      <w:hyperlink r:id="rId116">
        <w:r>
          <w:rPr>
            <w:color w:val="3953A4"/>
            <w:spacing w:val="-3"/>
            <w:u w:val="single" w:color="3953A4"/>
          </w:rPr>
          <w:t>https://doi.org/10.1007/</w:t>
        </w:r>
      </w:hyperlink>
      <w:r>
        <w:rPr>
          <w:color w:val="3953A4"/>
          <w:spacing w:val="-52"/>
        </w:rPr>
        <w:t> </w:t>
      </w:r>
      <w:hyperlink r:id="rId116">
        <w:r>
          <w:rPr>
            <w:color w:val="3953A4"/>
            <w:u w:val="single" w:color="3953A4"/>
          </w:rPr>
          <w:t>s10461-016-1584-6</w:t>
        </w:r>
      </w:hyperlink>
    </w:p>
    <w:p>
      <w:pPr>
        <w:pStyle w:val="BodyText"/>
        <w:tabs>
          <w:tab w:pos="519" w:val="left" w:leader="none"/>
        </w:tabs>
        <w:spacing w:line="228" w:lineRule="auto" w:before="88"/>
        <w:ind w:left="520" w:right="152" w:hanging="360"/>
      </w:pPr>
      <w:r>
        <w:rPr>
          <w:color w:val="231F20"/>
          <w:vertAlign w:val="superscript"/>
        </w:rPr>
        <w:t>80</w:t>
      </w:r>
      <w:r>
        <w:rPr>
          <w:color w:val="231F20"/>
          <w:vertAlign w:val="baseline"/>
        </w:rPr>
        <w:tab/>
      </w:r>
      <w:r>
        <w:rPr>
          <w:color w:val="231F20"/>
          <w:spacing w:val="-1"/>
          <w:vertAlign w:val="baseline"/>
        </w:rPr>
        <w:t>Korthuis, P. T., Lum, P. J., Vergara-Rodriguez, </w:t>
      </w:r>
      <w:r>
        <w:rPr>
          <w:color w:val="231F20"/>
          <w:vertAlign w:val="baseline"/>
        </w:rPr>
        <w:t>P.,</w:t>
      </w:r>
      <w:r>
        <w:rPr>
          <w:color w:val="231F20"/>
          <w:spacing w:val="1"/>
          <w:vertAlign w:val="baseline"/>
        </w:rPr>
        <w:t> </w:t>
      </w:r>
      <w:r>
        <w:rPr>
          <w:color w:val="231F20"/>
          <w:vertAlign w:val="baseline"/>
        </w:rPr>
        <w:t>Ahamad, K., Wood, E., Kunkel, L. E., Oden, N. L.,</w:t>
      </w:r>
      <w:r>
        <w:rPr>
          <w:color w:val="231F20"/>
          <w:spacing w:val="-52"/>
          <w:vertAlign w:val="baseline"/>
        </w:rPr>
        <w:t> </w:t>
      </w:r>
      <w:r>
        <w:rPr>
          <w:color w:val="231F20"/>
          <w:spacing w:val="-2"/>
          <w:vertAlign w:val="baseline"/>
        </w:rPr>
        <w:t>Lindblad, </w:t>
      </w:r>
      <w:r>
        <w:rPr>
          <w:color w:val="231F20"/>
          <w:spacing w:val="-1"/>
          <w:vertAlign w:val="baseline"/>
        </w:rPr>
        <w:t>R., Sorensen, J. L., Arenas, V., Ha, D.,</w:t>
      </w:r>
      <w:r>
        <w:rPr>
          <w:color w:val="231F20"/>
          <w:vertAlign w:val="baseline"/>
        </w:rPr>
        <w:t> Mandler, R. N., &amp; McCarty, D. (2017). Feasibility</w:t>
      </w:r>
      <w:r>
        <w:rPr>
          <w:color w:val="231F20"/>
          <w:spacing w:val="1"/>
          <w:vertAlign w:val="baseline"/>
        </w:rPr>
        <w:t> </w:t>
      </w:r>
      <w:r>
        <w:rPr>
          <w:color w:val="231F20"/>
          <w:vertAlign w:val="baseline"/>
        </w:rPr>
        <w:t>and safety of extended-release naltrexone treatment</w:t>
      </w:r>
      <w:r>
        <w:rPr>
          <w:color w:val="231F20"/>
          <w:spacing w:val="-52"/>
          <w:vertAlign w:val="baseline"/>
        </w:rPr>
        <w:t> </w:t>
      </w:r>
      <w:r>
        <w:rPr>
          <w:color w:val="231F20"/>
          <w:spacing w:val="-1"/>
          <w:vertAlign w:val="baseline"/>
        </w:rPr>
        <w:t>of opioid </w:t>
      </w:r>
      <w:r>
        <w:rPr>
          <w:color w:val="231F20"/>
          <w:vertAlign w:val="baseline"/>
        </w:rPr>
        <w:t>and</w:t>
      </w:r>
      <w:r>
        <w:rPr>
          <w:color w:val="231F20"/>
          <w:spacing w:val="-1"/>
          <w:vertAlign w:val="baseline"/>
        </w:rPr>
        <w:t> </w:t>
      </w:r>
      <w:r>
        <w:rPr>
          <w:color w:val="231F20"/>
          <w:vertAlign w:val="baseline"/>
        </w:rPr>
        <w:t>alcohol</w:t>
      </w:r>
      <w:r>
        <w:rPr>
          <w:color w:val="231F20"/>
          <w:spacing w:val="-1"/>
          <w:vertAlign w:val="baseline"/>
        </w:rPr>
        <w:t> </w:t>
      </w:r>
      <w:r>
        <w:rPr>
          <w:color w:val="231F20"/>
          <w:vertAlign w:val="baseline"/>
        </w:rPr>
        <w:t>use disorder</w:t>
      </w:r>
      <w:r>
        <w:rPr>
          <w:color w:val="231F20"/>
          <w:spacing w:val="-1"/>
          <w:vertAlign w:val="baseline"/>
        </w:rPr>
        <w:t> </w:t>
      </w:r>
      <w:r>
        <w:rPr>
          <w:color w:val="231F20"/>
          <w:vertAlign w:val="baseline"/>
        </w:rPr>
        <w:t>in</w:t>
      </w:r>
      <w:r>
        <w:rPr>
          <w:color w:val="231F20"/>
          <w:spacing w:val="-1"/>
          <w:vertAlign w:val="baseline"/>
        </w:rPr>
        <w:t> </w:t>
      </w:r>
      <w:r>
        <w:rPr>
          <w:color w:val="231F20"/>
          <w:vertAlign w:val="baseline"/>
        </w:rPr>
        <w:t>HIV</w:t>
      </w:r>
      <w:r>
        <w:rPr>
          <w:color w:val="231F20"/>
          <w:spacing w:val="-6"/>
          <w:vertAlign w:val="baseline"/>
        </w:rPr>
        <w:t> </w:t>
      </w:r>
      <w:r>
        <w:rPr>
          <w:color w:val="231F20"/>
          <w:vertAlign w:val="baseline"/>
        </w:rPr>
        <w:t>clinics:</w:t>
      </w:r>
      <w:r>
        <w:rPr>
          <w:color w:val="231F20"/>
          <w:spacing w:val="-13"/>
          <w:vertAlign w:val="baseline"/>
        </w:rPr>
        <w:t> </w:t>
      </w:r>
      <w:r>
        <w:rPr>
          <w:color w:val="231F20"/>
          <w:vertAlign w:val="baseline"/>
        </w:rPr>
        <w:t>A</w:t>
      </w:r>
      <w:r>
        <w:rPr>
          <w:color w:val="231F20"/>
          <w:spacing w:val="-52"/>
          <w:vertAlign w:val="baseline"/>
        </w:rPr>
        <w:t> </w:t>
      </w:r>
      <w:r>
        <w:rPr>
          <w:color w:val="231F20"/>
          <w:vertAlign w:val="baseline"/>
        </w:rPr>
        <w:t>pilot/feasibility</w:t>
      </w:r>
      <w:r>
        <w:rPr>
          <w:color w:val="231F20"/>
          <w:spacing w:val="-4"/>
          <w:vertAlign w:val="baseline"/>
        </w:rPr>
        <w:t> </w:t>
      </w:r>
      <w:r>
        <w:rPr>
          <w:color w:val="231F20"/>
          <w:vertAlign w:val="baseline"/>
        </w:rPr>
        <w:t>randomized</w:t>
      </w:r>
      <w:r>
        <w:rPr>
          <w:color w:val="231F20"/>
          <w:spacing w:val="-4"/>
          <w:vertAlign w:val="baseline"/>
        </w:rPr>
        <w:t> </w:t>
      </w:r>
      <w:r>
        <w:rPr>
          <w:color w:val="231F20"/>
          <w:vertAlign w:val="baseline"/>
        </w:rPr>
        <w:t>trial.</w:t>
      </w:r>
      <w:r>
        <w:rPr>
          <w:color w:val="231F20"/>
          <w:spacing w:val="-5"/>
          <w:vertAlign w:val="baseline"/>
        </w:rPr>
        <w:t> </w:t>
      </w:r>
      <w:r>
        <w:rPr>
          <w:i/>
          <w:color w:val="231F20"/>
          <w:vertAlign w:val="baseline"/>
        </w:rPr>
        <w:t>Addiction,</w:t>
      </w:r>
      <w:r>
        <w:rPr>
          <w:i/>
          <w:color w:val="231F20"/>
          <w:spacing w:val="-4"/>
          <w:vertAlign w:val="baseline"/>
        </w:rPr>
        <w:t> </w:t>
      </w:r>
      <w:r>
        <w:rPr>
          <w:i/>
          <w:color w:val="231F20"/>
          <w:vertAlign w:val="baseline"/>
        </w:rPr>
        <w:t>112</w:t>
      </w:r>
      <w:r>
        <w:rPr>
          <w:color w:val="231F20"/>
          <w:vertAlign w:val="baseline"/>
        </w:rPr>
        <w:t>(6),</w:t>
      </w:r>
      <w:r>
        <w:rPr>
          <w:color w:val="231F20"/>
          <w:spacing w:val="-52"/>
          <w:vertAlign w:val="baseline"/>
        </w:rPr>
        <w:t> </w:t>
      </w:r>
      <w:r>
        <w:rPr>
          <w:color w:val="231F20"/>
          <w:vertAlign w:val="baseline"/>
        </w:rPr>
        <w:t>1036-1044.</w:t>
      </w:r>
      <w:r>
        <w:rPr>
          <w:color w:val="231F20"/>
          <w:spacing w:val="-3"/>
          <w:vertAlign w:val="baseline"/>
        </w:rPr>
        <w:t> </w:t>
      </w:r>
      <w:hyperlink r:id="rId117">
        <w:r>
          <w:rPr>
            <w:color w:val="3953A4"/>
            <w:u w:val="single" w:color="3953A4"/>
            <w:vertAlign w:val="baseline"/>
          </w:rPr>
          <w:t>https://doi.org/10.1111/add.13753</w:t>
        </w:r>
      </w:hyperlink>
    </w:p>
    <w:p>
      <w:pPr>
        <w:pStyle w:val="BodyText"/>
        <w:tabs>
          <w:tab w:pos="519" w:val="left" w:leader="none"/>
        </w:tabs>
        <w:spacing w:line="228" w:lineRule="auto" w:before="88"/>
        <w:ind w:left="520" w:right="146" w:hanging="360"/>
      </w:pPr>
      <w:r>
        <w:rPr>
          <w:color w:val="231F20"/>
          <w:vertAlign w:val="superscript"/>
        </w:rPr>
        <w:t>81</w:t>
      </w:r>
      <w:r>
        <w:rPr>
          <w:color w:val="231F20"/>
          <w:vertAlign w:val="baseline"/>
        </w:rPr>
        <w:tab/>
        <w:t>Seeman, M. V. (2015). The role of mental health</w:t>
      </w:r>
      <w:r>
        <w:rPr>
          <w:color w:val="231F20"/>
          <w:spacing w:val="1"/>
          <w:vertAlign w:val="baseline"/>
        </w:rPr>
        <w:t> </w:t>
      </w:r>
      <w:r>
        <w:rPr>
          <w:color w:val="231F20"/>
          <w:vertAlign w:val="baseline"/>
        </w:rPr>
        <w:t>services</w:t>
      </w:r>
      <w:r>
        <w:rPr>
          <w:color w:val="231F20"/>
          <w:spacing w:val="-4"/>
          <w:vertAlign w:val="baseline"/>
        </w:rPr>
        <w:t> </w:t>
      </w:r>
      <w:r>
        <w:rPr>
          <w:color w:val="231F20"/>
          <w:vertAlign w:val="baseline"/>
        </w:rPr>
        <w:t>in</w:t>
      </w:r>
      <w:r>
        <w:rPr>
          <w:color w:val="231F20"/>
          <w:spacing w:val="-2"/>
          <w:vertAlign w:val="baseline"/>
        </w:rPr>
        <w:t> </w:t>
      </w:r>
      <w:r>
        <w:rPr>
          <w:color w:val="231F20"/>
          <w:vertAlign w:val="baseline"/>
        </w:rPr>
        <w:t>addressing</w:t>
      </w:r>
      <w:r>
        <w:rPr>
          <w:color w:val="231F20"/>
          <w:spacing w:val="-2"/>
          <w:vertAlign w:val="baseline"/>
        </w:rPr>
        <w:t> </w:t>
      </w:r>
      <w:r>
        <w:rPr>
          <w:color w:val="231F20"/>
          <w:vertAlign w:val="baseline"/>
        </w:rPr>
        <w:t>HIV</w:t>
      </w:r>
      <w:r>
        <w:rPr>
          <w:color w:val="231F20"/>
          <w:spacing w:val="-6"/>
          <w:vertAlign w:val="baseline"/>
        </w:rPr>
        <w:t> </w:t>
      </w:r>
      <w:r>
        <w:rPr>
          <w:color w:val="231F20"/>
          <w:vertAlign w:val="baseline"/>
        </w:rPr>
        <w:t>infection</w:t>
      </w:r>
      <w:r>
        <w:rPr>
          <w:color w:val="231F20"/>
          <w:spacing w:val="-2"/>
          <w:vertAlign w:val="baseline"/>
        </w:rPr>
        <w:t> </w:t>
      </w:r>
      <w:r>
        <w:rPr>
          <w:color w:val="231F20"/>
          <w:vertAlign w:val="baseline"/>
        </w:rPr>
        <w:t>among</w:t>
      </w:r>
      <w:r>
        <w:rPr>
          <w:color w:val="231F20"/>
          <w:spacing w:val="-3"/>
          <w:vertAlign w:val="baseline"/>
        </w:rPr>
        <w:t> </w:t>
      </w:r>
      <w:r>
        <w:rPr>
          <w:color w:val="231F20"/>
          <w:vertAlign w:val="baseline"/>
        </w:rPr>
        <w:t>women</w:t>
      </w:r>
      <w:r>
        <w:rPr>
          <w:color w:val="231F20"/>
          <w:spacing w:val="-52"/>
          <w:vertAlign w:val="baseline"/>
        </w:rPr>
        <w:t> </w:t>
      </w:r>
      <w:r>
        <w:rPr>
          <w:color w:val="231F20"/>
          <w:vertAlign w:val="baseline"/>
        </w:rPr>
        <w:t>with serious mental illness. </w:t>
      </w:r>
      <w:r>
        <w:rPr>
          <w:i/>
          <w:color w:val="231F20"/>
          <w:vertAlign w:val="baseline"/>
        </w:rPr>
        <w:t>Psychiatric Services,</w:t>
      </w:r>
      <w:r>
        <w:rPr>
          <w:i/>
          <w:color w:val="231F20"/>
          <w:spacing w:val="1"/>
          <w:vertAlign w:val="baseline"/>
        </w:rPr>
        <w:t> </w:t>
      </w:r>
      <w:r>
        <w:rPr>
          <w:i/>
          <w:color w:val="231F20"/>
          <w:vertAlign w:val="baseline"/>
        </w:rPr>
        <w:t>66</w:t>
      </w:r>
      <w:r>
        <w:rPr>
          <w:color w:val="231F20"/>
          <w:vertAlign w:val="baseline"/>
        </w:rPr>
        <w:t>(9), 966-974. </w:t>
      </w:r>
      <w:hyperlink r:id="rId118">
        <w:r>
          <w:rPr>
            <w:color w:val="3953A4"/>
            <w:u w:val="single" w:color="3953A4"/>
            <w:vertAlign w:val="baseline"/>
          </w:rPr>
          <w:t>https://doi.org/10.1176/appi.</w:t>
        </w:r>
      </w:hyperlink>
      <w:r>
        <w:rPr>
          <w:color w:val="3953A4"/>
          <w:spacing w:val="1"/>
          <w:vertAlign w:val="baseline"/>
        </w:rPr>
        <w:t> </w:t>
      </w:r>
      <w:hyperlink r:id="rId118">
        <w:r>
          <w:rPr>
            <w:color w:val="3953A4"/>
            <w:u w:val="single" w:color="3953A4"/>
            <w:vertAlign w:val="baseline"/>
          </w:rPr>
          <w:t>ps.201400411</w:t>
        </w:r>
      </w:hyperlink>
    </w:p>
    <w:p>
      <w:pPr>
        <w:pStyle w:val="BodyText"/>
        <w:tabs>
          <w:tab w:pos="519" w:val="left" w:leader="none"/>
        </w:tabs>
        <w:spacing w:line="228" w:lineRule="auto" w:before="88"/>
        <w:ind w:left="520" w:right="205" w:hanging="360"/>
      </w:pPr>
      <w:r>
        <w:rPr>
          <w:color w:val="231F20"/>
          <w:vertAlign w:val="superscript"/>
        </w:rPr>
        <w:t>82</w:t>
      </w:r>
      <w:r>
        <w:rPr>
          <w:color w:val="231F20"/>
          <w:vertAlign w:val="baseline"/>
        </w:rPr>
        <w:tab/>
      </w:r>
      <w:r>
        <w:rPr>
          <w:color w:val="231F20"/>
          <w:spacing w:val="-1"/>
          <w:vertAlign w:val="baseline"/>
        </w:rPr>
        <w:t>Substance Abuse and Mental Health Services</w:t>
      </w:r>
      <w:r>
        <w:rPr>
          <w:color w:val="231F20"/>
          <w:vertAlign w:val="baseline"/>
        </w:rPr>
        <w:t> Administration,</w:t>
      </w:r>
      <w:r>
        <w:rPr>
          <w:color w:val="231F20"/>
          <w:spacing w:val="-5"/>
          <w:vertAlign w:val="baseline"/>
        </w:rPr>
        <w:t> </w:t>
      </w:r>
      <w:r>
        <w:rPr>
          <w:color w:val="231F20"/>
          <w:vertAlign w:val="baseline"/>
        </w:rPr>
        <w:t>&amp;</w:t>
      </w:r>
      <w:r>
        <w:rPr>
          <w:color w:val="231F20"/>
          <w:spacing w:val="-4"/>
          <w:vertAlign w:val="baseline"/>
        </w:rPr>
        <w:t> </w:t>
      </w:r>
      <w:r>
        <w:rPr>
          <w:color w:val="231F20"/>
          <w:vertAlign w:val="baseline"/>
        </w:rPr>
        <w:t>National</w:t>
      </w:r>
      <w:r>
        <w:rPr>
          <w:color w:val="231F20"/>
          <w:spacing w:val="-5"/>
          <w:vertAlign w:val="baseline"/>
        </w:rPr>
        <w:t> </w:t>
      </w:r>
      <w:r>
        <w:rPr>
          <w:color w:val="231F20"/>
          <w:vertAlign w:val="baseline"/>
        </w:rPr>
        <w:t>Council</w:t>
      </w:r>
      <w:r>
        <w:rPr>
          <w:color w:val="231F20"/>
          <w:spacing w:val="-4"/>
          <w:vertAlign w:val="baseline"/>
        </w:rPr>
        <w:t> </w:t>
      </w:r>
      <w:r>
        <w:rPr>
          <w:color w:val="231F20"/>
          <w:vertAlign w:val="baseline"/>
        </w:rPr>
        <w:t>for</w:t>
      </w:r>
      <w:r>
        <w:rPr>
          <w:color w:val="231F20"/>
          <w:spacing w:val="-4"/>
          <w:vertAlign w:val="baseline"/>
        </w:rPr>
        <w:t> </w:t>
      </w:r>
      <w:r>
        <w:rPr>
          <w:color w:val="231F20"/>
          <w:vertAlign w:val="baseline"/>
        </w:rPr>
        <w:t>Behavioral</w:t>
      </w:r>
      <w:r>
        <w:rPr>
          <w:color w:val="231F20"/>
          <w:spacing w:val="-52"/>
          <w:vertAlign w:val="baseline"/>
        </w:rPr>
        <w:t> </w:t>
      </w:r>
      <w:r>
        <w:rPr>
          <w:color w:val="231F20"/>
          <w:vertAlign w:val="baseline"/>
        </w:rPr>
        <w:t>Health. </w:t>
      </w:r>
      <w:r>
        <w:rPr>
          <w:i/>
          <w:color w:val="231F20"/>
          <w:vertAlign w:val="baseline"/>
        </w:rPr>
        <w:t>What is integrated care? </w:t>
      </w:r>
      <w:r>
        <w:rPr>
          <w:color w:val="231F20"/>
          <w:vertAlign w:val="baseline"/>
        </w:rPr>
        <w:t>Center of</w:t>
      </w:r>
      <w:r>
        <w:rPr>
          <w:color w:val="231F20"/>
          <w:spacing w:val="1"/>
          <w:vertAlign w:val="baseline"/>
        </w:rPr>
        <w:t> </w:t>
      </w:r>
      <w:r>
        <w:rPr>
          <w:color w:val="231F20"/>
          <w:vertAlign w:val="baseline"/>
        </w:rPr>
        <w:t>Excellence for Integrated Health Solutions. </w:t>
      </w:r>
      <w:hyperlink r:id="rId119">
        <w:r>
          <w:rPr>
            <w:color w:val="3953A4"/>
            <w:u w:val="single" w:color="3953A4"/>
            <w:vertAlign w:val="baseline"/>
          </w:rPr>
          <w:t>https://</w:t>
        </w:r>
      </w:hyperlink>
      <w:r>
        <w:rPr>
          <w:color w:val="3953A4"/>
          <w:spacing w:val="-52"/>
          <w:vertAlign w:val="baseline"/>
        </w:rPr>
        <w:t> </w:t>
      </w:r>
      <w:hyperlink r:id="rId119">
        <w:r>
          <w:rPr>
            <w:color w:val="3953A4"/>
            <w:u w:val="single" w:color="3953A4"/>
            <w:vertAlign w:val="baseline"/>
          </w:rPr>
          <w:t>www.thenationalcouncil.org/integration-primary-</w:t>
        </w:r>
      </w:hyperlink>
    </w:p>
    <w:p>
      <w:pPr>
        <w:pStyle w:val="BodyText"/>
        <w:spacing w:before="91"/>
        <w:ind w:left="520"/>
      </w:pPr>
      <w:r>
        <w:rPr/>
        <w:br w:type="column"/>
      </w:r>
      <w:hyperlink r:id="rId119">
        <w:r>
          <w:rPr>
            <w:color w:val="3953A4"/>
            <w:u w:val="single" w:color="3953A4"/>
          </w:rPr>
          <w:t>care-behavioral-health/integrated-care/</w:t>
        </w:r>
      </w:hyperlink>
    </w:p>
    <w:p>
      <w:pPr>
        <w:pStyle w:val="BodyText"/>
        <w:tabs>
          <w:tab w:pos="519" w:val="left" w:leader="none"/>
        </w:tabs>
        <w:spacing w:line="228" w:lineRule="auto" w:before="87"/>
        <w:ind w:left="520" w:right="727" w:hanging="360"/>
      </w:pPr>
      <w:r>
        <w:rPr>
          <w:color w:val="231F20"/>
          <w:vertAlign w:val="superscript"/>
        </w:rPr>
        <w:t>83</w:t>
      </w:r>
      <w:r>
        <w:rPr>
          <w:color w:val="231F20"/>
          <w:vertAlign w:val="baseline"/>
        </w:rPr>
        <w:tab/>
        <w:t>Backus, L., Czarnogorski, M., Yip, G., Thomas, B.</w:t>
      </w:r>
      <w:r>
        <w:rPr>
          <w:color w:val="231F20"/>
          <w:spacing w:val="1"/>
          <w:vertAlign w:val="baseline"/>
        </w:rPr>
        <w:t> </w:t>
      </w:r>
      <w:r>
        <w:rPr>
          <w:color w:val="231F20"/>
          <w:vertAlign w:val="baseline"/>
        </w:rPr>
        <w:t>P., Torres, M., Bell, T., &amp; Ross, D. (2015). HIV care</w:t>
      </w:r>
      <w:r>
        <w:rPr>
          <w:color w:val="231F20"/>
          <w:spacing w:val="-52"/>
          <w:vertAlign w:val="baseline"/>
        </w:rPr>
        <w:t> </w:t>
      </w:r>
      <w:r>
        <w:rPr>
          <w:color w:val="231F20"/>
          <w:vertAlign w:val="baseline"/>
        </w:rPr>
        <w:t>continuum</w:t>
      </w:r>
      <w:r>
        <w:rPr>
          <w:color w:val="231F20"/>
          <w:spacing w:val="-5"/>
          <w:vertAlign w:val="baseline"/>
        </w:rPr>
        <w:t> </w:t>
      </w:r>
      <w:r>
        <w:rPr>
          <w:color w:val="231F20"/>
          <w:vertAlign w:val="baseline"/>
        </w:rPr>
        <w:t>applied</w:t>
      </w:r>
      <w:r>
        <w:rPr>
          <w:color w:val="231F20"/>
          <w:spacing w:val="-5"/>
          <w:vertAlign w:val="baseline"/>
        </w:rPr>
        <w:t> </w:t>
      </w:r>
      <w:r>
        <w:rPr>
          <w:color w:val="231F20"/>
          <w:vertAlign w:val="baseline"/>
        </w:rPr>
        <w:t>to</w:t>
      </w:r>
      <w:r>
        <w:rPr>
          <w:color w:val="231F20"/>
          <w:spacing w:val="-5"/>
          <w:vertAlign w:val="baseline"/>
        </w:rPr>
        <w:t> </w:t>
      </w:r>
      <w:r>
        <w:rPr>
          <w:color w:val="231F20"/>
          <w:vertAlign w:val="baseline"/>
        </w:rPr>
        <w:t>the</w:t>
      </w:r>
      <w:r>
        <w:rPr>
          <w:color w:val="231F20"/>
          <w:spacing w:val="-5"/>
          <w:vertAlign w:val="baseline"/>
        </w:rPr>
        <w:t> </w:t>
      </w:r>
      <w:r>
        <w:rPr>
          <w:color w:val="231F20"/>
          <w:vertAlign w:val="baseline"/>
        </w:rPr>
        <w:t>US</w:t>
      </w:r>
      <w:r>
        <w:rPr>
          <w:color w:val="231F20"/>
          <w:spacing w:val="-6"/>
          <w:vertAlign w:val="baseline"/>
        </w:rPr>
        <w:t> </w:t>
      </w:r>
      <w:r>
        <w:rPr>
          <w:color w:val="231F20"/>
          <w:vertAlign w:val="baseline"/>
        </w:rPr>
        <w:t>Department</w:t>
      </w:r>
      <w:r>
        <w:rPr>
          <w:color w:val="231F20"/>
          <w:spacing w:val="-6"/>
          <w:vertAlign w:val="baseline"/>
        </w:rPr>
        <w:t> </w:t>
      </w:r>
      <w:r>
        <w:rPr>
          <w:color w:val="231F20"/>
          <w:vertAlign w:val="baseline"/>
        </w:rPr>
        <w:t>of</w:t>
      </w:r>
      <w:r>
        <w:rPr>
          <w:color w:val="231F20"/>
          <w:spacing w:val="-9"/>
          <w:vertAlign w:val="baseline"/>
        </w:rPr>
        <w:t> </w:t>
      </w:r>
      <w:r>
        <w:rPr>
          <w:color w:val="231F20"/>
          <w:vertAlign w:val="baseline"/>
        </w:rPr>
        <w:t>Veterans</w:t>
      </w:r>
      <w:r>
        <w:rPr>
          <w:color w:val="231F20"/>
          <w:spacing w:val="-52"/>
          <w:vertAlign w:val="baseline"/>
        </w:rPr>
        <w:t> </w:t>
      </w:r>
      <w:r>
        <w:rPr>
          <w:color w:val="231F20"/>
          <w:vertAlign w:val="baseline"/>
        </w:rPr>
        <w:t>Affairs: HIV virologic outcomes in an integrated</w:t>
      </w:r>
      <w:r>
        <w:rPr>
          <w:color w:val="231F20"/>
          <w:spacing w:val="1"/>
          <w:vertAlign w:val="baseline"/>
        </w:rPr>
        <w:t> </w:t>
      </w:r>
      <w:r>
        <w:rPr>
          <w:color w:val="231F20"/>
          <w:vertAlign w:val="baseline"/>
        </w:rPr>
        <w:t>health care system. </w:t>
      </w:r>
      <w:r>
        <w:rPr>
          <w:i/>
          <w:color w:val="231F20"/>
          <w:vertAlign w:val="baseline"/>
        </w:rPr>
        <w:t>Journal of Acquired Immune</w:t>
      </w:r>
      <w:r>
        <w:rPr>
          <w:i/>
          <w:color w:val="231F20"/>
          <w:spacing w:val="1"/>
          <w:vertAlign w:val="baseline"/>
        </w:rPr>
        <w:t> </w:t>
      </w:r>
      <w:r>
        <w:rPr>
          <w:i/>
          <w:color w:val="231F20"/>
          <w:vertAlign w:val="baseline"/>
        </w:rPr>
        <w:t>Deficiency Syndromes (JAIDS), 69</w:t>
      </w:r>
      <w:r>
        <w:rPr>
          <w:color w:val="231F20"/>
          <w:vertAlign w:val="baseline"/>
        </w:rPr>
        <w:t>(4), 474-480.</w:t>
      </w:r>
      <w:r>
        <w:rPr>
          <w:color w:val="231F20"/>
          <w:spacing w:val="1"/>
          <w:vertAlign w:val="baseline"/>
        </w:rPr>
        <w:t> </w:t>
      </w:r>
      <w:hyperlink r:id="rId120">
        <w:r>
          <w:rPr>
            <w:color w:val="3953A4"/>
            <w:u w:val="single" w:color="3953A4"/>
            <w:vertAlign w:val="baseline"/>
          </w:rPr>
          <w:t>https://doi.org/10.1097/qai.0000000000000615</w:t>
        </w:r>
      </w:hyperlink>
    </w:p>
    <w:p>
      <w:pPr>
        <w:tabs>
          <w:tab w:pos="519" w:val="left" w:leader="none"/>
        </w:tabs>
        <w:spacing w:line="228" w:lineRule="auto" w:before="88"/>
        <w:ind w:left="520" w:right="1174" w:hanging="360"/>
        <w:jc w:val="left"/>
        <w:rPr>
          <w:sz w:val="22"/>
        </w:rPr>
      </w:pPr>
      <w:r>
        <w:rPr>
          <w:color w:val="231F20"/>
          <w:sz w:val="22"/>
          <w:vertAlign w:val="superscript"/>
        </w:rPr>
        <w:t>84</w:t>
      </w:r>
      <w:r>
        <w:rPr>
          <w:color w:val="231F20"/>
          <w:sz w:val="22"/>
          <w:vertAlign w:val="baseline"/>
        </w:rPr>
        <w:tab/>
      </w:r>
      <w:r>
        <w:rPr>
          <w:color w:val="231F20"/>
          <w:spacing w:val="-1"/>
          <w:sz w:val="22"/>
          <w:vertAlign w:val="baseline"/>
        </w:rPr>
        <w:t>Health Resources and Services Administration.</w:t>
      </w:r>
      <w:r>
        <w:rPr>
          <w:color w:val="231F20"/>
          <w:sz w:val="22"/>
          <w:vertAlign w:val="baseline"/>
        </w:rPr>
        <w:t> (2018,</w:t>
      </w:r>
      <w:r>
        <w:rPr>
          <w:color w:val="231F20"/>
          <w:spacing w:val="-4"/>
          <w:sz w:val="22"/>
          <w:vertAlign w:val="baseline"/>
        </w:rPr>
        <w:t> </w:t>
      </w:r>
      <w:r>
        <w:rPr>
          <w:color w:val="231F20"/>
          <w:sz w:val="22"/>
          <w:vertAlign w:val="baseline"/>
        </w:rPr>
        <w:t>February).</w:t>
      </w:r>
      <w:r>
        <w:rPr>
          <w:color w:val="231F20"/>
          <w:spacing w:val="-5"/>
          <w:sz w:val="22"/>
          <w:vertAlign w:val="baseline"/>
        </w:rPr>
        <w:t> </w:t>
      </w:r>
      <w:r>
        <w:rPr>
          <w:i/>
          <w:color w:val="231F20"/>
          <w:sz w:val="22"/>
          <w:vertAlign w:val="baseline"/>
        </w:rPr>
        <w:t>HRSA</w:t>
      </w:r>
      <w:r>
        <w:rPr>
          <w:i/>
          <w:color w:val="231F20"/>
          <w:spacing w:val="-8"/>
          <w:sz w:val="22"/>
          <w:vertAlign w:val="baseline"/>
        </w:rPr>
        <w:t> </w:t>
      </w:r>
      <w:r>
        <w:rPr>
          <w:i/>
          <w:color w:val="231F20"/>
          <w:sz w:val="22"/>
          <w:vertAlign w:val="baseline"/>
        </w:rPr>
        <w:t>CARE</w:t>
      </w:r>
      <w:r>
        <w:rPr>
          <w:i/>
          <w:color w:val="231F20"/>
          <w:spacing w:val="-9"/>
          <w:sz w:val="22"/>
          <w:vertAlign w:val="baseline"/>
        </w:rPr>
        <w:t> </w:t>
      </w:r>
      <w:r>
        <w:rPr>
          <w:i/>
          <w:color w:val="231F20"/>
          <w:sz w:val="22"/>
          <w:vertAlign w:val="baseline"/>
        </w:rPr>
        <w:t>Action:</w:t>
      </w:r>
      <w:r>
        <w:rPr>
          <w:i/>
          <w:color w:val="231F20"/>
          <w:spacing w:val="-3"/>
          <w:sz w:val="22"/>
          <w:vertAlign w:val="baseline"/>
        </w:rPr>
        <w:t> </w:t>
      </w:r>
      <w:r>
        <w:rPr>
          <w:i/>
          <w:color w:val="231F20"/>
          <w:sz w:val="22"/>
          <w:vertAlign w:val="baseline"/>
        </w:rPr>
        <w:t>The</w:t>
      </w:r>
      <w:r>
        <w:rPr>
          <w:i/>
          <w:color w:val="231F20"/>
          <w:spacing w:val="-5"/>
          <w:sz w:val="22"/>
          <w:vertAlign w:val="baseline"/>
        </w:rPr>
        <w:t> </w:t>
      </w:r>
      <w:r>
        <w:rPr>
          <w:i/>
          <w:color w:val="231F20"/>
          <w:sz w:val="22"/>
          <w:vertAlign w:val="baseline"/>
        </w:rPr>
        <w:t>role</w:t>
      </w:r>
      <w:r>
        <w:rPr>
          <w:i/>
          <w:color w:val="231F20"/>
          <w:spacing w:val="-52"/>
          <w:sz w:val="22"/>
          <w:vertAlign w:val="baseline"/>
        </w:rPr>
        <w:t> </w:t>
      </w:r>
      <w:r>
        <w:rPr>
          <w:i/>
          <w:color w:val="231F20"/>
          <w:sz w:val="22"/>
          <w:vertAlign w:val="baseline"/>
        </w:rPr>
        <w:t>of behavioral health services in the Ryan White</w:t>
      </w:r>
      <w:r>
        <w:rPr>
          <w:i/>
          <w:color w:val="231F20"/>
          <w:spacing w:val="-52"/>
          <w:sz w:val="22"/>
          <w:vertAlign w:val="baseline"/>
        </w:rPr>
        <w:t> </w:t>
      </w:r>
      <w:r>
        <w:rPr>
          <w:i/>
          <w:color w:val="231F20"/>
          <w:sz w:val="22"/>
          <w:vertAlign w:val="baseline"/>
        </w:rPr>
        <w:t>HIV/AIDS</w:t>
      </w:r>
      <w:r>
        <w:rPr>
          <w:i/>
          <w:color w:val="231F20"/>
          <w:spacing w:val="-5"/>
          <w:sz w:val="22"/>
          <w:vertAlign w:val="baseline"/>
        </w:rPr>
        <w:t> </w:t>
      </w:r>
      <w:r>
        <w:rPr>
          <w:i/>
          <w:color w:val="231F20"/>
          <w:sz w:val="22"/>
          <w:vertAlign w:val="baseline"/>
        </w:rPr>
        <w:t>program</w:t>
      </w:r>
      <w:r>
        <w:rPr>
          <w:color w:val="231F20"/>
          <w:sz w:val="22"/>
          <w:vertAlign w:val="baseline"/>
        </w:rPr>
        <w:t>.</w:t>
      </w:r>
      <w:r>
        <w:rPr>
          <w:color w:val="231F20"/>
          <w:spacing w:val="-3"/>
          <w:sz w:val="22"/>
          <w:vertAlign w:val="baseline"/>
        </w:rPr>
        <w:t> </w:t>
      </w:r>
      <w:hyperlink r:id="rId121">
        <w:r>
          <w:rPr>
            <w:color w:val="3953A4"/>
            <w:sz w:val="22"/>
            <w:u w:val="single" w:color="3953A4"/>
            <w:vertAlign w:val="baseline"/>
          </w:rPr>
          <w:t>https://hab.hrsa.gov/sites/</w:t>
        </w:r>
      </w:hyperlink>
    </w:p>
    <w:p>
      <w:pPr>
        <w:pStyle w:val="BodyText"/>
        <w:spacing w:line="235" w:lineRule="exact"/>
        <w:ind w:left="520"/>
      </w:pPr>
      <w:hyperlink r:id="rId121">
        <w:r>
          <w:rPr>
            <w:color w:val="3953A4"/>
            <w:u w:val="single" w:color="3953A4"/>
          </w:rPr>
          <w:t>default/files/hab/Publications/careactionnewsletter/</w:t>
        </w:r>
      </w:hyperlink>
    </w:p>
    <w:p>
      <w:pPr>
        <w:pStyle w:val="BodyText"/>
        <w:spacing w:line="246" w:lineRule="exact"/>
        <w:ind w:left="520"/>
      </w:pPr>
      <w:hyperlink r:id="rId121">
        <w:r>
          <w:rPr>
            <w:color w:val="3953A4"/>
            <w:u w:val="single" w:color="3953A4"/>
          </w:rPr>
          <w:t>BehavioralHealth.pdf</w:t>
        </w:r>
      </w:hyperlink>
    </w:p>
    <w:p>
      <w:pPr>
        <w:pStyle w:val="BodyText"/>
        <w:tabs>
          <w:tab w:pos="359" w:val="left" w:leader="none"/>
        </w:tabs>
        <w:spacing w:line="246" w:lineRule="exact" w:before="77"/>
        <w:ind w:right="1005"/>
        <w:jc w:val="right"/>
      </w:pPr>
      <w:r>
        <w:rPr>
          <w:color w:val="231F20"/>
          <w:vertAlign w:val="superscript"/>
        </w:rPr>
        <w:t>85</w:t>
      </w:r>
      <w:r>
        <w:rPr>
          <w:color w:val="231F20"/>
          <w:vertAlign w:val="baseline"/>
        </w:rPr>
        <w:tab/>
        <w:t>Ojikutu,</w:t>
      </w:r>
      <w:r>
        <w:rPr>
          <w:color w:val="231F20"/>
          <w:spacing w:val="-5"/>
          <w:vertAlign w:val="baseline"/>
        </w:rPr>
        <w:t> </w:t>
      </w:r>
      <w:r>
        <w:rPr>
          <w:color w:val="231F20"/>
          <w:vertAlign w:val="baseline"/>
        </w:rPr>
        <w:t>B.,</w:t>
      </w:r>
      <w:r>
        <w:rPr>
          <w:color w:val="231F20"/>
          <w:spacing w:val="-4"/>
          <w:vertAlign w:val="baseline"/>
        </w:rPr>
        <w:t> </w:t>
      </w:r>
      <w:r>
        <w:rPr>
          <w:color w:val="231F20"/>
          <w:vertAlign w:val="baseline"/>
        </w:rPr>
        <w:t>Holman,</w:t>
      </w:r>
      <w:r>
        <w:rPr>
          <w:color w:val="231F20"/>
          <w:spacing w:val="-4"/>
          <w:vertAlign w:val="baseline"/>
        </w:rPr>
        <w:t> </w:t>
      </w:r>
      <w:r>
        <w:rPr>
          <w:color w:val="231F20"/>
          <w:vertAlign w:val="baseline"/>
        </w:rPr>
        <w:t>J.,</w:t>
      </w:r>
      <w:r>
        <w:rPr>
          <w:color w:val="231F20"/>
          <w:spacing w:val="-5"/>
          <w:vertAlign w:val="baseline"/>
        </w:rPr>
        <w:t> </w:t>
      </w:r>
      <w:r>
        <w:rPr>
          <w:color w:val="231F20"/>
          <w:vertAlign w:val="baseline"/>
        </w:rPr>
        <w:t>Kunches,</w:t>
      </w:r>
      <w:r>
        <w:rPr>
          <w:color w:val="231F20"/>
          <w:spacing w:val="-4"/>
          <w:vertAlign w:val="baseline"/>
        </w:rPr>
        <w:t> </w:t>
      </w:r>
      <w:r>
        <w:rPr>
          <w:color w:val="231F20"/>
          <w:vertAlign w:val="baseline"/>
        </w:rPr>
        <w:t>L.,</w:t>
      </w:r>
      <w:r>
        <w:rPr>
          <w:color w:val="231F20"/>
          <w:spacing w:val="-4"/>
          <w:vertAlign w:val="baseline"/>
        </w:rPr>
        <w:t> </w:t>
      </w:r>
      <w:r>
        <w:rPr>
          <w:color w:val="231F20"/>
          <w:vertAlign w:val="baseline"/>
        </w:rPr>
        <w:t>Landers,</w:t>
      </w:r>
      <w:r>
        <w:rPr>
          <w:color w:val="231F20"/>
          <w:spacing w:val="-3"/>
          <w:vertAlign w:val="baseline"/>
        </w:rPr>
        <w:t> </w:t>
      </w:r>
      <w:r>
        <w:rPr>
          <w:color w:val="231F20"/>
          <w:vertAlign w:val="baseline"/>
        </w:rPr>
        <w:t>S.,</w:t>
      </w:r>
    </w:p>
    <w:p>
      <w:pPr>
        <w:pStyle w:val="BodyText"/>
        <w:spacing w:line="240" w:lineRule="exact"/>
        <w:ind w:right="1012"/>
        <w:jc w:val="right"/>
      </w:pPr>
      <w:r>
        <w:rPr>
          <w:color w:val="231F20"/>
        </w:rPr>
        <w:t>Perlmutter,</w:t>
      </w:r>
      <w:r>
        <w:rPr>
          <w:color w:val="231F20"/>
          <w:spacing w:val="-9"/>
        </w:rPr>
        <w:t> </w:t>
      </w:r>
      <w:r>
        <w:rPr>
          <w:color w:val="231F20"/>
        </w:rPr>
        <w:t>D.,</w:t>
      </w:r>
      <w:r>
        <w:rPr>
          <w:color w:val="231F20"/>
          <w:spacing w:val="-13"/>
        </w:rPr>
        <w:t> </w:t>
      </w:r>
      <w:r>
        <w:rPr>
          <w:color w:val="231F20"/>
        </w:rPr>
        <w:t>Ward,</w:t>
      </w:r>
      <w:r>
        <w:rPr>
          <w:color w:val="231F20"/>
          <w:spacing w:val="-8"/>
        </w:rPr>
        <w:t> </w:t>
      </w:r>
      <w:r>
        <w:rPr>
          <w:color w:val="231F20"/>
        </w:rPr>
        <w:t>M.,</w:t>
      </w:r>
      <w:r>
        <w:rPr>
          <w:color w:val="231F20"/>
          <w:spacing w:val="-9"/>
        </w:rPr>
        <w:t> </w:t>
      </w:r>
      <w:r>
        <w:rPr>
          <w:color w:val="231F20"/>
        </w:rPr>
        <w:t>Fant,</w:t>
      </w:r>
      <w:r>
        <w:rPr>
          <w:color w:val="231F20"/>
          <w:spacing w:val="-10"/>
        </w:rPr>
        <w:t> </w:t>
      </w:r>
      <w:r>
        <w:rPr>
          <w:color w:val="231F20"/>
        </w:rPr>
        <w:t>G.,</w:t>
      </w:r>
      <w:r>
        <w:rPr>
          <w:color w:val="231F20"/>
          <w:spacing w:val="-9"/>
        </w:rPr>
        <w:t> </w:t>
      </w:r>
      <w:r>
        <w:rPr>
          <w:color w:val="231F20"/>
        </w:rPr>
        <w:t>&amp;</w:t>
      </w:r>
      <w:r>
        <w:rPr>
          <w:color w:val="231F20"/>
          <w:spacing w:val="-8"/>
        </w:rPr>
        <w:t> </w:t>
      </w:r>
      <w:r>
        <w:rPr>
          <w:color w:val="231F20"/>
        </w:rPr>
        <w:t>Hirschhorn,</w:t>
      </w:r>
    </w:p>
    <w:p>
      <w:pPr>
        <w:pStyle w:val="BodyText"/>
        <w:spacing w:line="228" w:lineRule="auto" w:before="3"/>
        <w:ind w:left="520" w:right="736"/>
      </w:pPr>
      <w:r>
        <w:rPr>
          <w:color w:val="231F20"/>
        </w:rPr>
        <w:t>L. (2014). Interdisciplinary HIV care in a changing</w:t>
      </w:r>
      <w:r>
        <w:rPr>
          <w:color w:val="231F20"/>
          <w:spacing w:val="1"/>
        </w:rPr>
        <w:t> </w:t>
      </w:r>
      <w:r>
        <w:rPr>
          <w:color w:val="231F20"/>
        </w:rPr>
        <w:t>healthcare environment in the USA. </w:t>
      </w:r>
      <w:r>
        <w:rPr>
          <w:i/>
          <w:color w:val="231F20"/>
        </w:rPr>
        <w:t>AIDS Care,</w:t>
      </w:r>
      <w:r>
        <w:rPr>
          <w:i/>
          <w:color w:val="231F20"/>
          <w:spacing w:val="1"/>
        </w:rPr>
        <w:t> </w:t>
      </w:r>
      <w:r>
        <w:rPr>
          <w:i/>
          <w:color w:val="231F20"/>
        </w:rPr>
        <w:t>26</w:t>
      </w:r>
      <w:r>
        <w:rPr>
          <w:color w:val="231F20"/>
        </w:rPr>
        <w:t>(6),</w:t>
      </w:r>
      <w:r>
        <w:rPr>
          <w:color w:val="231F20"/>
          <w:spacing w:val="-10"/>
        </w:rPr>
        <w:t> </w:t>
      </w:r>
      <w:r>
        <w:rPr>
          <w:color w:val="231F20"/>
        </w:rPr>
        <w:t>731-735.</w:t>
      </w:r>
      <w:r>
        <w:rPr>
          <w:color w:val="3953A4"/>
          <w:spacing w:val="-9"/>
        </w:rPr>
        <w:t> </w:t>
      </w:r>
      <w:hyperlink r:id="rId122">
        <w:r>
          <w:rPr>
            <w:color w:val="3953A4"/>
            <w:u w:val="single" w:color="3953A4"/>
          </w:rPr>
          <w:t>https://doi.org/10.1080/09540121.20</w:t>
        </w:r>
      </w:hyperlink>
      <w:r>
        <w:rPr>
          <w:color w:val="3953A4"/>
          <w:spacing w:val="-52"/>
        </w:rPr>
        <w:t> </w:t>
      </w:r>
      <w:hyperlink r:id="rId122">
        <w:r>
          <w:rPr>
            <w:color w:val="3953A4"/>
            <w:u w:val="single" w:color="3953A4"/>
          </w:rPr>
          <w:t>13.855299</w:t>
        </w:r>
      </w:hyperlink>
    </w:p>
    <w:p>
      <w:pPr>
        <w:pStyle w:val="BodyText"/>
        <w:tabs>
          <w:tab w:pos="519" w:val="left" w:leader="none"/>
        </w:tabs>
        <w:spacing w:line="228" w:lineRule="auto" w:before="89"/>
        <w:ind w:left="520" w:right="876" w:hanging="360"/>
      </w:pPr>
      <w:r>
        <w:rPr>
          <w:color w:val="231F20"/>
          <w:vertAlign w:val="superscript"/>
        </w:rPr>
        <w:t>86</w:t>
      </w:r>
      <w:r>
        <w:rPr>
          <w:color w:val="231F20"/>
          <w:vertAlign w:val="baseline"/>
        </w:rPr>
        <w:tab/>
      </w:r>
      <w:r>
        <w:rPr>
          <w:color w:val="231F20"/>
          <w:spacing w:val="-1"/>
          <w:vertAlign w:val="baseline"/>
        </w:rPr>
        <w:t>Gallant, J., Hsue, </w:t>
      </w:r>
      <w:r>
        <w:rPr>
          <w:color w:val="231F20"/>
          <w:vertAlign w:val="baseline"/>
        </w:rPr>
        <w:t>P. Y., Shreay, S., &amp; Meyer, N.</w:t>
      </w:r>
      <w:r>
        <w:rPr>
          <w:color w:val="231F20"/>
          <w:spacing w:val="1"/>
          <w:vertAlign w:val="baseline"/>
        </w:rPr>
        <w:t> </w:t>
      </w:r>
      <w:r>
        <w:rPr>
          <w:color w:val="231F20"/>
          <w:vertAlign w:val="baseline"/>
        </w:rPr>
        <w:t>(2017). Comorbidities among US patients with</w:t>
      </w:r>
      <w:r>
        <w:rPr>
          <w:color w:val="231F20"/>
          <w:spacing w:val="1"/>
          <w:vertAlign w:val="baseline"/>
        </w:rPr>
        <w:t> </w:t>
      </w:r>
      <w:r>
        <w:rPr>
          <w:color w:val="231F20"/>
          <w:vertAlign w:val="baseline"/>
        </w:rPr>
        <w:t>prevalent HIV infection—a trend analysis. </w:t>
      </w:r>
      <w:r>
        <w:rPr>
          <w:i/>
          <w:color w:val="231F20"/>
          <w:vertAlign w:val="baseline"/>
        </w:rPr>
        <w:t>Journal</w:t>
      </w:r>
      <w:r>
        <w:rPr>
          <w:i/>
          <w:color w:val="231F20"/>
          <w:spacing w:val="-52"/>
          <w:vertAlign w:val="baseline"/>
        </w:rPr>
        <w:t> </w:t>
      </w:r>
      <w:r>
        <w:rPr>
          <w:i/>
          <w:color w:val="231F20"/>
          <w:vertAlign w:val="baseline"/>
        </w:rPr>
        <w:t>of Infectious Diseases, 216</w:t>
      </w:r>
      <w:r>
        <w:rPr>
          <w:color w:val="231F20"/>
          <w:vertAlign w:val="baseline"/>
        </w:rPr>
        <w:t>(12), 1525-1533. </w:t>
      </w:r>
      <w:hyperlink r:id="rId123">
        <w:r>
          <w:rPr>
            <w:color w:val="3953A4"/>
            <w:u w:val="single" w:color="3953A4"/>
            <w:vertAlign w:val="baseline"/>
          </w:rPr>
          <w:t>https://</w:t>
        </w:r>
      </w:hyperlink>
      <w:r>
        <w:rPr>
          <w:color w:val="3953A4"/>
          <w:spacing w:val="-53"/>
          <w:vertAlign w:val="baseline"/>
        </w:rPr>
        <w:t> </w:t>
      </w:r>
      <w:hyperlink r:id="rId123">
        <w:r>
          <w:rPr>
            <w:color w:val="3953A4"/>
            <w:u w:val="single" w:color="3953A4"/>
            <w:vertAlign w:val="baseline"/>
          </w:rPr>
          <w:t>doi.org/10.1093/infdis/jix518</w:t>
        </w:r>
      </w:hyperlink>
    </w:p>
    <w:p>
      <w:pPr>
        <w:pStyle w:val="BodyText"/>
        <w:tabs>
          <w:tab w:pos="519" w:val="left" w:leader="none"/>
        </w:tabs>
        <w:spacing w:line="246" w:lineRule="exact" w:before="78"/>
        <w:ind w:left="160"/>
      </w:pPr>
      <w:r>
        <w:rPr>
          <w:color w:val="231F20"/>
          <w:vertAlign w:val="superscript"/>
        </w:rPr>
        <w:t>87</w:t>
      </w:r>
      <w:r>
        <w:rPr>
          <w:color w:val="231F20"/>
          <w:vertAlign w:val="baseline"/>
        </w:rPr>
        <w:tab/>
      </w:r>
      <w:r>
        <w:rPr>
          <w:color w:val="231F20"/>
          <w:spacing w:val="-2"/>
          <w:vertAlign w:val="baseline"/>
        </w:rPr>
        <w:t>Altice,</w:t>
      </w:r>
      <w:r>
        <w:rPr>
          <w:color w:val="231F20"/>
          <w:spacing w:val="-1"/>
          <w:vertAlign w:val="baseline"/>
        </w:rPr>
        <w:t> </w:t>
      </w:r>
      <w:r>
        <w:rPr>
          <w:color w:val="231F20"/>
          <w:spacing w:val="-2"/>
          <w:vertAlign w:val="baseline"/>
        </w:rPr>
        <w:t>F.</w:t>
      </w:r>
      <w:r>
        <w:rPr>
          <w:color w:val="231F20"/>
          <w:vertAlign w:val="baseline"/>
        </w:rPr>
        <w:t> </w:t>
      </w:r>
      <w:r>
        <w:rPr>
          <w:color w:val="231F20"/>
          <w:spacing w:val="-2"/>
          <w:vertAlign w:val="baseline"/>
        </w:rPr>
        <w:t>L.,</w:t>
      </w:r>
      <w:r>
        <w:rPr>
          <w:color w:val="231F20"/>
          <w:vertAlign w:val="baseline"/>
        </w:rPr>
        <w:t> </w:t>
      </w:r>
      <w:r>
        <w:rPr>
          <w:color w:val="231F20"/>
          <w:spacing w:val="-2"/>
          <w:vertAlign w:val="baseline"/>
        </w:rPr>
        <w:t>Kamarulzaman,</w:t>
      </w:r>
      <w:r>
        <w:rPr>
          <w:color w:val="231F20"/>
          <w:spacing w:val="-13"/>
          <w:vertAlign w:val="baseline"/>
        </w:rPr>
        <w:t> </w:t>
      </w:r>
      <w:r>
        <w:rPr>
          <w:color w:val="231F20"/>
          <w:spacing w:val="-2"/>
          <w:vertAlign w:val="baseline"/>
        </w:rPr>
        <w:t>A.,</w:t>
      </w:r>
      <w:r>
        <w:rPr>
          <w:color w:val="231F20"/>
          <w:spacing w:val="-1"/>
          <w:vertAlign w:val="baseline"/>
        </w:rPr>
        <w:t> </w:t>
      </w:r>
      <w:r>
        <w:rPr>
          <w:color w:val="231F20"/>
          <w:spacing w:val="-2"/>
          <w:vertAlign w:val="baseline"/>
        </w:rPr>
        <w:t>Soriano,</w:t>
      </w:r>
      <w:r>
        <w:rPr>
          <w:color w:val="231F20"/>
          <w:spacing w:val="-5"/>
          <w:vertAlign w:val="baseline"/>
        </w:rPr>
        <w:t> </w:t>
      </w:r>
      <w:r>
        <w:rPr>
          <w:color w:val="231F20"/>
          <w:spacing w:val="-1"/>
          <w:vertAlign w:val="baseline"/>
        </w:rPr>
        <w:t>V.</w:t>
      </w:r>
    </w:p>
    <w:p>
      <w:pPr>
        <w:pStyle w:val="BodyText"/>
        <w:spacing w:line="228" w:lineRule="auto" w:before="4"/>
        <w:ind w:left="520" w:right="732"/>
      </w:pPr>
      <w:r>
        <w:rPr>
          <w:color w:val="231F20"/>
        </w:rPr>
        <w:t>V., Schechter, M., &amp; Friedland, G. H. (2010).</w:t>
      </w:r>
      <w:r>
        <w:rPr>
          <w:color w:val="231F20"/>
          <w:spacing w:val="1"/>
        </w:rPr>
        <w:t> </w:t>
      </w:r>
      <w:r>
        <w:rPr>
          <w:color w:val="231F20"/>
        </w:rPr>
        <w:t>Treatment</w:t>
      </w:r>
      <w:r>
        <w:rPr>
          <w:color w:val="231F20"/>
          <w:spacing w:val="-4"/>
        </w:rPr>
        <w:t> </w:t>
      </w:r>
      <w:r>
        <w:rPr>
          <w:color w:val="231F20"/>
        </w:rPr>
        <w:t>of</w:t>
      </w:r>
      <w:r>
        <w:rPr>
          <w:color w:val="231F20"/>
          <w:spacing w:val="-4"/>
        </w:rPr>
        <w:t> </w:t>
      </w:r>
      <w:r>
        <w:rPr>
          <w:color w:val="231F20"/>
        </w:rPr>
        <w:t>medical,</w:t>
      </w:r>
      <w:r>
        <w:rPr>
          <w:color w:val="231F20"/>
          <w:spacing w:val="-4"/>
        </w:rPr>
        <w:t> </w:t>
      </w:r>
      <w:r>
        <w:rPr>
          <w:color w:val="231F20"/>
        </w:rPr>
        <w:t>psychiatric,</w:t>
      </w:r>
      <w:r>
        <w:rPr>
          <w:color w:val="231F20"/>
          <w:spacing w:val="-4"/>
        </w:rPr>
        <w:t> </w:t>
      </w:r>
      <w:r>
        <w:rPr>
          <w:color w:val="231F20"/>
        </w:rPr>
        <w:t>and</w:t>
      </w:r>
      <w:r>
        <w:rPr>
          <w:color w:val="231F20"/>
          <w:spacing w:val="-4"/>
        </w:rPr>
        <w:t> </w:t>
      </w:r>
      <w:r>
        <w:rPr>
          <w:color w:val="231F20"/>
        </w:rPr>
        <w:t>substance-use</w:t>
      </w:r>
      <w:r>
        <w:rPr>
          <w:color w:val="231F20"/>
          <w:spacing w:val="-52"/>
        </w:rPr>
        <w:t> </w:t>
      </w:r>
      <w:r>
        <w:rPr>
          <w:color w:val="231F20"/>
        </w:rPr>
        <w:t>comorbidities in people infected with HIV who use</w:t>
      </w:r>
      <w:r>
        <w:rPr>
          <w:color w:val="231F20"/>
          <w:spacing w:val="1"/>
        </w:rPr>
        <w:t> </w:t>
      </w:r>
      <w:r>
        <w:rPr>
          <w:color w:val="231F20"/>
        </w:rPr>
        <w:t>drugs. </w:t>
      </w:r>
      <w:r>
        <w:rPr>
          <w:i/>
          <w:color w:val="231F20"/>
        </w:rPr>
        <w:t>The Lancet, 376</w:t>
      </w:r>
      <w:r>
        <w:rPr>
          <w:color w:val="231F20"/>
        </w:rPr>
        <w:t>(9738), 367-387.</w:t>
      </w:r>
      <w:r>
        <w:rPr>
          <w:color w:val="3953A4"/>
        </w:rPr>
        <w:t> </w:t>
      </w:r>
      <w:hyperlink r:id="rId124">
        <w:r>
          <w:rPr>
            <w:color w:val="3953A4"/>
            <w:u w:val="single" w:color="3953A4"/>
          </w:rPr>
          <w:t>https://doi.</w:t>
        </w:r>
      </w:hyperlink>
      <w:r>
        <w:rPr>
          <w:color w:val="3953A4"/>
          <w:spacing w:val="1"/>
        </w:rPr>
        <w:t> </w:t>
      </w:r>
      <w:hyperlink r:id="rId124">
        <w:r>
          <w:rPr>
            <w:color w:val="3953A4"/>
            <w:u w:val="single" w:color="3953A4"/>
          </w:rPr>
          <w:t>org/10.1016/s0140-6736(10)60829-x</w:t>
        </w:r>
      </w:hyperlink>
    </w:p>
    <w:p>
      <w:pPr>
        <w:tabs>
          <w:tab w:pos="519" w:val="left" w:leader="none"/>
        </w:tabs>
        <w:spacing w:line="228" w:lineRule="auto" w:before="88"/>
        <w:ind w:left="520" w:right="971" w:hanging="360"/>
        <w:jc w:val="left"/>
        <w:rPr>
          <w:sz w:val="22"/>
        </w:rPr>
      </w:pPr>
      <w:r>
        <w:rPr>
          <w:color w:val="231F20"/>
          <w:sz w:val="22"/>
          <w:vertAlign w:val="superscript"/>
        </w:rPr>
        <w:t>88</w:t>
      </w:r>
      <w:r>
        <w:rPr>
          <w:color w:val="231F20"/>
          <w:sz w:val="22"/>
          <w:vertAlign w:val="baseline"/>
        </w:rPr>
        <w:tab/>
      </w:r>
      <w:r>
        <w:rPr>
          <w:color w:val="231F20"/>
          <w:spacing w:val="-1"/>
          <w:sz w:val="22"/>
          <w:vertAlign w:val="baseline"/>
        </w:rPr>
        <w:t>National Institute </w:t>
      </w:r>
      <w:r>
        <w:rPr>
          <w:color w:val="231F20"/>
          <w:sz w:val="22"/>
          <w:vertAlign w:val="baseline"/>
        </w:rPr>
        <w:t>on Drug Abuse. (2020, April</w:t>
      </w:r>
      <w:r>
        <w:rPr>
          <w:color w:val="231F20"/>
          <w:spacing w:val="1"/>
          <w:sz w:val="22"/>
          <w:vertAlign w:val="baseline"/>
        </w:rPr>
        <w:t> </w:t>
      </w:r>
      <w:r>
        <w:rPr>
          <w:color w:val="231F20"/>
          <w:sz w:val="22"/>
          <w:vertAlign w:val="baseline"/>
        </w:rPr>
        <w:t>10). </w:t>
      </w:r>
      <w:r>
        <w:rPr>
          <w:i/>
          <w:color w:val="231F20"/>
          <w:sz w:val="22"/>
          <w:vertAlign w:val="baseline"/>
        </w:rPr>
        <w:t>Common comorbidities with substance use</w:t>
      </w:r>
      <w:r>
        <w:rPr>
          <w:i/>
          <w:color w:val="231F20"/>
          <w:spacing w:val="1"/>
          <w:sz w:val="22"/>
          <w:vertAlign w:val="baseline"/>
        </w:rPr>
        <w:t> </w:t>
      </w:r>
      <w:r>
        <w:rPr>
          <w:i/>
          <w:color w:val="231F20"/>
          <w:spacing w:val="-1"/>
          <w:sz w:val="22"/>
          <w:vertAlign w:val="baseline"/>
        </w:rPr>
        <w:t>disorders</w:t>
      </w:r>
      <w:r>
        <w:rPr>
          <w:i/>
          <w:color w:val="231F20"/>
          <w:spacing w:val="-12"/>
          <w:sz w:val="22"/>
          <w:vertAlign w:val="baseline"/>
        </w:rPr>
        <w:t> </w:t>
      </w:r>
      <w:r>
        <w:rPr>
          <w:i/>
          <w:color w:val="231F20"/>
          <w:spacing w:val="-1"/>
          <w:sz w:val="22"/>
          <w:vertAlign w:val="baseline"/>
        </w:rPr>
        <w:t>research</w:t>
      </w:r>
      <w:r>
        <w:rPr>
          <w:i/>
          <w:color w:val="231F20"/>
          <w:spacing w:val="-12"/>
          <w:sz w:val="22"/>
          <w:vertAlign w:val="baseline"/>
        </w:rPr>
        <w:t> </w:t>
      </w:r>
      <w:r>
        <w:rPr>
          <w:i/>
          <w:color w:val="231F20"/>
          <w:spacing w:val="-1"/>
          <w:sz w:val="22"/>
          <w:vertAlign w:val="baseline"/>
        </w:rPr>
        <w:t>report</w:t>
      </w:r>
      <w:r>
        <w:rPr>
          <w:color w:val="231F20"/>
          <w:spacing w:val="-1"/>
          <w:sz w:val="22"/>
          <w:vertAlign w:val="baseline"/>
        </w:rPr>
        <w:t>.</w:t>
      </w:r>
      <w:r>
        <w:rPr>
          <w:color w:val="231F20"/>
          <w:spacing w:val="-12"/>
          <w:sz w:val="22"/>
          <w:vertAlign w:val="baseline"/>
        </w:rPr>
        <w:t> </w:t>
      </w:r>
      <w:hyperlink r:id="rId12">
        <w:r>
          <w:rPr>
            <w:color w:val="3953A4"/>
            <w:sz w:val="22"/>
            <w:u w:val="single" w:color="3953A4"/>
            <w:vertAlign w:val="baseline"/>
          </w:rPr>
          <w:t>https://www.drugabuse.</w:t>
        </w:r>
      </w:hyperlink>
      <w:r>
        <w:rPr>
          <w:color w:val="3953A4"/>
          <w:spacing w:val="-52"/>
          <w:sz w:val="22"/>
          <w:vertAlign w:val="baseline"/>
        </w:rPr>
        <w:t> </w:t>
      </w:r>
      <w:hyperlink r:id="rId12">
        <w:r>
          <w:rPr>
            <w:color w:val="3953A4"/>
            <w:sz w:val="22"/>
            <w:u w:val="single" w:color="3953A4"/>
            <w:vertAlign w:val="baseline"/>
          </w:rPr>
          <w:t>gov/publications/research-reports/common-</w:t>
        </w:r>
      </w:hyperlink>
      <w:r>
        <w:rPr>
          <w:color w:val="3953A4"/>
          <w:spacing w:val="1"/>
          <w:sz w:val="22"/>
          <w:vertAlign w:val="baseline"/>
        </w:rPr>
        <w:t> </w:t>
      </w:r>
      <w:hyperlink r:id="rId12">
        <w:r>
          <w:rPr>
            <w:color w:val="3953A4"/>
            <w:sz w:val="22"/>
            <w:u w:val="single" w:color="3953A4"/>
            <w:vertAlign w:val="baseline"/>
          </w:rPr>
          <w:t>comorbidities-substance-use-disorders/part-3-</w:t>
        </w:r>
      </w:hyperlink>
      <w:r>
        <w:rPr>
          <w:color w:val="3953A4"/>
          <w:spacing w:val="1"/>
          <w:sz w:val="22"/>
          <w:vertAlign w:val="baseline"/>
        </w:rPr>
        <w:t> </w:t>
      </w:r>
      <w:hyperlink r:id="rId12">
        <w:r>
          <w:rPr>
            <w:color w:val="3953A4"/>
            <w:sz w:val="22"/>
            <w:u w:val="single" w:color="3953A4"/>
            <w:vertAlign w:val="baseline"/>
          </w:rPr>
          <w:t>connection-between-substance-use-disorders-hiv</w:t>
        </w:r>
      </w:hyperlink>
    </w:p>
    <w:p>
      <w:pPr>
        <w:tabs>
          <w:tab w:pos="519" w:val="left" w:leader="none"/>
        </w:tabs>
        <w:spacing w:line="228" w:lineRule="auto" w:before="88"/>
        <w:ind w:left="520" w:right="971" w:hanging="360"/>
        <w:jc w:val="left"/>
        <w:rPr>
          <w:sz w:val="22"/>
        </w:rPr>
      </w:pPr>
      <w:r>
        <w:rPr>
          <w:color w:val="231F20"/>
          <w:sz w:val="22"/>
          <w:vertAlign w:val="superscript"/>
        </w:rPr>
        <w:t>89</w:t>
      </w:r>
      <w:r>
        <w:rPr>
          <w:color w:val="231F20"/>
          <w:sz w:val="22"/>
          <w:vertAlign w:val="baseline"/>
        </w:rPr>
        <w:tab/>
      </w:r>
      <w:r>
        <w:rPr>
          <w:color w:val="231F20"/>
          <w:spacing w:val="-2"/>
          <w:sz w:val="22"/>
          <w:vertAlign w:val="baseline"/>
        </w:rPr>
        <w:t>Krel, R., &amp; Thomas, </w:t>
      </w:r>
      <w:r>
        <w:rPr>
          <w:color w:val="231F20"/>
          <w:spacing w:val="-1"/>
          <w:sz w:val="22"/>
          <w:vertAlign w:val="baseline"/>
        </w:rPr>
        <w:t>F. P. (2018, April 12). </w:t>
      </w:r>
      <w:r>
        <w:rPr>
          <w:i/>
          <w:color w:val="231F20"/>
          <w:spacing w:val="-1"/>
          <w:sz w:val="22"/>
          <w:vertAlign w:val="baseline"/>
        </w:rPr>
        <w:t>How is</w:t>
      </w:r>
      <w:r>
        <w:rPr>
          <w:i/>
          <w:color w:val="231F20"/>
          <w:spacing w:val="-52"/>
          <w:sz w:val="22"/>
          <w:vertAlign w:val="baseline"/>
        </w:rPr>
        <w:t> </w:t>
      </w:r>
      <w:r>
        <w:rPr>
          <w:i/>
          <w:color w:val="231F20"/>
          <w:sz w:val="22"/>
          <w:vertAlign w:val="baseline"/>
        </w:rPr>
        <w:t>HIV-associated neurocognitive disorder (HAND)</w:t>
      </w:r>
      <w:r>
        <w:rPr>
          <w:i/>
          <w:color w:val="231F20"/>
          <w:spacing w:val="1"/>
          <w:sz w:val="22"/>
          <w:vertAlign w:val="baseline"/>
        </w:rPr>
        <w:t> </w:t>
      </w:r>
      <w:r>
        <w:rPr>
          <w:i/>
          <w:color w:val="231F20"/>
          <w:sz w:val="22"/>
          <w:vertAlign w:val="baseline"/>
        </w:rPr>
        <w:t>diagnosed and treated? </w:t>
      </w:r>
      <w:r>
        <w:rPr>
          <w:color w:val="231F20"/>
          <w:sz w:val="22"/>
          <w:vertAlign w:val="baseline"/>
        </w:rPr>
        <w:t>Medscape. </w:t>
      </w:r>
      <w:hyperlink r:id="rId125">
        <w:r>
          <w:rPr>
            <w:color w:val="3953A4"/>
            <w:sz w:val="22"/>
            <w:u w:val="single" w:color="3953A4"/>
            <w:vertAlign w:val="baseline"/>
          </w:rPr>
          <w:t>https://www.</w:t>
        </w:r>
      </w:hyperlink>
      <w:r>
        <w:rPr>
          <w:color w:val="3953A4"/>
          <w:spacing w:val="1"/>
          <w:sz w:val="22"/>
          <w:vertAlign w:val="baseline"/>
        </w:rPr>
        <w:t> </w:t>
      </w:r>
      <w:hyperlink r:id="rId125">
        <w:r>
          <w:rPr>
            <w:color w:val="3953A4"/>
            <w:sz w:val="22"/>
            <w:u w:val="single" w:color="3953A4"/>
            <w:vertAlign w:val="baseline"/>
          </w:rPr>
          <w:t>medscape.com/answers/1167008-171239/how-</w:t>
        </w:r>
      </w:hyperlink>
    </w:p>
    <w:p>
      <w:pPr>
        <w:pStyle w:val="BodyText"/>
        <w:spacing w:line="228" w:lineRule="auto"/>
        <w:ind w:left="520" w:right="1161"/>
      </w:pPr>
      <w:hyperlink r:id="rId125">
        <w:r>
          <w:rPr>
            <w:color w:val="3953A4"/>
            <w:spacing w:val="-1"/>
            <w:u w:val="single" w:color="3953A4"/>
          </w:rPr>
          <w:t>is-hiv-associated-neurocognitive-disorder-hand-</w:t>
        </w:r>
        <w:r>
          <w:rPr>
            <w:color w:val="3953A4"/>
            <w:spacing w:val="-52"/>
          </w:rPr>
          <w:t> </w:t>
        </w:r>
        <w:r>
          <w:rPr>
            <w:color w:val="3953A4"/>
            <w:u w:val="single" w:color="3953A4"/>
          </w:rPr>
          <w:t>diagnosed-and-treated</w:t>
        </w:r>
      </w:hyperlink>
    </w:p>
    <w:p>
      <w:pPr>
        <w:pStyle w:val="BodyText"/>
        <w:tabs>
          <w:tab w:pos="519" w:val="left" w:leader="none"/>
        </w:tabs>
        <w:spacing w:line="228" w:lineRule="auto" w:before="88"/>
        <w:ind w:left="519" w:right="756" w:hanging="360"/>
      </w:pPr>
      <w:r>
        <w:rPr>
          <w:color w:val="231F20"/>
          <w:vertAlign w:val="superscript"/>
        </w:rPr>
        <w:t>90</w:t>
      </w:r>
      <w:r>
        <w:rPr>
          <w:color w:val="231F20"/>
          <w:vertAlign w:val="baseline"/>
        </w:rPr>
        <w:tab/>
      </w:r>
      <w:r>
        <w:rPr>
          <w:color w:val="231F20"/>
          <w:spacing w:val="-2"/>
          <w:vertAlign w:val="baseline"/>
        </w:rPr>
        <w:t>Grov,</w:t>
      </w:r>
      <w:r>
        <w:rPr>
          <w:color w:val="231F20"/>
          <w:spacing w:val="1"/>
          <w:vertAlign w:val="baseline"/>
        </w:rPr>
        <w:t> </w:t>
      </w:r>
      <w:r>
        <w:rPr>
          <w:color w:val="231F20"/>
          <w:spacing w:val="-2"/>
          <w:vertAlign w:val="baseline"/>
        </w:rPr>
        <w:t>C.,</w:t>
      </w:r>
      <w:r>
        <w:rPr>
          <w:color w:val="231F20"/>
          <w:spacing w:val="1"/>
          <w:vertAlign w:val="baseline"/>
        </w:rPr>
        <w:t> </w:t>
      </w:r>
      <w:r>
        <w:rPr>
          <w:color w:val="231F20"/>
          <w:spacing w:val="-2"/>
          <w:vertAlign w:val="baseline"/>
        </w:rPr>
        <w:t>Golub,</w:t>
      </w:r>
      <w:r>
        <w:rPr>
          <w:color w:val="231F20"/>
          <w:vertAlign w:val="baseline"/>
        </w:rPr>
        <w:t> </w:t>
      </w:r>
      <w:r>
        <w:rPr>
          <w:color w:val="231F20"/>
          <w:spacing w:val="-1"/>
          <w:vertAlign w:val="baseline"/>
        </w:rPr>
        <w:t>S.</w:t>
      </w:r>
      <w:r>
        <w:rPr>
          <w:color w:val="231F20"/>
          <w:spacing w:val="-12"/>
          <w:vertAlign w:val="baseline"/>
        </w:rPr>
        <w:t> </w:t>
      </w:r>
      <w:r>
        <w:rPr>
          <w:color w:val="231F20"/>
          <w:spacing w:val="-1"/>
          <w:vertAlign w:val="baseline"/>
        </w:rPr>
        <w:t>A.,</w:t>
      </w:r>
      <w:r>
        <w:rPr>
          <w:color w:val="231F20"/>
          <w:vertAlign w:val="baseline"/>
        </w:rPr>
        <w:t> </w:t>
      </w:r>
      <w:r>
        <w:rPr>
          <w:color w:val="231F20"/>
          <w:spacing w:val="-1"/>
          <w:vertAlign w:val="baseline"/>
        </w:rPr>
        <w:t>Parsons,</w:t>
      </w:r>
      <w:r>
        <w:rPr>
          <w:color w:val="231F20"/>
          <w:vertAlign w:val="baseline"/>
        </w:rPr>
        <w:t> </w:t>
      </w:r>
      <w:r>
        <w:rPr>
          <w:color w:val="231F20"/>
          <w:spacing w:val="-1"/>
          <w:vertAlign w:val="baseline"/>
        </w:rPr>
        <w:t>J.</w:t>
      </w:r>
      <w:r>
        <w:rPr>
          <w:color w:val="231F20"/>
          <w:spacing w:val="-2"/>
          <w:vertAlign w:val="baseline"/>
        </w:rPr>
        <w:t> </w:t>
      </w:r>
      <w:r>
        <w:rPr>
          <w:color w:val="231F20"/>
          <w:spacing w:val="-1"/>
          <w:vertAlign w:val="baseline"/>
        </w:rPr>
        <w:t>T.,</w:t>
      </w:r>
      <w:r>
        <w:rPr>
          <w:color w:val="231F20"/>
          <w:spacing w:val="1"/>
          <w:vertAlign w:val="baseline"/>
        </w:rPr>
        <w:t> </w:t>
      </w:r>
      <w:r>
        <w:rPr>
          <w:color w:val="231F20"/>
          <w:spacing w:val="-1"/>
          <w:vertAlign w:val="baseline"/>
        </w:rPr>
        <w:t>Brennan,</w:t>
      </w:r>
      <w:r>
        <w:rPr>
          <w:color w:val="231F20"/>
          <w:spacing w:val="1"/>
          <w:vertAlign w:val="baseline"/>
        </w:rPr>
        <w:t> </w:t>
      </w:r>
      <w:r>
        <w:rPr>
          <w:color w:val="231F20"/>
          <w:spacing w:val="-1"/>
          <w:vertAlign w:val="baseline"/>
        </w:rPr>
        <w:t>M.,</w:t>
      </w:r>
      <w:r>
        <w:rPr>
          <w:color w:val="231F20"/>
          <w:vertAlign w:val="baseline"/>
        </w:rPr>
        <w:t> &amp;</w:t>
      </w:r>
      <w:r>
        <w:rPr>
          <w:color w:val="231F20"/>
          <w:spacing w:val="-5"/>
          <w:vertAlign w:val="baseline"/>
        </w:rPr>
        <w:t> </w:t>
      </w:r>
      <w:r>
        <w:rPr>
          <w:color w:val="231F20"/>
          <w:vertAlign w:val="baseline"/>
        </w:rPr>
        <w:t>Karpiak,</w:t>
      </w:r>
      <w:r>
        <w:rPr>
          <w:color w:val="231F20"/>
          <w:spacing w:val="-5"/>
          <w:vertAlign w:val="baseline"/>
        </w:rPr>
        <w:t> </w:t>
      </w:r>
      <w:r>
        <w:rPr>
          <w:color w:val="231F20"/>
          <w:vertAlign w:val="baseline"/>
        </w:rPr>
        <w:t>S.</w:t>
      </w:r>
      <w:r>
        <w:rPr>
          <w:color w:val="231F20"/>
          <w:spacing w:val="-5"/>
          <w:vertAlign w:val="baseline"/>
        </w:rPr>
        <w:t> </w:t>
      </w:r>
      <w:r>
        <w:rPr>
          <w:color w:val="231F20"/>
          <w:vertAlign w:val="baseline"/>
        </w:rPr>
        <w:t>E.</w:t>
      </w:r>
      <w:r>
        <w:rPr>
          <w:color w:val="231F20"/>
          <w:spacing w:val="-4"/>
          <w:vertAlign w:val="baseline"/>
        </w:rPr>
        <w:t> </w:t>
      </w:r>
      <w:r>
        <w:rPr>
          <w:color w:val="231F20"/>
          <w:vertAlign w:val="baseline"/>
        </w:rPr>
        <w:t>(2010).</w:t>
      </w:r>
      <w:r>
        <w:rPr>
          <w:color w:val="231F20"/>
          <w:spacing w:val="-5"/>
          <w:vertAlign w:val="baseline"/>
        </w:rPr>
        <w:t> </w:t>
      </w:r>
      <w:r>
        <w:rPr>
          <w:color w:val="231F20"/>
          <w:vertAlign w:val="baseline"/>
        </w:rPr>
        <w:t>Loneliness</w:t>
      </w:r>
      <w:r>
        <w:rPr>
          <w:color w:val="231F20"/>
          <w:spacing w:val="-4"/>
          <w:vertAlign w:val="baseline"/>
        </w:rPr>
        <w:t> </w:t>
      </w:r>
      <w:r>
        <w:rPr>
          <w:color w:val="231F20"/>
          <w:vertAlign w:val="baseline"/>
        </w:rPr>
        <w:t>and</w:t>
      </w:r>
      <w:r>
        <w:rPr>
          <w:color w:val="231F20"/>
          <w:spacing w:val="-4"/>
          <w:vertAlign w:val="baseline"/>
        </w:rPr>
        <w:t> </w:t>
      </w:r>
      <w:r>
        <w:rPr>
          <w:color w:val="231F20"/>
          <w:vertAlign w:val="baseline"/>
        </w:rPr>
        <w:t>HIV-related</w:t>
      </w:r>
      <w:r>
        <w:rPr>
          <w:color w:val="231F20"/>
          <w:spacing w:val="-52"/>
          <w:vertAlign w:val="baseline"/>
        </w:rPr>
        <w:t> </w:t>
      </w:r>
      <w:r>
        <w:rPr>
          <w:color w:val="231F20"/>
          <w:vertAlign w:val="baseline"/>
        </w:rPr>
        <w:t>stigma</w:t>
      </w:r>
      <w:r>
        <w:rPr>
          <w:color w:val="231F20"/>
          <w:spacing w:val="-7"/>
          <w:vertAlign w:val="baseline"/>
        </w:rPr>
        <w:t> </w:t>
      </w:r>
      <w:r>
        <w:rPr>
          <w:color w:val="231F20"/>
          <w:vertAlign w:val="baseline"/>
        </w:rPr>
        <w:t>explain</w:t>
      </w:r>
      <w:r>
        <w:rPr>
          <w:color w:val="231F20"/>
          <w:spacing w:val="-5"/>
          <w:vertAlign w:val="baseline"/>
        </w:rPr>
        <w:t> </w:t>
      </w:r>
      <w:r>
        <w:rPr>
          <w:color w:val="231F20"/>
          <w:vertAlign w:val="baseline"/>
        </w:rPr>
        <w:t>depression</w:t>
      </w:r>
      <w:r>
        <w:rPr>
          <w:color w:val="231F20"/>
          <w:spacing w:val="-6"/>
          <w:vertAlign w:val="baseline"/>
        </w:rPr>
        <w:t> </w:t>
      </w:r>
      <w:r>
        <w:rPr>
          <w:color w:val="231F20"/>
          <w:vertAlign w:val="baseline"/>
        </w:rPr>
        <w:t>among</w:t>
      </w:r>
      <w:r>
        <w:rPr>
          <w:color w:val="231F20"/>
          <w:spacing w:val="-5"/>
          <w:vertAlign w:val="baseline"/>
        </w:rPr>
        <w:t> </w:t>
      </w:r>
      <w:r>
        <w:rPr>
          <w:color w:val="231F20"/>
          <w:vertAlign w:val="baseline"/>
        </w:rPr>
        <w:t>older</w:t>
      </w:r>
      <w:r>
        <w:rPr>
          <w:color w:val="231F20"/>
          <w:spacing w:val="-5"/>
          <w:vertAlign w:val="baseline"/>
        </w:rPr>
        <w:t> </w:t>
      </w:r>
      <w:r>
        <w:rPr>
          <w:color w:val="231F20"/>
          <w:vertAlign w:val="baseline"/>
        </w:rPr>
        <w:t>HIV-positive</w:t>
      </w:r>
      <w:r>
        <w:rPr>
          <w:color w:val="231F20"/>
          <w:spacing w:val="-52"/>
          <w:vertAlign w:val="baseline"/>
        </w:rPr>
        <w:t> </w:t>
      </w:r>
      <w:r>
        <w:rPr>
          <w:color w:val="231F20"/>
          <w:vertAlign w:val="baseline"/>
        </w:rPr>
        <w:t>adults. </w:t>
      </w:r>
      <w:r>
        <w:rPr>
          <w:i/>
          <w:color w:val="231F20"/>
          <w:vertAlign w:val="baseline"/>
        </w:rPr>
        <w:t>AIDS Care, 22</w:t>
      </w:r>
      <w:r>
        <w:rPr>
          <w:color w:val="231F20"/>
          <w:vertAlign w:val="baseline"/>
        </w:rPr>
        <w:t>(5), 630-639. </w:t>
      </w:r>
      <w:hyperlink r:id="rId126">
        <w:r>
          <w:rPr>
            <w:color w:val="3953A4"/>
            <w:u w:val="single" w:color="3953A4"/>
            <w:vertAlign w:val="baseline"/>
          </w:rPr>
          <w:t>https://doi.</w:t>
        </w:r>
      </w:hyperlink>
      <w:r>
        <w:rPr>
          <w:color w:val="3953A4"/>
          <w:spacing w:val="1"/>
          <w:vertAlign w:val="baseline"/>
        </w:rPr>
        <w:t> </w:t>
      </w:r>
      <w:hyperlink r:id="rId126">
        <w:r>
          <w:rPr>
            <w:color w:val="3953A4"/>
            <w:u w:val="single" w:color="3953A4"/>
            <w:vertAlign w:val="baseline"/>
          </w:rPr>
          <w:t>org/10.1080/09540120903280901</w:t>
        </w:r>
      </w:hyperlink>
    </w:p>
    <w:p>
      <w:pPr>
        <w:pStyle w:val="BodyText"/>
        <w:tabs>
          <w:tab w:pos="519" w:val="left" w:leader="none"/>
        </w:tabs>
        <w:spacing w:line="228" w:lineRule="auto" w:before="89"/>
        <w:ind w:left="519" w:right="803" w:hanging="360"/>
      </w:pPr>
      <w:r>
        <w:rPr>
          <w:color w:val="231F20"/>
          <w:vertAlign w:val="superscript"/>
        </w:rPr>
        <w:t>91</w:t>
      </w:r>
      <w:r>
        <w:rPr>
          <w:color w:val="231F20"/>
          <w:vertAlign w:val="baseline"/>
        </w:rPr>
        <w:tab/>
      </w:r>
      <w:r>
        <w:rPr>
          <w:color w:val="010202"/>
          <w:vertAlign w:val="baseline"/>
        </w:rPr>
        <w:t>Centers for Disease Control and Prevention. (2017,</w:t>
      </w:r>
      <w:r>
        <w:rPr>
          <w:color w:val="010202"/>
          <w:spacing w:val="1"/>
          <w:vertAlign w:val="baseline"/>
        </w:rPr>
        <w:t> </w:t>
      </w:r>
      <w:r>
        <w:rPr>
          <w:color w:val="010202"/>
          <w:vertAlign w:val="baseline"/>
        </w:rPr>
        <w:t>June).</w:t>
      </w:r>
      <w:r>
        <w:rPr>
          <w:color w:val="010202"/>
          <w:spacing w:val="-6"/>
          <w:vertAlign w:val="baseline"/>
        </w:rPr>
        <w:t> </w:t>
      </w:r>
      <w:r>
        <w:rPr>
          <w:color w:val="010202"/>
          <w:vertAlign w:val="baseline"/>
        </w:rPr>
        <w:t>HIV</w:t>
      </w:r>
      <w:r>
        <w:rPr>
          <w:color w:val="010202"/>
          <w:spacing w:val="-8"/>
          <w:vertAlign w:val="baseline"/>
        </w:rPr>
        <w:t> </w:t>
      </w:r>
      <w:r>
        <w:rPr>
          <w:color w:val="010202"/>
          <w:vertAlign w:val="baseline"/>
        </w:rPr>
        <w:t>and</w:t>
      </w:r>
      <w:r>
        <w:rPr>
          <w:color w:val="010202"/>
          <w:spacing w:val="-4"/>
          <w:vertAlign w:val="baseline"/>
        </w:rPr>
        <w:t> </w:t>
      </w:r>
      <w:r>
        <w:rPr>
          <w:color w:val="010202"/>
          <w:vertAlign w:val="baseline"/>
        </w:rPr>
        <w:t>viral</w:t>
      </w:r>
      <w:r>
        <w:rPr>
          <w:color w:val="010202"/>
          <w:spacing w:val="-4"/>
          <w:vertAlign w:val="baseline"/>
        </w:rPr>
        <w:t> </w:t>
      </w:r>
      <w:r>
        <w:rPr>
          <w:color w:val="010202"/>
          <w:vertAlign w:val="baseline"/>
        </w:rPr>
        <w:t>hepatitis.</w:t>
      </w:r>
      <w:r>
        <w:rPr>
          <w:color w:val="010202"/>
          <w:spacing w:val="-5"/>
          <w:vertAlign w:val="baseline"/>
        </w:rPr>
        <w:t> </w:t>
      </w:r>
      <w:hyperlink r:id="rId59">
        <w:r>
          <w:rPr>
            <w:color w:val="3953A4"/>
            <w:u w:val="single" w:color="3953A4"/>
            <w:vertAlign w:val="baseline"/>
          </w:rPr>
          <w:t>https://www.cdc.gov/</w:t>
        </w:r>
      </w:hyperlink>
      <w:r>
        <w:rPr>
          <w:color w:val="3953A4"/>
          <w:spacing w:val="-52"/>
          <w:vertAlign w:val="baseline"/>
        </w:rPr>
        <w:t> </w:t>
      </w:r>
      <w:hyperlink r:id="rId59">
        <w:r>
          <w:rPr>
            <w:color w:val="3953A4"/>
            <w:u w:val="single" w:color="3953A4"/>
            <w:vertAlign w:val="baseline"/>
          </w:rPr>
          <w:t>hepatitis/populations/hiv.htm</w:t>
        </w:r>
      </w:hyperlink>
    </w:p>
    <w:p>
      <w:pPr>
        <w:pStyle w:val="BodyText"/>
        <w:tabs>
          <w:tab w:pos="519" w:val="left" w:leader="none"/>
        </w:tabs>
        <w:spacing w:line="228" w:lineRule="auto" w:before="89"/>
        <w:ind w:left="519" w:right="980" w:hanging="360"/>
      </w:pPr>
      <w:r>
        <w:rPr>
          <w:color w:val="231F20"/>
          <w:vertAlign w:val="superscript"/>
        </w:rPr>
        <w:t>92</w:t>
      </w:r>
      <w:r>
        <w:rPr>
          <w:color w:val="231F20"/>
          <w:vertAlign w:val="baseline"/>
        </w:rPr>
        <w:tab/>
        <w:t>Mayo Clinic. (2020, March 20). Hepatitis C:</w:t>
      </w:r>
      <w:r>
        <w:rPr>
          <w:color w:val="231F20"/>
          <w:spacing w:val="1"/>
          <w:vertAlign w:val="baseline"/>
        </w:rPr>
        <w:t> </w:t>
      </w:r>
      <w:r>
        <w:rPr>
          <w:color w:val="231F20"/>
          <w:vertAlign w:val="baseline"/>
        </w:rPr>
        <w:t>Symptoms</w:t>
      </w:r>
      <w:r>
        <w:rPr>
          <w:color w:val="231F20"/>
          <w:spacing w:val="-10"/>
          <w:vertAlign w:val="baseline"/>
        </w:rPr>
        <w:t> </w:t>
      </w:r>
      <w:r>
        <w:rPr>
          <w:color w:val="231F20"/>
          <w:vertAlign w:val="baseline"/>
        </w:rPr>
        <w:t>&amp;</w:t>
      </w:r>
      <w:r>
        <w:rPr>
          <w:color w:val="231F20"/>
          <w:spacing w:val="-8"/>
          <w:vertAlign w:val="baseline"/>
        </w:rPr>
        <w:t> </w:t>
      </w:r>
      <w:r>
        <w:rPr>
          <w:color w:val="231F20"/>
          <w:vertAlign w:val="baseline"/>
        </w:rPr>
        <w:t>causes.</w:t>
      </w:r>
      <w:r>
        <w:rPr>
          <w:color w:val="231F20"/>
          <w:spacing w:val="-9"/>
          <w:vertAlign w:val="baseline"/>
        </w:rPr>
        <w:t> </w:t>
      </w:r>
      <w:hyperlink r:id="rId127">
        <w:r>
          <w:rPr>
            <w:color w:val="3953A4"/>
            <w:u w:val="single" w:color="3953A4"/>
            <w:vertAlign w:val="baseline"/>
          </w:rPr>
          <w:t>https://www.mayoclinic.org/</w:t>
        </w:r>
      </w:hyperlink>
    </w:p>
    <w:p>
      <w:pPr>
        <w:spacing w:after="0" w:line="228" w:lineRule="auto"/>
        <w:sectPr>
          <w:type w:val="continuous"/>
          <w:pgSz w:w="12240" w:h="15840"/>
          <w:pgMar w:header="0" w:footer="666" w:top="1500" w:bottom="0" w:left="560" w:right="0"/>
          <w:cols w:num="2" w:equalWidth="0">
            <w:col w:w="5236" w:space="524"/>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BodyText"/>
        <w:spacing w:line="228" w:lineRule="auto" w:before="101"/>
        <w:ind w:left="520" w:right="347"/>
      </w:pPr>
      <w:hyperlink r:id="rId127">
        <w:r>
          <w:rPr>
            <w:color w:val="3953A4"/>
            <w:u w:val="single" w:color="3953A4"/>
          </w:rPr>
          <w:t>diseases-conditions/hepatitis-c/symptoms-causes/</w:t>
        </w:r>
      </w:hyperlink>
      <w:r>
        <w:rPr>
          <w:color w:val="3953A4"/>
          <w:spacing w:val="-53"/>
        </w:rPr>
        <w:t> </w:t>
      </w:r>
      <w:hyperlink r:id="rId127">
        <w:r>
          <w:rPr>
            <w:color w:val="3953A4"/>
            <w:u w:val="single" w:color="3953A4"/>
          </w:rPr>
          <w:t>syc-20354278</w:t>
        </w:r>
      </w:hyperlink>
    </w:p>
    <w:p>
      <w:pPr>
        <w:pStyle w:val="BodyText"/>
        <w:tabs>
          <w:tab w:pos="519" w:val="left" w:leader="none"/>
        </w:tabs>
        <w:spacing w:line="246" w:lineRule="exact" w:before="79"/>
        <w:ind w:left="160"/>
      </w:pPr>
      <w:r>
        <w:rPr>
          <w:color w:val="010202"/>
          <w:vertAlign w:val="superscript"/>
        </w:rPr>
        <w:t>93</w:t>
      </w:r>
      <w:r>
        <w:rPr>
          <w:color w:val="010202"/>
          <w:vertAlign w:val="baseline"/>
        </w:rPr>
        <w:tab/>
      </w:r>
      <w:r>
        <w:rPr>
          <w:color w:val="010202"/>
          <w:spacing w:val="-1"/>
          <w:vertAlign w:val="baseline"/>
        </w:rPr>
        <w:t>Panel</w:t>
      </w:r>
      <w:r>
        <w:rPr>
          <w:color w:val="010202"/>
          <w:spacing w:val="-2"/>
          <w:vertAlign w:val="baseline"/>
        </w:rPr>
        <w:t> </w:t>
      </w:r>
      <w:r>
        <w:rPr>
          <w:color w:val="010202"/>
          <w:spacing w:val="-1"/>
          <w:vertAlign w:val="baseline"/>
        </w:rPr>
        <w:t>on</w:t>
      </w:r>
      <w:r>
        <w:rPr>
          <w:color w:val="010202"/>
          <w:vertAlign w:val="baseline"/>
        </w:rPr>
        <w:t> </w:t>
      </w:r>
      <w:r>
        <w:rPr>
          <w:color w:val="010202"/>
          <w:spacing w:val="-1"/>
          <w:vertAlign w:val="baseline"/>
        </w:rPr>
        <w:t>Opportunistic </w:t>
      </w:r>
      <w:r>
        <w:rPr>
          <w:color w:val="010202"/>
          <w:vertAlign w:val="baseline"/>
        </w:rPr>
        <w:t>Infections</w:t>
      </w:r>
      <w:r>
        <w:rPr>
          <w:color w:val="010202"/>
          <w:spacing w:val="-1"/>
          <w:vertAlign w:val="baseline"/>
        </w:rPr>
        <w:t> </w:t>
      </w:r>
      <w:r>
        <w:rPr>
          <w:color w:val="010202"/>
          <w:vertAlign w:val="baseline"/>
        </w:rPr>
        <w:t>in</w:t>
      </w:r>
      <w:r>
        <w:rPr>
          <w:color w:val="010202"/>
          <w:spacing w:val="-13"/>
          <w:vertAlign w:val="baseline"/>
        </w:rPr>
        <w:t> </w:t>
      </w:r>
      <w:r>
        <w:rPr>
          <w:color w:val="010202"/>
          <w:vertAlign w:val="baseline"/>
        </w:rPr>
        <w:t>Adults</w:t>
      </w:r>
    </w:p>
    <w:p>
      <w:pPr>
        <w:pStyle w:val="BodyText"/>
        <w:spacing w:line="228" w:lineRule="auto" w:before="4"/>
        <w:ind w:left="519" w:right="361"/>
      </w:pPr>
      <w:r>
        <w:rPr>
          <w:color w:val="010202"/>
          <w:spacing w:val="-2"/>
        </w:rPr>
        <w:t>and Adolescents </w:t>
      </w:r>
      <w:r>
        <w:rPr>
          <w:color w:val="010202"/>
          <w:spacing w:val="-1"/>
        </w:rPr>
        <w:t>with HIV. (2020, January 10).</w:t>
      </w:r>
      <w:r>
        <w:rPr>
          <w:color w:val="010202"/>
        </w:rPr>
        <w:t> Guidelines for the prevention and treatment of</w:t>
      </w:r>
      <w:r>
        <w:rPr>
          <w:color w:val="010202"/>
          <w:spacing w:val="1"/>
        </w:rPr>
        <w:t> </w:t>
      </w:r>
      <w:r>
        <w:rPr>
          <w:color w:val="010202"/>
        </w:rPr>
        <w:t>opportunistic infections in adults and adolescents</w:t>
      </w:r>
      <w:r>
        <w:rPr>
          <w:color w:val="010202"/>
          <w:spacing w:val="-52"/>
        </w:rPr>
        <w:t> </w:t>
      </w:r>
      <w:r>
        <w:rPr>
          <w:color w:val="010202"/>
        </w:rPr>
        <w:t>with HIV: Recommendations from the Centers</w:t>
      </w:r>
      <w:r>
        <w:rPr>
          <w:color w:val="010202"/>
          <w:spacing w:val="1"/>
        </w:rPr>
        <w:t> </w:t>
      </w:r>
      <w:r>
        <w:rPr>
          <w:color w:val="010202"/>
        </w:rPr>
        <w:t>for Disease Control and Prevention, the National</w:t>
      </w:r>
      <w:r>
        <w:rPr>
          <w:color w:val="010202"/>
          <w:spacing w:val="-52"/>
        </w:rPr>
        <w:t> </w:t>
      </w:r>
      <w:r>
        <w:rPr>
          <w:color w:val="010202"/>
        </w:rPr>
        <w:t>Institutes of Health, and the HIV Medicine</w:t>
      </w:r>
      <w:r>
        <w:rPr>
          <w:color w:val="010202"/>
          <w:spacing w:val="1"/>
        </w:rPr>
        <w:t> </w:t>
      </w:r>
      <w:r>
        <w:rPr>
          <w:color w:val="010202"/>
        </w:rPr>
        <w:t>Association of the Infectious Diseases Society of</w:t>
      </w:r>
      <w:r>
        <w:rPr>
          <w:color w:val="010202"/>
          <w:spacing w:val="-52"/>
        </w:rPr>
        <w:t> </w:t>
      </w:r>
      <w:r>
        <w:rPr>
          <w:color w:val="010202"/>
        </w:rPr>
        <w:t>America. U.S. Department of Health and Human</w:t>
      </w:r>
      <w:r>
        <w:rPr>
          <w:color w:val="010202"/>
          <w:spacing w:val="-52"/>
        </w:rPr>
        <w:t> </w:t>
      </w:r>
      <w:r>
        <w:rPr>
          <w:color w:val="010202"/>
        </w:rPr>
        <w:t>Services.</w:t>
      </w:r>
      <w:r>
        <w:rPr>
          <w:color w:val="010202"/>
          <w:spacing w:val="-7"/>
        </w:rPr>
        <w:t> </w:t>
      </w:r>
      <w:hyperlink r:id="rId128">
        <w:r>
          <w:rPr>
            <w:color w:val="3953A4"/>
            <w:u w:val="single" w:color="3953A4"/>
          </w:rPr>
          <w:t>https://aidsetc.org/resource/guidelines-</w:t>
        </w:r>
      </w:hyperlink>
    </w:p>
    <w:p>
      <w:pPr>
        <w:pStyle w:val="BodyText"/>
        <w:spacing w:line="228" w:lineRule="auto"/>
        <w:ind w:left="519" w:right="225"/>
      </w:pPr>
      <w:hyperlink r:id="rId128">
        <w:r>
          <w:rPr>
            <w:color w:val="3953A4"/>
            <w:u w:val="single" w:color="3953A4"/>
          </w:rPr>
          <w:t>prevention-and-treatment-opportunistic-infections-</w:t>
        </w:r>
        <w:r>
          <w:rPr>
            <w:color w:val="3953A4"/>
            <w:spacing w:val="-52"/>
          </w:rPr>
          <w:t> </w:t>
        </w:r>
        <w:r>
          <w:rPr>
            <w:color w:val="3953A4"/>
            <w:u w:val="single" w:color="3953A4"/>
          </w:rPr>
          <w:t>hiv-infected-adults-and</w:t>
        </w:r>
      </w:hyperlink>
    </w:p>
    <w:p>
      <w:pPr>
        <w:pStyle w:val="BodyText"/>
        <w:tabs>
          <w:tab w:pos="519" w:val="left" w:leader="none"/>
        </w:tabs>
        <w:spacing w:line="228" w:lineRule="auto" w:before="86"/>
        <w:ind w:left="519" w:right="227" w:hanging="360"/>
      </w:pPr>
      <w:r>
        <w:rPr>
          <w:color w:val="010202"/>
          <w:vertAlign w:val="superscript"/>
        </w:rPr>
        <w:t>94</w:t>
      </w:r>
      <w:r>
        <w:rPr>
          <w:color w:val="010202"/>
          <w:vertAlign w:val="baseline"/>
        </w:rPr>
        <w:tab/>
        <w:t>National Library of Medicine. (2019, June 13).</w:t>
      </w:r>
      <w:r>
        <w:rPr>
          <w:color w:val="010202"/>
          <w:spacing w:val="1"/>
          <w:vertAlign w:val="baseline"/>
        </w:rPr>
        <w:t> </w:t>
      </w:r>
      <w:r>
        <w:rPr>
          <w:color w:val="010202"/>
          <w:vertAlign w:val="baseline"/>
        </w:rPr>
        <w:t>HIV and hepatitis C. U.S. Department of Health</w:t>
      </w:r>
      <w:r>
        <w:rPr>
          <w:color w:val="010202"/>
          <w:spacing w:val="1"/>
          <w:vertAlign w:val="baseline"/>
        </w:rPr>
        <w:t> </w:t>
      </w:r>
      <w:r>
        <w:rPr>
          <w:color w:val="010202"/>
          <w:vertAlign w:val="baseline"/>
        </w:rPr>
        <w:t>and</w:t>
      </w:r>
      <w:r>
        <w:rPr>
          <w:color w:val="010202"/>
          <w:spacing w:val="-4"/>
          <w:vertAlign w:val="baseline"/>
        </w:rPr>
        <w:t> </w:t>
      </w:r>
      <w:r>
        <w:rPr>
          <w:color w:val="010202"/>
          <w:vertAlign w:val="baseline"/>
        </w:rPr>
        <w:t>Human</w:t>
      </w:r>
      <w:r>
        <w:rPr>
          <w:color w:val="010202"/>
          <w:spacing w:val="-5"/>
          <w:vertAlign w:val="baseline"/>
        </w:rPr>
        <w:t> </w:t>
      </w:r>
      <w:r>
        <w:rPr>
          <w:color w:val="010202"/>
          <w:vertAlign w:val="baseline"/>
        </w:rPr>
        <w:t>Services,</w:t>
      </w:r>
      <w:r>
        <w:rPr>
          <w:color w:val="010202"/>
          <w:spacing w:val="-5"/>
          <w:vertAlign w:val="baseline"/>
        </w:rPr>
        <w:t> </w:t>
      </w:r>
      <w:r>
        <w:rPr>
          <w:color w:val="010202"/>
          <w:vertAlign w:val="baseline"/>
        </w:rPr>
        <w:t>National</w:t>
      </w:r>
      <w:r>
        <w:rPr>
          <w:color w:val="010202"/>
          <w:spacing w:val="-5"/>
          <w:vertAlign w:val="baseline"/>
        </w:rPr>
        <w:t> </w:t>
      </w:r>
      <w:r>
        <w:rPr>
          <w:color w:val="010202"/>
          <w:vertAlign w:val="baseline"/>
        </w:rPr>
        <w:t>Institutes</w:t>
      </w:r>
      <w:r>
        <w:rPr>
          <w:color w:val="010202"/>
          <w:spacing w:val="-4"/>
          <w:vertAlign w:val="baseline"/>
        </w:rPr>
        <w:t> </w:t>
      </w:r>
      <w:r>
        <w:rPr>
          <w:color w:val="010202"/>
          <w:vertAlign w:val="baseline"/>
        </w:rPr>
        <w:t>of</w:t>
      </w:r>
      <w:r>
        <w:rPr>
          <w:color w:val="010202"/>
          <w:spacing w:val="-4"/>
          <w:vertAlign w:val="baseline"/>
        </w:rPr>
        <w:t> </w:t>
      </w:r>
      <w:r>
        <w:rPr>
          <w:color w:val="010202"/>
          <w:vertAlign w:val="baseline"/>
        </w:rPr>
        <w:t>Health.</w:t>
      </w:r>
    </w:p>
    <w:p>
      <w:pPr>
        <w:pStyle w:val="BodyText"/>
        <w:spacing w:line="228" w:lineRule="auto"/>
        <w:ind w:left="519" w:right="114"/>
      </w:pPr>
      <w:hyperlink r:id="rId129">
        <w:r>
          <w:rPr>
            <w:color w:val="3953A4"/>
            <w:u w:val="single" w:color="3953A4"/>
          </w:rPr>
          <w:t>https://aidsinfo.nih.gov/understanding-hiv-aids/fact-</w:t>
        </w:r>
      </w:hyperlink>
      <w:r>
        <w:rPr>
          <w:color w:val="3953A4"/>
          <w:spacing w:val="-52"/>
        </w:rPr>
        <w:t> </w:t>
      </w:r>
      <w:hyperlink r:id="rId129">
        <w:r>
          <w:rPr>
            <w:color w:val="3953A4"/>
            <w:u w:val="single" w:color="3953A4"/>
          </w:rPr>
          <w:t>sheets/26/88/hiv-and-hepatitis-c</w:t>
        </w:r>
      </w:hyperlink>
    </w:p>
    <w:p>
      <w:pPr>
        <w:pStyle w:val="BodyText"/>
        <w:tabs>
          <w:tab w:pos="519" w:val="left" w:leader="none"/>
        </w:tabs>
        <w:spacing w:line="228" w:lineRule="auto" w:before="89"/>
        <w:ind w:left="519" w:right="179" w:hanging="360"/>
      </w:pPr>
      <w:r>
        <w:rPr>
          <w:color w:val="010202"/>
          <w:vertAlign w:val="superscript"/>
        </w:rPr>
        <w:t>95</w:t>
      </w:r>
      <w:r>
        <w:rPr>
          <w:color w:val="010202"/>
          <w:vertAlign w:val="baseline"/>
        </w:rPr>
        <w:tab/>
      </w:r>
      <w:r>
        <w:rPr>
          <w:color w:val="010202"/>
          <w:spacing w:val="-1"/>
          <w:vertAlign w:val="baseline"/>
        </w:rPr>
        <w:t>American Association for </w:t>
      </w:r>
      <w:r>
        <w:rPr>
          <w:color w:val="010202"/>
          <w:vertAlign w:val="baseline"/>
        </w:rPr>
        <w:t>the Study of Liver</w:t>
      </w:r>
      <w:r>
        <w:rPr>
          <w:color w:val="010202"/>
          <w:spacing w:val="1"/>
          <w:vertAlign w:val="baseline"/>
        </w:rPr>
        <w:t> </w:t>
      </w:r>
      <w:r>
        <w:rPr>
          <w:color w:val="010202"/>
          <w:spacing w:val="-1"/>
          <w:vertAlign w:val="baseline"/>
        </w:rPr>
        <w:t>Disease, &amp; Infectious Diseases </w:t>
      </w:r>
      <w:r>
        <w:rPr>
          <w:color w:val="010202"/>
          <w:vertAlign w:val="baseline"/>
        </w:rPr>
        <w:t>Society of America.</w:t>
      </w:r>
      <w:r>
        <w:rPr>
          <w:color w:val="010202"/>
          <w:spacing w:val="-52"/>
          <w:vertAlign w:val="baseline"/>
        </w:rPr>
        <w:t> </w:t>
      </w:r>
      <w:r>
        <w:rPr>
          <w:color w:val="010202"/>
          <w:vertAlign w:val="baseline"/>
        </w:rPr>
        <w:t>HCV guidance: Recommendations for testing,</w:t>
      </w:r>
      <w:r>
        <w:rPr>
          <w:color w:val="010202"/>
          <w:spacing w:val="1"/>
          <w:vertAlign w:val="baseline"/>
        </w:rPr>
        <w:t> </w:t>
      </w:r>
      <w:r>
        <w:rPr>
          <w:color w:val="010202"/>
          <w:vertAlign w:val="baseline"/>
        </w:rPr>
        <w:t>managing, and treating hepatitis C. </w:t>
      </w:r>
      <w:hyperlink r:id="rId130">
        <w:r>
          <w:rPr>
            <w:color w:val="3953A4"/>
            <w:u w:val="single" w:color="3953A4"/>
            <w:vertAlign w:val="baseline"/>
          </w:rPr>
          <w:t>https://www.</w:t>
        </w:r>
      </w:hyperlink>
      <w:r>
        <w:rPr>
          <w:color w:val="3953A4"/>
          <w:spacing w:val="1"/>
          <w:vertAlign w:val="baseline"/>
        </w:rPr>
        <w:t> </w:t>
      </w:r>
      <w:hyperlink r:id="rId130">
        <w:r>
          <w:rPr>
            <w:color w:val="3953A4"/>
            <w:u w:val="single" w:color="3953A4"/>
            <w:vertAlign w:val="baseline"/>
          </w:rPr>
          <w:t>hcvguidelines.org/</w:t>
        </w:r>
      </w:hyperlink>
    </w:p>
    <w:p>
      <w:pPr>
        <w:pStyle w:val="BodyText"/>
        <w:tabs>
          <w:tab w:pos="519" w:val="left" w:leader="none"/>
        </w:tabs>
        <w:spacing w:line="228" w:lineRule="auto" w:before="88"/>
        <w:ind w:left="520" w:right="79" w:hanging="360"/>
      </w:pPr>
      <w:r>
        <w:rPr>
          <w:color w:val="231F20"/>
          <w:vertAlign w:val="superscript"/>
        </w:rPr>
        <w:t>96</w:t>
      </w:r>
      <w:r>
        <w:rPr>
          <w:color w:val="231F20"/>
          <w:vertAlign w:val="baseline"/>
        </w:rPr>
        <w:tab/>
      </w:r>
      <w:r>
        <w:rPr>
          <w:color w:val="231F20"/>
          <w:spacing w:val="-1"/>
          <w:vertAlign w:val="baseline"/>
        </w:rPr>
        <w:t>Jones, Amelia. (2019, </w:t>
      </w:r>
      <w:r>
        <w:rPr>
          <w:color w:val="231F20"/>
          <w:vertAlign w:val="baseline"/>
        </w:rPr>
        <w:t>May). Liver disease, hepatitis,</w:t>
      </w:r>
      <w:r>
        <w:rPr>
          <w:color w:val="231F20"/>
          <w:spacing w:val="-52"/>
          <w:vertAlign w:val="baseline"/>
        </w:rPr>
        <w:t> </w:t>
      </w:r>
      <w:r>
        <w:rPr>
          <w:color w:val="231F20"/>
          <w:vertAlign w:val="baseline"/>
        </w:rPr>
        <w:t>and HIV. NAM. </w:t>
      </w:r>
      <w:hyperlink r:id="rId131">
        <w:r>
          <w:rPr>
            <w:color w:val="3953A4"/>
            <w:u w:val="single" w:color="3953A4"/>
            <w:vertAlign w:val="baseline"/>
          </w:rPr>
          <w:t>https://www.aidsmap.com/about-</w:t>
        </w:r>
      </w:hyperlink>
      <w:r>
        <w:rPr>
          <w:color w:val="3953A4"/>
          <w:spacing w:val="1"/>
          <w:vertAlign w:val="baseline"/>
        </w:rPr>
        <w:t> </w:t>
      </w:r>
      <w:hyperlink r:id="rId131">
        <w:r>
          <w:rPr>
            <w:color w:val="3953A4"/>
            <w:u w:val="single" w:color="3953A4"/>
            <w:vertAlign w:val="baseline"/>
          </w:rPr>
          <w:t>hiv/liver-disease-hepatitis-and-hiv</w:t>
        </w:r>
      </w:hyperlink>
    </w:p>
    <w:p>
      <w:pPr>
        <w:pStyle w:val="BodyText"/>
        <w:tabs>
          <w:tab w:pos="519" w:val="left" w:leader="none"/>
        </w:tabs>
        <w:spacing w:line="228" w:lineRule="auto" w:before="89"/>
        <w:ind w:left="520" w:right="201" w:hanging="360"/>
      </w:pPr>
      <w:r>
        <w:rPr>
          <w:color w:val="231F20"/>
          <w:vertAlign w:val="superscript"/>
        </w:rPr>
        <w:t>97</w:t>
      </w:r>
      <w:r>
        <w:rPr>
          <w:color w:val="231F20"/>
          <w:vertAlign w:val="baseline"/>
        </w:rPr>
        <w:tab/>
        <w:t>Centers for Disease Control and Prevention. (2019,</w:t>
      </w:r>
      <w:r>
        <w:rPr>
          <w:color w:val="231F20"/>
          <w:spacing w:val="-53"/>
          <w:vertAlign w:val="baseline"/>
        </w:rPr>
        <w:t> </w:t>
      </w:r>
      <w:r>
        <w:rPr>
          <w:color w:val="231F20"/>
          <w:vertAlign w:val="baseline"/>
        </w:rPr>
        <w:t>October 25). </w:t>
      </w:r>
      <w:r>
        <w:rPr>
          <w:i/>
          <w:color w:val="231F20"/>
          <w:vertAlign w:val="baseline"/>
        </w:rPr>
        <w:t>HIV by group</w:t>
      </w:r>
      <w:r>
        <w:rPr>
          <w:color w:val="231F20"/>
          <w:vertAlign w:val="baseline"/>
        </w:rPr>
        <w:t>. </w:t>
      </w:r>
      <w:hyperlink r:id="rId132">
        <w:r>
          <w:rPr>
            <w:color w:val="3953A4"/>
            <w:u w:val="single" w:color="3953A4"/>
            <w:vertAlign w:val="baseline"/>
          </w:rPr>
          <w:t>https://www.cdc.gov/</w:t>
        </w:r>
      </w:hyperlink>
      <w:r>
        <w:rPr>
          <w:color w:val="3953A4"/>
          <w:spacing w:val="1"/>
          <w:vertAlign w:val="baseline"/>
        </w:rPr>
        <w:t> </w:t>
      </w:r>
      <w:hyperlink r:id="rId132">
        <w:r>
          <w:rPr>
            <w:color w:val="3953A4"/>
            <w:u w:val="single" w:color="3953A4"/>
            <w:vertAlign w:val="baseline"/>
          </w:rPr>
          <w:t>hiv/group/index.html</w:t>
        </w:r>
      </w:hyperlink>
    </w:p>
    <w:p>
      <w:pPr>
        <w:pStyle w:val="BodyText"/>
        <w:tabs>
          <w:tab w:pos="519" w:val="left" w:leader="none"/>
        </w:tabs>
        <w:spacing w:line="228" w:lineRule="auto" w:before="89"/>
        <w:ind w:left="520" w:right="38" w:hanging="360"/>
      </w:pPr>
      <w:r>
        <w:rPr>
          <w:color w:val="231F20"/>
          <w:vertAlign w:val="superscript"/>
        </w:rPr>
        <w:t>98</w:t>
      </w:r>
      <w:r>
        <w:rPr>
          <w:color w:val="231F20"/>
          <w:vertAlign w:val="baseline"/>
        </w:rPr>
        <w:tab/>
        <w:t>Ojikutu, B. O., Srinivasan, S., Bogart, L. M.,</w:t>
      </w:r>
      <w:r>
        <w:rPr>
          <w:color w:val="231F20"/>
          <w:spacing w:val="1"/>
          <w:vertAlign w:val="baseline"/>
        </w:rPr>
        <w:t> </w:t>
      </w:r>
      <w:r>
        <w:rPr>
          <w:color w:val="231F20"/>
          <w:vertAlign w:val="baseline"/>
        </w:rPr>
        <w:t>Subramanian, S., &amp; Mayer, K. H. (2018). Mass</w:t>
      </w:r>
      <w:r>
        <w:rPr>
          <w:color w:val="231F20"/>
          <w:spacing w:val="1"/>
          <w:vertAlign w:val="baseline"/>
        </w:rPr>
        <w:t> </w:t>
      </w:r>
      <w:r>
        <w:rPr>
          <w:color w:val="231F20"/>
          <w:vertAlign w:val="baseline"/>
        </w:rPr>
        <w:t>incarceration and the impact of prison release on</w:t>
      </w:r>
      <w:r>
        <w:rPr>
          <w:color w:val="231F20"/>
          <w:spacing w:val="1"/>
          <w:vertAlign w:val="baseline"/>
        </w:rPr>
        <w:t> </w:t>
      </w:r>
      <w:r>
        <w:rPr>
          <w:color w:val="231F20"/>
          <w:vertAlign w:val="baseline"/>
        </w:rPr>
        <w:t>HIV diagnoses in the US south. </w:t>
      </w:r>
      <w:r>
        <w:rPr>
          <w:i/>
          <w:color w:val="231F20"/>
          <w:vertAlign w:val="baseline"/>
        </w:rPr>
        <w:t>PloS One, 13</w:t>
      </w:r>
      <w:r>
        <w:rPr>
          <w:color w:val="231F20"/>
          <w:vertAlign w:val="baseline"/>
        </w:rPr>
        <w:t>(6),</w:t>
      </w:r>
      <w:r>
        <w:rPr>
          <w:color w:val="231F20"/>
          <w:spacing w:val="1"/>
          <w:vertAlign w:val="baseline"/>
        </w:rPr>
        <w:t> </w:t>
      </w:r>
      <w:r>
        <w:rPr>
          <w:color w:val="231F20"/>
          <w:spacing w:val="-1"/>
          <w:vertAlign w:val="baseline"/>
        </w:rPr>
        <w:t>e0198258-e0198258. </w:t>
      </w:r>
      <w:hyperlink r:id="rId133">
        <w:r>
          <w:rPr>
            <w:color w:val="3953A4"/>
            <w:u w:val="single" w:color="3953A4"/>
            <w:vertAlign w:val="baseline"/>
          </w:rPr>
          <w:t>https://doi.org/10.1371/journal.</w:t>
        </w:r>
      </w:hyperlink>
      <w:r>
        <w:rPr>
          <w:color w:val="3953A4"/>
          <w:spacing w:val="-52"/>
          <w:vertAlign w:val="baseline"/>
        </w:rPr>
        <w:t> </w:t>
      </w:r>
      <w:hyperlink r:id="rId133">
        <w:r>
          <w:rPr>
            <w:color w:val="3953A4"/>
            <w:u w:val="single" w:color="3953A4"/>
            <w:vertAlign w:val="baseline"/>
          </w:rPr>
          <w:t>pone.0198258</w:t>
        </w:r>
      </w:hyperlink>
    </w:p>
    <w:p>
      <w:pPr>
        <w:tabs>
          <w:tab w:pos="519" w:val="left" w:leader="none"/>
        </w:tabs>
        <w:spacing w:line="228" w:lineRule="auto" w:before="88"/>
        <w:ind w:left="520" w:right="108" w:hanging="360"/>
        <w:jc w:val="left"/>
        <w:rPr>
          <w:sz w:val="22"/>
        </w:rPr>
      </w:pPr>
      <w:r>
        <w:rPr>
          <w:color w:val="231F20"/>
          <w:sz w:val="22"/>
          <w:vertAlign w:val="superscript"/>
        </w:rPr>
        <w:t>99</w:t>
      </w:r>
      <w:r>
        <w:rPr>
          <w:color w:val="231F20"/>
          <w:sz w:val="22"/>
          <w:vertAlign w:val="baseline"/>
        </w:rPr>
        <w:tab/>
        <w:t>National Center for Innovation in HIV Care, The</w:t>
      </w:r>
      <w:r>
        <w:rPr>
          <w:color w:val="231F20"/>
          <w:spacing w:val="1"/>
          <w:sz w:val="22"/>
          <w:vertAlign w:val="baseline"/>
        </w:rPr>
        <w:t> </w:t>
      </w:r>
      <w:r>
        <w:rPr>
          <w:color w:val="231F20"/>
          <w:sz w:val="22"/>
          <w:vertAlign w:val="baseline"/>
        </w:rPr>
        <w:t>Fenway Institute, &amp; Fenway Health. (2017). </w:t>
      </w:r>
      <w:r>
        <w:rPr>
          <w:i/>
          <w:color w:val="231F20"/>
          <w:sz w:val="22"/>
          <w:vertAlign w:val="baseline"/>
        </w:rPr>
        <w:t>Models</w:t>
      </w:r>
      <w:r>
        <w:rPr>
          <w:i/>
          <w:color w:val="231F20"/>
          <w:spacing w:val="-52"/>
          <w:sz w:val="22"/>
          <w:vertAlign w:val="baseline"/>
        </w:rPr>
        <w:t> </w:t>
      </w:r>
      <w:r>
        <w:rPr>
          <w:i/>
          <w:color w:val="231F20"/>
          <w:sz w:val="22"/>
          <w:vertAlign w:val="baseline"/>
        </w:rPr>
        <w:t>for improving linkage to care for people living with</w:t>
      </w:r>
      <w:r>
        <w:rPr>
          <w:i/>
          <w:color w:val="231F20"/>
          <w:spacing w:val="1"/>
          <w:sz w:val="22"/>
          <w:vertAlign w:val="baseline"/>
        </w:rPr>
        <w:t> </w:t>
      </w:r>
      <w:r>
        <w:rPr>
          <w:i/>
          <w:color w:val="231F20"/>
          <w:sz w:val="22"/>
          <w:vertAlign w:val="baseline"/>
        </w:rPr>
        <w:t>HIV released from jail or prison</w:t>
      </w:r>
      <w:r>
        <w:rPr>
          <w:color w:val="231F20"/>
          <w:sz w:val="22"/>
          <w:vertAlign w:val="baseline"/>
        </w:rPr>
        <w:t>. U.S. Department</w:t>
      </w:r>
      <w:r>
        <w:rPr>
          <w:color w:val="231F20"/>
          <w:spacing w:val="1"/>
          <w:sz w:val="22"/>
          <w:vertAlign w:val="baseline"/>
        </w:rPr>
        <w:t> </w:t>
      </w:r>
      <w:r>
        <w:rPr>
          <w:color w:val="231F20"/>
          <w:sz w:val="22"/>
          <w:vertAlign w:val="baseline"/>
        </w:rPr>
        <w:t>of</w:t>
      </w:r>
      <w:r>
        <w:rPr>
          <w:color w:val="231F20"/>
          <w:spacing w:val="-8"/>
          <w:sz w:val="22"/>
          <w:vertAlign w:val="baseline"/>
        </w:rPr>
        <w:t> </w:t>
      </w:r>
      <w:r>
        <w:rPr>
          <w:color w:val="231F20"/>
          <w:sz w:val="22"/>
          <w:vertAlign w:val="baseline"/>
        </w:rPr>
        <w:t>Health</w:t>
      </w:r>
      <w:r>
        <w:rPr>
          <w:color w:val="231F20"/>
          <w:spacing w:val="-8"/>
          <w:sz w:val="22"/>
          <w:vertAlign w:val="baseline"/>
        </w:rPr>
        <w:t> </w:t>
      </w:r>
      <w:r>
        <w:rPr>
          <w:color w:val="231F20"/>
          <w:sz w:val="22"/>
          <w:vertAlign w:val="baseline"/>
        </w:rPr>
        <w:t>and</w:t>
      </w:r>
      <w:r>
        <w:rPr>
          <w:color w:val="231F20"/>
          <w:spacing w:val="-7"/>
          <w:sz w:val="22"/>
          <w:vertAlign w:val="baseline"/>
        </w:rPr>
        <w:t> </w:t>
      </w:r>
      <w:r>
        <w:rPr>
          <w:color w:val="231F20"/>
          <w:sz w:val="22"/>
          <w:vertAlign w:val="baseline"/>
        </w:rPr>
        <w:t>Human</w:t>
      </w:r>
      <w:r>
        <w:rPr>
          <w:color w:val="231F20"/>
          <w:spacing w:val="-9"/>
          <w:sz w:val="22"/>
          <w:vertAlign w:val="baseline"/>
        </w:rPr>
        <w:t> </w:t>
      </w:r>
      <w:r>
        <w:rPr>
          <w:color w:val="231F20"/>
          <w:sz w:val="22"/>
          <w:vertAlign w:val="baseline"/>
        </w:rPr>
        <w:t>Services.</w:t>
      </w:r>
      <w:r>
        <w:rPr>
          <w:color w:val="231F20"/>
          <w:spacing w:val="-6"/>
          <w:sz w:val="22"/>
          <w:vertAlign w:val="baseline"/>
        </w:rPr>
        <w:t> </w:t>
      </w:r>
      <w:hyperlink r:id="rId134">
        <w:r>
          <w:rPr>
            <w:color w:val="3953A4"/>
            <w:sz w:val="22"/>
            <w:u w:val="single" w:color="3953A4"/>
            <w:vertAlign w:val="baseline"/>
          </w:rPr>
          <w:t>https://targethiv.org/</w:t>
        </w:r>
      </w:hyperlink>
    </w:p>
    <w:p>
      <w:pPr>
        <w:pStyle w:val="BodyText"/>
        <w:spacing w:line="246" w:lineRule="exact" w:before="91"/>
        <w:ind w:left="520"/>
      </w:pPr>
      <w:r>
        <w:rPr/>
        <w:br w:type="column"/>
      </w:r>
      <w:hyperlink r:id="rId134">
        <w:r>
          <w:rPr>
            <w:color w:val="3953A4"/>
            <w:u w:val="single" w:color="3953A4"/>
          </w:rPr>
          <w:t>sites/default/files/file-upload/resources/HIV%20</w:t>
        </w:r>
      </w:hyperlink>
    </w:p>
    <w:p>
      <w:pPr>
        <w:pStyle w:val="BodyText"/>
        <w:spacing w:line="246" w:lineRule="exact"/>
        <w:ind w:left="520"/>
      </w:pPr>
      <w:hyperlink r:id="rId134">
        <w:r>
          <w:rPr>
            <w:color w:val="3953A4"/>
            <w:u w:val="single" w:color="3953A4"/>
          </w:rPr>
          <w:t>and%20Incarceration%20Brief.pdf</w:t>
        </w:r>
      </w:hyperlink>
    </w:p>
    <w:p>
      <w:pPr>
        <w:pStyle w:val="BodyText"/>
        <w:spacing w:line="228" w:lineRule="auto" w:before="87"/>
        <w:ind w:left="520" w:right="1299" w:hanging="360"/>
      </w:pPr>
      <w:r>
        <w:rPr>
          <w:color w:val="231F20"/>
          <w:vertAlign w:val="superscript"/>
        </w:rPr>
        <w:t>100</w:t>
      </w:r>
      <w:r>
        <w:rPr>
          <w:color w:val="231F20"/>
          <w:spacing w:val="43"/>
          <w:vertAlign w:val="baseline"/>
        </w:rPr>
        <w:t> </w:t>
      </w:r>
      <w:r>
        <w:rPr>
          <w:color w:val="231F20"/>
          <w:vertAlign w:val="baseline"/>
        </w:rPr>
        <w:t>Avert.</w:t>
      </w:r>
      <w:r>
        <w:rPr>
          <w:color w:val="231F20"/>
          <w:spacing w:val="-5"/>
          <w:vertAlign w:val="baseline"/>
        </w:rPr>
        <w:t> </w:t>
      </w:r>
      <w:r>
        <w:rPr>
          <w:color w:val="231F20"/>
          <w:vertAlign w:val="baseline"/>
        </w:rPr>
        <w:t>(2019,</w:t>
      </w:r>
      <w:r>
        <w:rPr>
          <w:color w:val="231F20"/>
          <w:spacing w:val="-5"/>
          <w:vertAlign w:val="baseline"/>
        </w:rPr>
        <w:t> </w:t>
      </w:r>
      <w:r>
        <w:rPr>
          <w:color w:val="231F20"/>
          <w:vertAlign w:val="baseline"/>
        </w:rPr>
        <w:t>October</w:t>
      </w:r>
      <w:r>
        <w:rPr>
          <w:color w:val="231F20"/>
          <w:spacing w:val="-6"/>
          <w:vertAlign w:val="baseline"/>
        </w:rPr>
        <w:t> </w:t>
      </w:r>
      <w:r>
        <w:rPr>
          <w:color w:val="231F20"/>
          <w:vertAlign w:val="baseline"/>
        </w:rPr>
        <w:t>10).</w:t>
      </w:r>
      <w:r>
        <w:rPr>
          <w:color w:val="231F20"/>
          <w:spacing w:val="-5"/>
          <w:vertAlign w:val="baseline"/>
        </w:rPr>
        <w:t> </w:t>
      </w:r>
      <w:r>
        <w:rPr>
          <w:i/>
          <w:color w:val="231F20"/>
          <w:vertAlign w:val="baseline"/>
        </w:rPr>
        <w:t>Prisoners,</w:t>
      </w:r>
      <w:r>
        <w:rPr>
          <w:i/>
          <w:color w:val="231F20"/>
          <w:spacing w:val="-5"/>
          <w:vertAlign w:val="baseline"/>
        </w:rPr>
        <w:t> </w:t>
      </w:r>
      <w:r>
        <w:rPr>
          <w:i/>
          <w:color w:val="231F20"/>
          <w:vertAlign w:val="baseline"/>
        </w:rPr>
        <w:t>HIV</w:t>
      </w:r>
      <w:r>
        <w:rPr>
          <w:i/>
          <w:color w:val="231F20"/>
          <w:spacing w:val="-8"/>
          <w:vertAlign w:val="baseline"/>
        </w:rPr>
        <w:t> </w:t>
      </w:r>
      <w:r>
        <w:rPr>
          <w:i/>
          <w:color w:val="231F20"/>
          <w:vertAlign w:val="baseline"/>
        </w:rPr>
        <w:t>and</w:t>
      </w:r>
      <w:r>
        <w:rPr>
          <w:i/>
          <w:color w:val="231F20"/>
          <w:spacing w:val="-52"/>
          <w:vertAlign w:val="baseline"/>
        </w:rPr>
        <w:t> </w:t>
      </w:r>
      <w:r>
        <w:rPr>
          <w:i/>
          <w:color w:val="231F20"/>
          <w:vertAlign w:val="baseline"/>
        </w:rPr>
        <w:t>AIDS</w:t>
      </w:r>
      <w:r>
        <w:rPr>
          <w:color w:val="231F20"/>
          <w:vertAlign w:val="baseline"/>
        </w:rPr>
        <w:t>. </w:t>
      </w:r>
      <w:hyperlink r:id="rId135">
        <w:r>
          <w:rPr>
            <w:color w:val="3953A4"/>
            <w:u w:val="single" w:color="3953A4"/>
            <w:vertAlign w:val="baseline"/>
          </w:rPr>
          <w:t>https://www.avert.org/professionals/</w:t>
        </w:r>
      </w:hyperlink>
      <w:r>
        <w:rPr>
          <w:color w:val="3953A4"/>
          <w:spacing w:val="1"/>
          <w:vertAlign w:val="baseline"/>
        </w:rPr>
        <w:t> </w:t>
      </w:r>
      <w:hyperlink r:id="rId135">
        <w:r>
          <w:rPr>
            <w:color w:val="3953A4"/>
            <w:u w:val="single" w:color="3953A4"/>
            <w:vertAlign w:val="baseline"/>
          </w:rPr>
          <w:t>hiv-social-issues/key-affected-populations/</w:t>
        </w:r>
      </w:hyperlink>
      <w:r>
        <w:rPr>
          <w:color w:val="3953A4"/>
          <w:spacing w:val="1"/>
          <w:vertAlign w:val="baseline"/>
        </w:rPr>
        <w:t> </w:t>
      </w:r>
      <w:hyperlink r:id="rId135">
        <w:r>
          <w:rPr>
            <w:color w:val="3953A4"/>
            <w:u w:val="single" w:color="3953A4"/>
            <w:vertAlign w:val="baseline"/>
          </w:rPr>
          <w:t>prisoners#footnote1_pbx20my</w:t>
        </w:r>
      </w:hyperlink>
    </w:p>
    <w:p>
      <w:pPr>
        <w:spacing w:line="228" w:lineRule="auto" w:before="89"/>
        <w:ind w:left="520" w:right="762" w:hanging="360"/>
        <w:jc w:val="left"/>
        <w:rPr>
          <w:sz w:val="22"/>
        </w:rPr>
      </w:pPr>
      <w:r>
        <w:rPr>
          <w:color w:val="231F20"/>
          <w:sz w:val="22"/>
          <w:vertAlign w:val="superscript"/>
        </w:rPr>
        <w:t>101</w:t>
      </w:r>
      <w:r>
        <w:rPr>
          <w:color w:val="231F20"/>
          <w:spacing w:val="1"/>
          <w:sz w:val="22"/>
          <w:vertAlign w:val="baseline"/>
        </w:rPr>
        <w:t> </w:t>
      </w:r>
      <w:r>
        <w:rPr>
          <w:color w:val="231F20"/>
          <w:sz w:val="22"/>
          <w:vertAlign w:val="baseline"/>
        </w:rPr>
        <w:t>Sawyer, W., &amp; Widra, E. (2017). </w:t>
      </w:r>
      <w:r>
        <w:rPr>
          <w:i/>
          <w:color w:val="231F20"/>
          <w:sz w:val="22"/>
          <w:vertAlign w:val="baseline"/>
        </w:rPr>
        <w:t>Unpacking the</w:t>
      </w:r>
      <w:r>
        <w:rPr>
          <w:i/>
          <w:color w:val="231F20"/>
          <w:spacing w:val="1"/>
          <w:sz w:val="22"/>
          <w:vertAlign w:val="baseline"/>
        </w:rPr>
        <w:t> </w:t>
      </w:r>
      <w:r>
        <w:rPr>
          <w:i/>
          <w:color w:val="231F20"/>
          <w:sz w:val="22"/>
          <w:vertAlign w:val="baseline"/>
        </w:rPr>
        <w:t>connections between race, incarceration, and</w:t>
      </w:r>
      <w:r>
        <w:rPr>
          <w:i/>
          <w:color w:val="231F20"/>
          <w:spacing w:val="1"/>
          <w:sz w:val="22"/>
          <w:vertAlign w:val="baseline"/>
        </w:rPr>
        <w:t> </w:t>
      </w:r>
      <w:r>
        <w:rPr>
          <w:i/>
          <w:color w:val="231F20"/>
          <w:sz w:val="22"/>
          <w:vertAlign w:val="baseline"/>
        </w:rPr>
        <w:t>women’s</w:t>
      </w:r>
      <w:r>
        <w:rPr>
          <w:i/>
          <w:color w:val="231F20"/>
          <w:spacing w:val="-9"/>
          <w:sz w:val="22"/>
          <w:vertAlign w:val="baseline"/>
        </w:rPr>
        <w:t> </w:t>
      </w:r>
      <w:r>
        <w:rPr>
          <w:i/>
          <w:color w:val="231F20"/>
          <w:sz w:val="22"/>
          <w:vertAlign w:val="baseline"/>
        </w:rPr>
        <w:t>HIV</w:t>
      </w:r>
      <w:r>
        <w:rPr>
          <w:i/>
          <w:color w:val="231F20"/>
          <w:spacing w:val="-10"/>
          <w:sz w:val="22"/>
          <w:vertAlign w:val="baseline"/>
        </w:rPr>
        <w:t> </w:t>
      </w:r>
      <w:r>
        <w:rPr>
          <w:i/>
          <w:color w:val="231F20"/>
          <w:sz w:val="22"/>
          <w:vertAlign w:val="baseline"/>
        </w:rPr>
        <w:t>rates</w:t>
      </w:r>
      <w:r>
        <w:rPr>
          <w:color w:val="231F20"/>
          <w:sz w:val="22"/>
          <w:vertAlign w:val="baseline"/>
        </w:rPr>
        <w:t>.</w:t>
      </w:r>
      <w:r>
        <w:rPr>
          <w:color w:val="231F20"/>
          <w:spacing w:val="-8"/>
          <w:sz w:val="22"/>
          <w:vertAlign w:val="baseline"/>
        </w:rPr>
        <w:t> </w:t>
      </w:r>
      <w:r>
        <w:rPr>
          <w:color w:val="231F20"/>
          <w:sz w:val="22"/>
          <w:vertAlign w:val="baseline"/>
        </w:rPr>
        <w:t>Prison</w:t>
      </w:r>
      <w:r>
        <w:rPr>
          <w:color w:val="231F20"/>
          <w:spacing w:val="-8"/>
          <w:sz w:val="22"/>
          <w:vertAlign w:val="baseline"/>
        </w:rPr>
        <w:t> </w:t>
      </w:r>
      <w:r>
        <w:rPr>
          <w:color w:val="231F20"/>
          <w:sz w:val="22"/>
          <w:vertAlign w:val="baseline"/>
        </w:rPr>
        <w:t>Policy</w:t>
      </w:r>
      <w:r>
        <w:rPr>
          <w:color w:val="231F20"/>
          <w:spacing w:val="-8"/>
          <w:sz w:val="22"/>
          <w:vertAlign w:val="baseline"/>
        </w:rPr>
        <w:t> </w:t>
      </w:r>
      <w:r>
        <w:rPr>
          <w:color w:val="231F20"/>
          <w:sz w:val="22"/>
          <w:vertAlign w:val="baseline"/>
        </w:rPr>
        <w:t>Initiative.</w:t>
      </w:r>
      <w:r>
        <w:rPr>
          <w:color w:val="231F20"/>
          <w:spacing w:val="-7"/>
          <w:sz w:val="22"/>
          <w:vertAlign w:val="baseline"/>
        </w:rPr>
        <w:t> </w:t>
      </w:r>
      <w:hyperlink r:id="rId136">
        <w:r>
          <w:rPr>
            <w:color w:val="3953A4"/>
            <w:sz w:val="22"/>
            <w:u w:val="single" w:color="3953A4"/>
            <w:vertAlign w:val="baseline"/>
          </w:rPr>
          <w:t>https://</w:t>
        </w:r>
      </w:hyperlink>
      <w:r>
        <w:rPr>
          <w:color w:val="3953A4"/>
          <w:spacing w:val="-52"/>
          <w:sz w:val="22"/>
          <w:vertAlign w:val="baseline"/>
        </w:rPr>
        <w:t> </w:t>
      </w:r>
      <w:hyperlink r:id="rId136">
        <w:r>
          <w:rPr>
            <w:color w:val="3953A4"/>
            <w:sz w:val="22"/>
            <w:u w:val="single" w:color="3953A4"/>
            <w:vertAlign w:val="baseline"/>
          </w:rPr>
          <w:t>www.prisonpolicy.org/blog/2017/05/08/hiv/</w:t>
        </w:r>
      </w:hyperlink>
    </w:p>
    <w:p>
      <w:pPr>
        <w:pStyle w:val="BodyText"/>
        <w:spacing w:line="228" w:lineRule="auto" w:before="88"/>
        <w:ind w:left="520" w:right="1036" w:hanging="360"/>
      </w:pPr>
      <w:r>
        <w:rPr>
          <w:color w:val="231F20"/>
          <w:w w:val="95"/>
          <w:vertAlign w:val="superscript"/>
        </w:rPr>
        <w:t>102</w:t>
      </w:r>
      <w:r>
        <w:rPr>
          <w:color w:val="231F20"/>
          <w:spacing w:val="1"/>
          <w:w w:val="95"/>
          <w:vertAlign w:val="baseline"/>
        </w:rPr>
        <w:t> </w:t>
      </w:r>
      <w:r>
        <w:rPr>
          <w:color w:val="231F20"/>
          <w:w w:val="95"/>
          <w:vertAlign w:val="baseline"/>
        </w:rPr>
        <w:t>Wohl,</w:t>
      </w:r>
      <w:r>
        <w:rPr>
          <w:color w:val="231F20"/>
          <w:spacing w:val="1"/>
          <w:w w:val="95"/>
          <w:vertAlign w:val="baseline"/>
        </w:rPr>
        <w:t> </w:t>
      </w:r>
      <w:r>
        <w:rPr>
          <w:color w:val="231F20"/>
          <w:w w:val="95"/>
          <w:vertAlign w:val="baseline"/>
        </w:rPr>
        <w:t>D. A. (2016).</w:t>
      </w:r>
      <w:r>
        <w:rPr>
          <w:color w:val="231F20"/>
          <w:spacing w:val="1"/>
          <w:w w:val="95"/>
          <w:vertAlign w:val="baseline"/>
        </w:rPr>
        <w:t> </w:t>
      </w:r>
      <w:r>
        <w:rPr>
          <w:color w:val="231F20"/>
          <w:w w:val="95"/>
          <w:vertAlign w:val="baseline"/>
        </w:rPr>
        <w:t>HIV and</w:t>
      </w:r>
      <w:r>
        <w:rPr>
          <w:color w:val="231F20"/>
          <w:spacing w:val="1"/>
          <w:w w:val="95"/>
          <w:vertAlign w:val="baseline"/>
        </w:rPr>
        <w:t> </w:t>
      </w:r>
      <w:r>
        <w:rPr>
          <w:color w:val="231F20"/>
          <w:w w:val="95"/>
          <w:vertAlign w:val="baseline"/>
        </w:rPr>
        <w:t>mass</w:t>
      </w:r>
      <w:r>
        <w:rPr>
          <w:color w:val="231F20"/>
          <w:spacing w:val="1"/>
          <w:w w:val="95"/>
          <w:vertAlign w:val="baseline"/>
        </w:rPr>
        <w:t> </w:t>
      </w:r>
      <w:r>
        <w:rPr>
          <w:color w:val="231F20"/>
          <w:w w:val="95"/>
          <w:vertAlign w:val="baseline"/>
        </w:rPr>
        <w:t>incarceration</w:t>
      </w:r>
      <w:r>
        <w:rPr>
          <w:color w:val="231F20"/>
          <w:spacing w:val="-50"/>
          <w:w w:val="95"/>
          <w:vertAlign w:val="baseline"/>
        </w:rPr>
        <w:t> </w:t>
      </w:r>
      <w:r>
        <w:rPr>
          <w:color w:val="231F20"/>
          <w:vertAlign w:val="baseline"/>
        </w:rPr>
        <w:t>where infectious diseases and social justice meet.</w:t>
      </w:r>
      <w:r>
        <w:rPr>
          <w:color w:val="231F20"/>
          <w:spacing w:val="-52"/>
          <w:vertAlign w:val="baseline"/>
        </w:rPr>
        <w:t> </w:t>
      </w:r>
      <w:r>
        <w:rPr>
          <w:i/>
          <w:color w:val="231F20"/>
          <w:vertAlign w:val="baseline"/>
        </w:rPr>
        <w:t>North</w:t>
      </w:r>
      <w:r>
        <w:rPr>
          <w:i/>
          <w:color w:val="231F20"/>
          <w:spacing w:val="-5"/>
          <w:vertAlign w:val="baseline"/>
        </w:rPr>
        <w:t> </w:t>
      </w:r>
      <w:r>
        <w:rPr>
          <w:i/>
          <w:color w:val="231F20"/>
          <w:vertAlign w:val="baseline"/>
        </w:rPr>
        <w:t>Carolina</w:t>
      </w:r>
      <w:r>
        <w:rPr>
          <w:i/>
          <w:color w:val="231F20"/>
          <w:spacing w:val="-5"/>
          <w:vertAlign w:val="baseline"/>
        </w:rPr>
        <w:t> </w:t>
      </w:r>
      <w:r>
        <w:rPr>
          <w:i/>
          <w:color w:val="231F20"/>
          <w:vertAlign w:val="baseline"/>
        </w:rPr>
        <w:t>Medical</w:t>
      </w:r>
      <w:r>
        <w:rPr>
          <w:i/>
          <w:color w:val="231F20"/>
          <w:spacing w:val="-5"/>
          <w:vertAlign w:val="baseline"/>
        </w:rPr>
        <w:t> </w:t>
      </w:r>
      <w:r>
        <w:rPr>
          <w:i/>
          <w:color w:val="231F20"/>
          <w:vertAlign w:val="baseline"/>
        </w:rPr>
        <w:t>Journal,</w:t>
      </w:r>
      <w:r>
        <w:rPr>
          <w:i/>
          <w:color w:val="231F20"/>
          <w:spacing w:val="-5"/>
          <w:vertAlign w:val="baseline"/>
        </w:rPr>
        <w:t> </w:t>
      </w:r>
      <w:r>
        <w:rPr>
          <w:i/>
          <w:color w:val="231F20"/>
          <w:vertAlign w:val="baseline"/>
        </w:rPr>
        <w:t>77</w:t>
      </w:r>
      <w:r>
        <w:rPr>
          <w:color w:val="231F20"/>
          <w:vertAlign w:val="baseline"/>
        </w:rPr>
        <w:t>(5),</w:t>
      </w:r>
      <w:r>
        <w:rPr>
          <w:color w:val="231F20"/>
          <w:spacing w:val="-5"/>
          <w:vertAlign w:val="baseline"/>
        </w:rPr>
        <w:t> </w:t>
      </w:r>
      <w:r>
        <w:rPr>
          <w:color w:val="231F20"/>
          <w:vertAlign w:val="baseline"/>
        </w:rPr>
        <w:t>359-364.</w:t>
      </w:r>
      <w:r>
        <w:rPr>
          <w:color w:val="231F20"/>
          <w:spacing w:val="-52"/>
          <w:vertAlign w:val="baseline"/>
        </w:rPr>
        <w:t> </w:t>
      </w:r>
      <w:hyperlink r:id="rId137">
        <w:r>
          <w:rPr>
            <w:color w:val="3953A4"/>
            <w:u w:val="single" w:color="3953A4"/>
            <w:vertAlign w:val="baseline"/>
          </w:rPr>
          <w:t>https://doi.org/10.18043/ncm.77.5.359</w:t>
        </w:r>
      </w:hyperlink>
    </w:p>
    <w:p>
      <w:pPr>
        <w:spacing w:line="228" w:lineRule="auto" w:before="89"/>
        <w:ind w:left="520" w:right="1048" w:hanging="360"/>
        <w:jc w:val="left"/>
        <w:rPr>
          <w:i/>
          <w:sz w:val="22"/>
        </w:rPr>
      </w:pPr>
      <w:r>
        <w:rPr>
          <w:color w:val="231F20"/>
          <w:sz w:val="22"/>
          <w:vertAlign w:val="superscript"/>
        </w:rPr>
        <w:t>103</w:t>
      </w:r>
      <w:r>
        <w:rPr>
          <w:color w:val="231F20"/>
          <w:sz w:val="22"/>
          <w:vertAlign w:val="baseline"/>
        </w:rPr>
        <w:t>   Boston University Center for Innovation in</w:t>
      </w:r>
      <w:r>
        <w:rPr>
          <w:color w:val="231F20"/>
          <w:spacing w:val="1"/>
          <w:sz w:val="22"/>
          <w:vertAlign w:val="baseline"/>
        </w:rPr>
        <w:t> </w:t>
      </w:r>
      <w:r>
        <w:rPr>
          <w:color w:val="231F20"/>
          <w:sz w:val="22"/>
          <w:vertAlign w:val="baseline"/>
        </w:rPr>
        <w:t>Social Work &amp; Health. (n.d.) </w:t>
      </w:r>
      <w:r>
        <w:rPr>
          <w:i/>
          <w:color w:val="231F20"/>
          <w:sz w:val="22"/>
          <w:vertAlign w:val="baseline"/>
        </w:rPr>
        <w:t>Transitional care</w:t>
      </w:r>
      <w:r>
        <w:rPr>
          <w:i/>
          <w:color w:val="231F20"/>
          <w:spacing w:val="1"/>
          <w:sz w:val="22"/>
          <w:vertAlign w:val="baseline"/>
        </w:rPr>
        <w:t> </w:t>
      </w:r>
      <w:r>
        <w:rPr>
          <w:i/>
          <w:color w:val="231F20"/>
          <w:sz w:val="22"/>
          <w:vertAlign w:val="baseline"/>
        </w:rPr>
        <w:t>coordination:</w:t>
      </w:r>
      <w:r>
        <w:rPr>
          <w:i/>
          <w:color w:val="231F20"/>
          <w:spacing w:val="-6"/>
          <w:sz w:val="22"/>
          <w:vertAlign w:val="baseline"/>
        </w:rPr>
        <w:t> </w:t>
      </w:r>
      <w:r>
        <w:rPr>
          <w:i/>
          <w:color w:val="231F20"/>
          <w:sz w:val="22"/>
          <w:vertAlign w:val="baseline"/>
        </w:rPr>
        <w:t>From</w:t>
      </w:r>
      <w:r>
        <w:rPr>
          <w:i/>
          <w:color w:val="231F20"/>
          <w:spacing w:val="-5"/>
          <w:sz w:val="22"/>
          <w:vertAlign w:val="baseline"/>
        </w:rPr>
        <w:t> </w:t>
      </w:r>
      <w:r>
        <w:rPr>
          <w:i/>
          <w:color w:val="231F20"/>
          <w:sz w:val="22"/>
          <w:vertAlign w:val="baseline"/>
        </w:rPr>
        <w:t>jail</w:t>
      </w:r>
      <w:r>
        <w:rPr>
          <w:i/>
          <w:color w:val="231F20"/>
          <w:spacing w:val="-5"/>
          <w:sz w:val="22"/>
          <w:vertAlign w:val="baseline"/>
        </w:rPr>
        <w:t> </w:t>
      </w:r>
      <w:r>
        <w:rPr>
          <w:i/>
          <w:color w:val="231F20"/>
          <w:sz w:val="22"/>
          <w:vertAlign w:val="baseline"/>
        </w:rPr>
        <w:t>intake</w:t>
      </w:r>
      <w:r>
        <w:rPr>
          <w:i/>
          <w:color w:val="231F20"/>
          <w:spacing w:val="-5"/>
          <w:sz w:val="22"/>
          <w:vertAlign w:val="baseline"/>
        </w:rPr>
        <w:t> </w:t>
      </w:r>
      <w:r>
        <w:rPr>
          <w:i/>
          <w:color w:val="231F20"/>
          <w:sz w:val="22"/>
          <w:vertAlign w:val="baseline"/>
        </w:rPr>
        <w:t>to</w:t>
      </w:r>
      <w:r>
        <w:rPr>
          <w:i/>
          <w:color w:val="231F20"/>
          <w:spacing w:val="-5"/>
          <w:sz w:val="22"/>
          <w:vertAlign w:val="baseline"/>
        </w:rPr>
        <w:t> </w:t>
      </w:r>
      <w:r>
        <w:rPr>
          <w:i/>
          <w:color w:val="231F20"/>
          <w:sz w:val="22"/>
          <w:vertAlign w:val="baseline"/>
        </w:rPr>
        <w:t>community</w:t>
      </w:r>
      <w:r>
        <w:rPr>
          <w:i/>
          <w:color w:val="231F20"/>
          <w:spacing w:val="-5"/>
          <w:sz w:val="22"/>
          <w:vertAlign w:val="baseline"/>
        </w:rPr>
        <w:t> </w:t>
      </w:r>
      <w:r>
        <w:rPr>
          <w:i/>
          <w:color w:val="231F20"/>
          <w:sz w:val="22"/>
          <w:vertAlign w:val="baseline"/>
        </w:rPr>
        <w:t>HIV</w:t>
      </w:r>
    </w:p>
    <w:p>
      <w:pPr>
        <w:pStyle w:val="BodyText"/>
        <w:spacing w:line="228" w:lineRule="auto"/>
        <w:ind w:left="520" w:right="946"/>
      </w:pPr>
      <w:r>
        <w:rPr>
          <w:i/>
          <w:color w:val="231F20"/>
          <w:spacing w:val="-2"/>
        </w:rPr>
        <w:t>primary</w:t>
      </w:r>
      <w:r>
        <w:rPr>
          <w:i/>
          <w:color w:val="231F20"/>
          <w:spacing w:val="-8"/>
        </w:rPr>
        <w:t> </w:t>
      </w:r>
      <w:r>
        <w:rPr>
          <w:i/>
          <w:color w:val="231F20"/>
          <w:spacing w:val="-2"/>
        </w:rPr>
        <w:t>care</w:t>
      </w:r>
      <w:r>
        <w:rPr>
          <w:color w:val="231F20"/>
          <w:spacing w:val="-2"/>
        </w:rPr>
        <w:t>.</w:t>
      </w:r>
      <w:r>
        <w:rPr>
          <w:color w:val="231F20"/>
          <w:spacing w:val="-10"/>
        </w:rPr>
        <w:t> </w:t>
      </w:r>
      <w:r>
        <w:rPr>
          <w:color w:val="231F20"/>
          <w:spacing w:val="-2"/>
        </w:rPr>
        <w:t>TargetHIV.</w:t>
      </w:r>
      <w:r>
        <w:rPr>
          <w:color w:val="231F20"/>
          <w:spacing w:val="-8"/>
        </w:rPr>
        <w:t> </w:t>
      </w:r>
      <w:hyperlink r:id="rId138">
        <w:r>
          <w:rPr>
            <w:color w:val="3953A4"/>
            <w:spacing w:val="-1"/>
            <w:u w:val="single" w:color="3953A4"/>
          </w:rPr>
          <w:t>https://targethiv.org/deii/</w:t>
        </w:r>
      </w:hyperlink>
      <w:r>
        <w:rPr>
          <w:color w:val="3953A4"/>
          <w:spacing w:val="-52"/>
        </w:rPr>
        <w:t> </w:t>
      </w:r>
      <w:hyperlink r:id="rId138">
        <w:r>
          <w:rPr>
            <w:color w:val="3953A4"/>
            <w:u w:val="single" w:color="3953A4"/>
          </w:rPr>
          <w:t>deii-transitional-care</w:t>
        </w:r>
      </w:hyperlink>
    </w:p>
    <w:p>
      <w:pPr>
        <w:pStyle w:val="BodyText"/>
        <w:spacing w:line="228" w:lineRule="auto" w:before="88"/>
        <w:ind w:left="520" w:right="1282" w:hanging="360"/>
      </w:pPr>
      <w:r>
        <w:rPr>
          <w:color w:val="231F20"/>
          <w:vertAlign w:val="superscript"/>
        </w:rPr>
        <w:t>104</w:t>
      </w:r>
      <w:r>
        <w:rPr>
          <w:color w:val="231F20"/>
          <w:spacing w:val="1"/>
          <w:vertAlign w:val="baseline"/>
        </w:rPr>
        <w:t> </w:t>
      </w:r>
      <w:r>
        <w:rPr>
          <w:color w:val="231F20"/>
          <w:vertAlign w:val="baseline"/>
        </w:rPr>
        <w:t>Beckwith, C., Castonguay, B. U., Trezza, C.,</w:t>
      </w:r>
      <w:r>
        <w:rPr>
          <w:color w:val="231F20"/>
          <w:spacing w:val="1"/>
          <w:vertAlign w:val="baseline"/>
        </w:rPr>
        <w:t> </w:t>
      </w:r>
      <w:r>
        <w:rPr>
          <w:color w:val="231F20"/>
          <w:spacing w:val="-1"/>
          <w:vertAlign w:val="baseline"/>
        </w:rPr>
        <w:t>Bazerman,</w:t>
      </w:r>
      <w:r>
        <w:rPr>
          <w:color w:val="231F20"/>
          <w:spacing w:val="7"/>
          <w:vertAlign w:val="baseline"/>
        </w:rPr>
        <w:t> </w:t>
      </w:r>
      <w:r>
        <w:rPr>
          <w:color w:val="231F20"/>
          <w:vertAlign w:val="baseline"/>
        </w:rPr>
        <w:t>L.,</w:t>
      </w:r>
      <w:r>
        <w:rPr>
          <w:color w:val="231F20"/>
          <w:spacing w:val="7"/>
          <w:vertAlign w:val="baseline"/>
        </w:rPr>
        <w:t> </w:t>
      </w:r>
      <w:r>
        <w:rPr>
          <w:color w:val="231F20"/>
          <w:vertAlign w:val="baseline"/>
        </w:rPr>
        <w:t>Patrick,</w:t>
      </w:r>
      <w:r>
        <w:rPr>
          <w:color w:val="231F20"/>
          <w:spacing w:val="6"/>
          <w:vertAlign w:val="baseline"/>
        </w:rPr>
        <w:t> </w:t>
      </w:r>
      <w:r>
        <w:rPr>
          <w:color w:val="231F20"/>
          <w:vertAlign w:val="baseline"/>
        </w:rPr>
        <w:t>R.,</w:t>
      </w:r>
      <w:r>
        <w:rPr>
          <w:color w:val="231F20"/>
          <w:spacing w:val="7"/>
          <w:vertAlign w:val="baseline"/>
        </w:rPr>
        <w:t> </w:t>
      </w:r>
      <w:r>
        <w:rPr>
          <w:color w:val="231F20"/>
          <w:vertAlign w:val="baseline"/>
        </w:rPr>
        <w:t>Cates,</w:t>
      </w:r>
      <w:r>
        <w:rPr>
          <w:color w:val="231F20"/>
          <w:spacing w:val="-6"/>
          <w:vertAlign w:val="baseline"/>
        </w:rPr>
        <w:t> </w:t>
      </w:r>
      <w:r>
        <w:rPr>
          <w:color w:val="231F20"/>
          <w:vertAlign w:val="baseline"/>
        </w:rPr>
        <w:t>A.,</w:t>
      </w:r>
      <w:r>
        <w:rPr>
          <w:color w:val="231F20"/>
          <w:spacing w:val="6"/>
          <w:vertAlign w:val="baseline"/>
        </w:rPr>
        <w:t> </w:t>
      </w:r>
      <w:r>
        <w:rPr>
          <w:color w:val="231F20"/>
          <w:vertAlign w:val="baseline"/>
        </w:rPr>
        <w:t>Olsen,</w:t>
      </w:r>
      <w:r>
        <w:rPr>
          <w:color w:val="231F20"/>
          <w:spacing w:val="1"/>
          <w:vertAlign w:val="baseline"/>
        </w:rPr>
        <w:t> </w:t>
      </w:r>
      <w:r>
        <w:rPr>
          <w:color w:val="231F20"/>
          <w:spacing w:val="-2"/>
          <w:vertAlign w:val="baseline"/>
        </w:rPr>
        <w:t>H., </w:t>
      </w:r>
      <w:r>
        <w:rPr>
          <w:color w:val="231F20"/>
          <w:spacing w:val="-1"/>
          <w:vertAlign w:val="baseline"/>
        </w:rPr>
        <w:t>Kurth, A., Liu, T., Peterson, J., &amp; Kuo, I.</w:t>
      </w:r>
      <w:r>
        <w:rPr>
          <w:color w:val="231F20"/>
          <w:vertAlign w:val="baseline"/>
        </w:rPr>
        <w:t> (2017).</w:t>
      </w:r>
      <w:r>
        <w:rPr>
          <w:color w:val="231F20"/>
          <w:spacing w:val="-2"/>
          <w:vertAlign w:val="baseline"/>
        </w:rPr>
        <w:t> </w:t>
      </w:r>
      <w:r>
        <w:rPr>
          <w:color w:val="231F20"/>
          <w:vertAlign w:val="baseline"/>
        </w:rPr>
        <w:t>Gender</w:t>
      </w:r>
      <w:r>
        <w:rPr>
          <w:color w:val="231F20"/>
          <w:spacing w:val="-3"/>
          <w:vertAlign w:val="baseline"/>
        </w:rPr>
        <w:t> </w:t>
      </w:r>
      <w:r>
        <w:rPr>
          <w:color w:val="231F20"/>
          <w:vertAlign w:val="baseline"/>
        </w:rPr>
        <w:t>differences</w:t>
      </w:r>
      <w:r>
        <w:rPr>
          <w:color w:val="231F20"/>
          <w:spacing w:val="-2"/>
          <w:vertAlign w:val="baseline"/>
        </w:rPr>
        <w:t> </w:t>
      </w:r>
      <w:r>
        <w:rPr>
          <w:color w:val="231F20"/>
          <w:vertAlign w:val="baseline"/>
        </w:rPr>
        <w:t>in</w:t>
      </w:r>
      <w:r>
        <w:rPr>
          <w:color w:val="231F20"/>
          <w:spacing w:val="-2"/>
          <w:vertAlign w:val="baseline"/>
        </w:rPr>
        <w:t> </w:t>
      </w:r>
      <w:r>
        <w:rPr>
          <w:color w:val="231F20"/>
          <w:vertAlign w:val="baseline"/>
        </w:rPr>
        <w:t>HIV</w:t>
      </w:r>
      <w:r>
        <w:rPr>
          <w:color w:val="231F20"/>
          <w:spacing w:val="-7"/>
          <w:vertAlign w:val="baseline"/>
        </w:rPr>
        <w:t> </w:t>
      </w:r>
      <w:r>
        <w:rPr>
          <w:color w:val="231F20"/>
          <w:vertAlign w:val="baseline"/>
        </w:rPr>
        <w:t>care</w:t>
      </w:r>
      <w:r>
        <w:rPr>
          <w:color w:val="231F20"/>
          <w:spacing w:val="-2"/>
          <w:vertAlign w:val="baseline"/>
        </w:rPr>
        <w:t> </w:t>
      </w:r>
      <w:r>
        <w:rPr>
          <w:color w:val="231F20"/>
          <w:vertAlign w:val="baseline"/>
        </w:rPr>
        <w:t>among</w:t>
      </w:r>
    </w:p>
    <w:p>
      <w:pPr>
        <w:pStyle w:val="BodyText"/>
        <w:spacing w:line="228" w:lineRule="auto"/>
        <w:ind w:left="520" w:right="1077"/>
      </w:pPr>
      <w:r>
        <w:rPr>
          <w:color w:val="231F20"/>
        </w:rPr>
        <w:t>criminal justice-involved persons: Baseline data</w:t>
      </w:r>
      <w:r>
        <w:rPr>
          <w:color w:val="231F20"/>
          <w:spacing w:val="1"/>
        </w:rPr>
        <w:t> </w:t>
      </w:r>
      <w:r>
        <w:rPr>
          <w:color w:val="231F20"/>
        </w:rPr>
        <w:t>from the Care+ Corrections Study. </w:t>
      </w:r>
      <w:r>
        <w:rPr>
          <w:i/>
          <w:color w:val="231F20"/>
        </w:rPr>
        <w:t>PloS One,</w:t>
      </w:r>
      <w:r>
        <w:rPr>
          <w:i/>
          <w:color w:val="231F20"/>
          <w:spacing w:val="1"/>
        </w:rPr>
        <w:t> </w:t>
      </w:r>
      <w:r>
        <w:rPr>
          <w:i/>
          <w:color w:val="231F20"/>
        </w:rPr>
        <w:t>12</w:t>
      </w:r>
      <w:r>
        <w:rPr>
          <w:color w:val="231F20"/>
        </w:rPr>
        <w:t>(1),</w:t>
      </w:r>
      <w:r>
        <w:rPr>
          <w:color w:val="231F20"/>
          <w:spacing w:val="-9"/>
        </w:rPr>
        <w:t> </w:t>
      </w:r>
      <w:r>
        <w:rPr>
          <w:color w:val="231F20"/>
        </w:rPr>
        <w:t>e0169078.</w:t>
      </w:r>
      <w:r>
        <w:rPr>
          <w:color w:val="231F20"/>
          <w:spacing w:val="-9"/>
        </w:rPr>
        <w:t> </w:t>
      </w:r>
      <w:hyperlink r:id="rId139">
        <w:r>
          <w:rPr>
            <w:color w:val="3953A4"/>
            <w:u w:val="single" w:color="3953A4"/>
          </w:rPr>
          <w:t>https://doi.org/10.1371/journal.</w:t>
        </w:r>
      </w:hyperlink>
      <w:r>
        <w:rPr>
          <w:color w:val="3953A4"/>
          <w:spacing w:val="-52"/>
        </w:rPr>
        <w:t> </w:t>
      </w:r>
      <w:hyperlink r:id="rId139">
        <w:r>
          <w:rPr>
            <w:color w:val="3953A4"/>
            <w:u w:val="single" w:color="3953A4"/>
          </w:rPr>
          <w:t>pone.0169078</w:t>
        </w:r>
      </w:hyperlink>
    </w:p>
    <w:p>
      <w:pPr>
        <w:spacing w:after="0" w:line="228" w:lineRule="auto"/>
        <w:sectPr>
          <w:type w:val="continuous"/>
          <w:pgSz w:w="12240" w:h="15840"/>
          <w:pgMar w:header="0" w:footer="666" w:top="1500" w:bottom="0" w:left="560" w:right="0"/>
          <w:cols w:num="2" w:equalWidth="0">
            <w:col w:w="5232" w:space="528"/>
            <w:col w:w="5920"/>
          </w:cols>
        </w:sectPr>
      </w:pPr>
    </w:p>
    <w:p>
      <w:pPr>
        <w:pStyle w:val="BodyText"/>
        <w:ind w:left="-560"/>
        <w:rPr>
          <w:sz w:val="20"/>
        </w:rPr>
      </w:pPr>
      <w:r>
        <w:rPr/>
        <w:pict>
          <v:group style="position:absolute;margin-left:0pt;margin-top:0pt;width:612pt;height:745.7pt;mso-position-horizontal-relative:page;mso-position-vertical-relative:page;z-index:-18147840" id="docshapegroup70" coordorigin="0,0" coordsize="12240,14914">
            <v:rect style="position:absolute;left:2390;top:0;width:9850;height:394" id="docshape71" filled="true" fillcolor="#1d384a" stroked="false">
              <v:fill type="solid"/>
            </v:rect>
            <v:rect style="position:absolute;left:0;top:14894;width:12240;height:20" id="docshape72" filled="true" fillcolor="#1d384a" stroked="false">
              <v:fill type="solid"/>
            </v:rect>
            <v:shape style="position:absolute;left:6480;top:393;width:5760;height:14501" type="#_x0000_t75" id="docshape73" stroked="false">
              <v:imagedata r:id="rId142" o:title=""/>
            </v:shape>
            <w10:wrap type="none"/>
          </v:group>
        </w:pict>
      </w:r>
      <w:bookmarkStart w:name="_bookmark2" w:id="33"/>
      <w:bookmarkEnd w:id="33"/>
      <w:r>
        <w:rPr/>
      </w:r>
      <w:r>
        <w:rPr>
          <w:sz w:val="20"/>
        </w:rPr>
        <w:pict>
          <v:group style="width:119.55pt;height:111.25pt;mso-position-horizontal-relative:char;mso-position-vertical-relative:line" id="docshapegroup74" coordorigin="0,0" coordsize="2391,2225">
            <v:rect style="position:absolute;left:0;top:0;width:720;height:394" id="docshape75" filled="true" fillcolor="#1d384a" stroked="false">
              <v:fill type="solid"/>
            </v:rect>
            <v:shape style="position:absolute;left:720;top:0;width:1671;height:2225" type="#_x0000_t202" id="docshape76" filled="true" fillcolor="#cf382d" stroked="false">
              <v:textbox inset="0,0,0,0">
                <w:txbxContent>
                  <w:p>
                    <w:pPr>
                      <w:spacing w:line="1580" w:lineRule="exact" w:before="644"/>
                      <w:ind w:left="354" w:right="0" w:firstLine="0"/>
                      <w:jc w:val="left"/>
                      <w:rPr>
                        <w:rFonts w:ascii="Arial"/>
                        <w:color w:val="000000"/>
                        <w:sz w:val="16"/>
                      </w:rPr>
                    </w:pPr>
                    <w:bookmarkStart w:name="CHAPTER 2 What Research Tells Us" w:id="34"/>
                    <w:bookmarkEnd w:id="34"/>
                    <w:r>
                      <w:rPr>
                        <w:color w:val="000000"/>
                      </w:rPr>
                    </w:r>
                    <w:bookmarkStart w:name="Practice Selection" w:id="35"/>
                    <w:bookmarkEnd w:id="35"/>
                    <w:r>
                      <w:rPr>
                        <w:color w:val="000000"/>
                      </w:rPr>
                    </w:r>
                    <w:r>
                      <w:rPr>
                        <w:rFonts w:ascii="Arial Black"/>
                        <w:color w:val="FFFFFF"/>
                        <w:spacing w:val="-911"/>
                        <w:position w:val="-119"/>
                        <w:sz w:val="144"/>
                      </w:rPr>
                      <w:t>2</w:t>
                    </w:r>
                    <w:r>
                      <w:rPr>
                        <w:rFonts w:ascii="Arial"/>
                        <w:color w:val="FFFFFF"/>
                        <w:spacing w:val="15"/>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7"/>
        </w:rPr>
      </w:pPr>
    </w:p>
    <w:p>
      <w:pPr>
        <w:pStyle w:val="Heading1"/>
        <w:spacing w:line="196" w:lineRule="auto"/>
        <w:ind w:right="8255"/>
      </w:pPr>
      <w:r>
        <w:rPr>
          <w:color w:val="1C384B"/>
          <w:spacing w:val="-3"/>
        </w:rPr>
        <w:t>What</w:t>
      </w:r>
      <w:r>
        <w:rPr>
          <w:color w:val="1C384B"/>
          <w:spacing w:val="-31"/>
        </w:rPr>
        <w:t> </w:t>
      </w:r>
      <w:r>
        <w:rPr>
          <w:color w:val="1C384B"/>
          <w:spacing w:val="-3"/>
        </w:rPr>
        <w:t>Research</w:t>
      </w:r>
      <w:r>
        <w:rPr>
          <w:color w:val="1C384B"/>
          <w:spacing w:val="-130"/>
        </w:rPr>
        <w:t> </w:t>
      </w:r>
      <w:r>
        <w:rPr>
          <w:color w:val="1C384B"/>
        </w:rPr>
        <w:t>Tells</w:t>
      </w:r>
      <w:r>
        <w:rPr>
          <w:color w:val="1C384B"/>
          <w:spacing w:val="-13"/>
        </w:rPr>
        <w:t> </w:t>
      </w:r>
      <w:r>
        <w:rPr>
          <w:color w:val="1C384B"/>
        </w:rPr>
        <w:t>Us</w:t>
      </w:r>
    </w:p>
    <w:p>
      <w:pPr>
        <w:pStyle w:val="BodyText"/>
        <w:spacing w:before="12"/>
        <w:rPr>
          <w:rFonts w:ascii="Arial Black"/>
          <w:sz w:val="24"/>
        </w:rPr>
      </w:pPr>
      <w:r>
        <w:rPr/>
        <w:pict>
          <v:shape style="position:absolute;margin-left:35.5pt;margin-top:18.73003pt;width:252.5pt;height:.1pt;mso-position-horizontal-relative:page;mso-position-vertical-relative:paragraph;z-index:-15712768;mso-wrap-distance-left:0;mso-wrap-distance-right:0" id="docshape77" coordorigin="710,375" coordsize="5050,0" path="m710,375l5760,375e" filled="false" stroked="true" strokeweight="1pt" strokecolor="#ce372e">
            <v:path arrowok="t"/>
            <v:stroke dashstyle="solid"/>
            <w10:wrap type="topAndBottom"/>
          </v:shape>
        </w:pict>
      </w:r>
    </w:p>
    <w:p>
      <w:pPr>
        <w:pStyle w:val="BodyText"/>
        <w:spacing w:before="9"/>
        <w:rPr>
          <w:rFonts w:ascii="Arial Black"/>
          <w:sz w:val="18"/>
        </w:rPr>
      </w:pPr>
    </w:p>
    <w:p>
      <w:pPr>
        <w:pStyle w:val="BodyText"/>
        <w:spacing w:line="266" w:lineRule="auto" w:before="91"/>
        <w:ind w:left="150" w:right="6490"/>
      </w:pPr>
      <w:r>
        <w:rPr>
          <w:color w:val="231F20"/>
        </w:rPr>
        <w:t>This chapter presents five practices that healthcare</w:t>
      </w:r>
      <w:r>
        <w:rPr>
          <w:color w:val="231F20"/>
          <w:spacing w:val="1"/>
        </w:rPr>
        <w:t> </w:t>
      </w:r>
      <w:r>
        <w:rPr>
          <w:color w:val="231F20"/>
        </w:rPr>
        <w:t>practitioners can use to prevent and treat human</w:t>
      </w:r>
      <w:r>
        <w:rPr>
          <w:color w:val="231F20"/>
          <w:spacing w:val="1"/>
        </w:rPr>
        <w:t> </w:t>
      </w:r>
      <w:r>
        <w:rPr>
          <w:color w:val="231F20"/>
        </w:rPr>
        <w:t>immunodeficiency</w:t>
      </w:r>
      <w:r>
        <w:rPr>
          <w:color w:val="231F20"/>
          <w:spacing w:val="-5"/>
        </w:rPr>
        <w:t> </w:t>
      </w:r>
      <w:r>
        <w:rPr>
          <w:color w:val="231F20"/>
        </w:rPr>
        <w:t>virus</w:t>
      </w:r>
      <w:r>
        <w:rPr>
          <w:color w:val="231F20"/>
          <w:spacing w:val="-4"/>
        </w:rPr>
        <w:t> </w:t>
      </w:r>
      <w:r>
        <w:rPr>
          <w:color w:val="231F20"/>
        </w:rPr>
        <w:t>(HIV)</w:t>
      </w:r>
      <w:r>
        <w:rPr>
          <w:color w:val="231F20"/>
          <w:spacing w:val="-5"/>
        </w:rPr>
        <w:t> </w:t>
      </w:r>
      <w:r>
        <w:rPr>
          <w:color w:val="231F20"/>
        </w:rPr>
        <w:t>among</w:t>
      </w:r>
      <w:r>
        <w:rPr>
          <w:color w:val="231F20"/>
          <w:spacing w:val="-4"/>
        </w:rPr>
        <w:t> </w:t>
      </w:r>
      <w:r>
        <w:rPr>
          <w:color w:val="231F20"/>
        </w:rPr>
        <w:t>people</w:t>
      </w:r>
      <w:r>
        <w:rPr>
          <w:color w:val="231F20"/>
          <w:spacing w:val="-4"/>
        </w:rPr>
        <w:t> </w:t>
      </w:r>
      <w:r>
        <w:rPr>
          <w:color w:val="231F20"/>
        </w:rPr>
        <w:t>living</w:t>
      </w:r>
      <w:r>
        <w:rPr>
          <w:color w:val="231F20"/>
          <w:spacing w:val="-5"/>
        </w:rPr>
        <w:t> </w:t>
      </w:r>
      <w:r>
        <w:rPr>
          <w:color w:val="231F20"/>
        </w:rPr>
        <w:t>with</w:t>
      </w:r>
      <w:r>
        <w:rPr>
          <w:color w:val="231F20"/>
          <w:spacing w:val="-52"/>
        </w:rPr>
        <w:t> </w:t>
      </w:r>
      <w:r>
        <w:rPr>
          <w:color w:val="231F20"/>
        </w:rPr>
        <w:t>mental</w:t>
      </w:r>
      <w:r>
        <w:rPr>
          <w:color w:val="231F20"/>
          <w:spacing w:val="-1"/>
        </w:rPr>
        <w:t> </w:t>
      </w:r>
      <w:r>
        <w:rPr>
          <w:color w:val="231F20"/>
        </w:rPr>
        <w:t>illness</w:t>
      </w:r>
      <w:r>
        <w:rPr>
          <w:color w:val="231F20"/>
          <w:spacing w:val="-1"/>
        </w:rPr>
        <w:t> </w:t>
      </w:r>
      <w:r>
        <w:rPr>
          <w:color w:val="231F20"/>
        </w:rPr>
        <w:t>and/or substance</w:t>
      </w:r>
      <w:r>
        <w:rPr>
          <w:color w:val="231F20"/>
          <w:spacing w:val="-2"/>
        </w:rPr>
        <w:t> </w:t>
      </w:r>
      <w:r>
        <w:rPr>
          <w:color w:val="231F20"/>
        </w:rPr>
        <w:t>use</w:t>
      </w:r>
      <w:r>
        <w:rPr>
          <w:color w:val="231F20"/>
          <w:spacing w:val="-1"/>
        </w:rPr>
        <w:t> </w:t>
      </w:r>
      <w:r>
        <w:rPr>
          <w:color w:val="231F20"/>
        </w:rPr>
        <w:t>disorders (SUD).</w:t>
      </w:r>
    </w:p>
    <w:p>
      <w:pPr>
        <w:pStyle w:val="ListParagraph"/>
        <w:numPr>
          <w:ilvl w:val="0"/>
          <w:numId w:val="3"/>
        </w:numPr>
        <w:tabs>
          <w:tab w:pos="869" w:val="left" w:leader="none"/>
          <w:tab w:pos="870" w:val="left" w:leader="none"/>
        </w:tabs>
        <w:spacing w:line="249" w:lineRule="auto" w:before="145" w:after="0"/>
        <w:ind w:left="869" w:right="6678" w:hanging="360"/>
        <w:jc w:val="left"/>
        <w:rPr>
          <w:sz w:val="22"/>
        </w:rPr>
      </w:pPr>
      <w:r>
        <w:rPr>
          <w:color w:val="010202"/>
          <w:sz w:val="22"/>
        </w:rPr>
        <w:t>Practices to increase uptake of and improve</w:t>
      </w:r>
      <w:r>
        <w:rPr>
          <w:color w:val="010202"/>
          <w:spacing w:val="1"/>
          <w:sz w:val="22"/>
        </w:rPr>
        <w:t> </w:t>
      </w:r>
      <w:r>
        <w:rPr>
          <w:color w:val="010202"/>
          <w:sz w:val="22"/>
        </w:rPr>
        <w:t>adherence</w:t>
      </w:r>
      <w:r>
        <w:rPr>
          <w:color w:val="010202"/>
          <w:spacing w:val="-5"/>
          <w:sz w:val="22"/>
        </w:rPr>
        <w:t> </w:t>
      </w:r>
      <w:r>
        <w:rPr>
          <w:color w:val="010202"/>
          <w:sz w:val="22"/>
        </w:rPr>
        <w:t>to</w:t>
      </w:r>
      <w:r>
        <w:rPr>
          <w:color w:val="010202"/>
          <w:spacing w:val="-5"/>
          <w:sz w:val="22"/>
        </w:rPr>
        <w:t> </w:t>
      </w:r>
      <w:r>
        <w:rPr>
          <w:color w:val="010202"/>
          <w:sz w:val="22"/>
        </w:rPr>
        <w:t>Pre-Exposure</w:t>
      </w:r>
      <w:r>
        <w:rPr>
          <w:color w:val="010202"/>
          <w:spacing w:val="-6"/>
          <w:sz w:val="22"/>
        </w:rPr>
        <w:t> </w:t>
      </w:r>
      <w:r>
        <w:rPr>
          <w:color w:val="010202"/>
          <w:sz w:val="22"/>
        </w:rPr>
        <w:t>Prophylaxis</w:t>
      </w:r>
      <w:r>
        <w:rPr>
          <w:color w:val="010202"/>
          <w:spacing w:val="-5"/>
          <w:sz w:val="22"/>
        </w:rPr>
        <w:t> </w:t>
      </w:r>
      <w:r>
        <w:rPr>
          <w:color w:val="010202"/>
          <w:sz w:val="22"/>
        </w:rPr>
        <w:t>(PrEP)</w:t>
      </w:r>
    </w:p>
    <w:p>
      <w:pPr>
        <w:pStyle w:val="ListParagraph"/>
        <w:numPr>
          <w:ilvl w:val="0"/>
          <w:numId w:val="3"/>
        </w:numPr>
        <w:tabs>
          <w:tab w:pos="869" w:val="left" w:leader="none"/>
          <w:tab w:pos="870" w:val="left" w:leader="none"/>
        </w:tabs>
        <w:spacing w:line="251" w:lineRule="exact" w:before="0" w:after="0"/>
        <w:ind w:left="869" w:right="0" w:hanging="361"/>
        <w:jc w:val="left"/>
        <w:rPr>
          <w:sz w:val="22"/>
        </w:rPr>
      </w:pPr>
      <w:r>
        <w:rPr>
          <w:color w:val="010202"/>
          <w:sz w:val="22"/>
        </w:rPr>
        <w:t>Syringe</w:t>
      </w:r>
      <w:r>
        <w:rPr>
          <w:color w:val="010202"/>
          <w:spacing w:val="-6"/>
          <w:sz w:val="22"/>
        </w:rPr>
        <w:t> </w:t>
      </w:r>
      <w:r>
        <w:rPr>
          <w:color w:val="010202"/>
          <w:sz w:val="22"/>
        </w:rPr>
        <w:t>Services</w:t>
      </w:r>
      <w:r>
        <w:rPr>
          <w:color w:val="010202"/>
          <w:spacing w:val="-6"/>
          <w:sz w:val="22"/>
        </w:rPr>
        <w:t> </w:t>
      </w:r>
      <w:r>
        <w:rPr>
          <w:color w:val="010202"/>
          <w:sz w:val="22"/>
        </w:rPr>
        <w:t>Programs</w:t>
      </w:r>
      <w:r>
        <w:rPr>
          <w:color w:val="010202"/>
          <w:spacing w:val="-5"/>
          <w:sz w:val="22"/>
        </w:rPr>
        <w:t> </w:t>
      </w:r>
      <w:r>
        <w:rPr>
          <w:color w:val="010202"/>
          <w:sz w:val="22"/>
        </w:rPr>
        <w:t>(SSPs)</w:t>
      </w:r>
    </w:p>
    <w:p>
      <w:pPr>
        <w:pStyle w:val="ListParagraph"/>
        <w:numPr>
          <w:ilvl w:val="0"/>
          <w:numId w:val="3"/>
        </w:numPr>
        <w:tabs>
          <w:tab w:pos="869" w:val="left" w:leader="none"/>
          <w:tab w:pos="870" w:val="left" w:leader="none"/>
        </w:tabs>
        <w:spacing w:line="264" w:lineRule="exact" w:before="0" w:after="0"/>
        <w:ind w:left="869" w:right="0" w:hanging="361"/>
        <w:jc w:val="left"/>
        <w:rPr>
          <w:sz w:val="22"/>
        </w:rPr>
      </w:pPr>
      <w:r>
        <w:rPr>
          <w:color w:val="010202"/>
          <w:sz w:val="22"/>
        </w:rPr>
        <w:t>Contingency</w:t>
      </w:r>
      <w:r>
        <w:rPr>
          <w:color w:val="010202"/>
          <w:spacing w:val="-3"/>
          <w:sz w:val="22"/>
        </w:rPr>
        <w:t> </w:t>
      </w:r>
      <w:r>
        <w:rPr>
          <w:color w:val="010202"/>
          <w:sz w:val="22"/>
        </w:rPr>
        <w:t>Management</w:t>
      </w:r>
      <w:r>
        <w:rPr>
          <w:color w:val="010202"/>
          <w:spacing w:val="-4"/>
          <w:sz w:val="22"/>
        </w:rPr>
        <w:t> </w:t>
      </w:r>
      <w:r>
        <w:rPr>
          <w:color w:val="010202"/>
          <w:sz w:val="22"/>
        </w:rPr>
        <w:t>(CM)</w:t>
      </w:r>
    </w:p>
    <w:p>
      <w:pPr>
        <w:pStyle w:val="ListParagraph"/>
        <w:numPr>
          <w:ilvl w:val="0"/>
          <w:numId w:val="3"/>
        </w:numPr>
        <w:tabs>
          <w:tab w:pos="869" w:val="left" w:leader="none"/>
          <w:tab w:pos="870" w:val="left" w:leader="none"/>
        </w:tabs>
        <w:spacing w:line="264" w:lineRule="exact" w:before="0" w:after="0"/>
        <w:ind w:left="869" w:right="0" w:hanging="361"/>
        <w:jc w:val="left"/>
        <w:rPr>
          <w:sz w:val="22"/>
        </w:rPr>
      </w:pPr>
      <w:r>
        <w:rPr>
          <w:color w:val="010202"/>
          <w:sz w:val="22"/>
        </w:rPr>
        <w:t>Cognitive Behavioral</w:t>
      </w:r>
      <w:r>
        <w:rPr>
          <w:color w:val="010202"/>
          <w:spacing w:val="-5"/>
          <w:sz w:val="22"/>
        </w:rPr>
        <w:t> </w:t>
      </w:r>
      <w:r>
        <w:rPr>
          <w:color w:val="010202"/>
          <w:sz w:val="22"/>
        </w:rPr>
        <w:t>Therapy (CBT)</w:t>
      </w:r>
    </w:p>
    <w:p>
      <w:pPr>
        <w:pStyle w:val="ListParagraph"/>
        <w:numPr>
          <w:ilvl w:val="0"/>
          <w:numId w:val="3"/>
        </w:numPr>
        <w:tabs>
          <w:tab w:pos="869" w:val="left" w:leader="none"/>
          <w:tab w:pos="870" w:val="left" w:leader="none"/>
        </w:tabs>
        <w:spacing w:line="267" w:lineRule="exact" w:before="0" w:after="0"/>
        <w:ind w:left="869" w:right="0" w:hanging="361"/>
        <w:jc w:val="left"/>
        <w:rPr>
          <w:sz w:val="22"/>
        </w:rPr>
      </w:pPr>
      <w:r>
        <w:rPr>
          <w:color w:val="010202"/>
          <w:sz w:val="22"/>
        </w:rPr>
        <w:t>Patient</w:t>
      </w:r>
      <w:r>
        <w:rPr>
          <w:color w:val="010202"/>
          <w:spacing w:val="-8"/>
          <w:sz w:val="22"/>
        </w:rPr>
        <w:t> </w:t>
      </w:r>
      <w:r>
        <w:rPr>
          <w:color w:val="010202"/>
          <w:sz w:val="22"/>
        </w:rPr>
        <w:t>Navigation</w:t>
      </w:r>
    </w:p>
    <w:p>
      <w:pPr>
        <w:pStyle w:val="BodyText"/>
        <w:spacing w:line="266" w:lineRule="auto" w:before="206"/>
        <w:ind w:left="149" w:right="6792"/>
      </w:pPr>
      <w:r>
        <w:rPr>
          <w:color w:val="231F20"/>
        </w:rPr>
        <w:t>Although selected practices are non-pharmacological,</w:t>
      </w:r>
      <w:r>
        <w:rPr>
          <w:color w:val="231F20"/>
          <w:spacing w:val="-52"/>
        </w:rPr>
        <w:t> </w:t>
      </w:r>
      <w:r>
        <w:rPr>
          <w:color w:val="231F20"/>
        </w:rPr>
        <w:t>some are focused on improving uptake and adherence</w:t>
      </w:r>
      <w:r>
        <w:rPr>
          <w:color w:val="231F20"/>
          <w:spacing w:val="-52"/>
        </w:rPr>
        <w:t> </w:t>
      </w:r>
      <w:r>
        <w:rPr>
          <w:color w:val="231F20"/>
        </w:rPr>
        <w:t>to</w:t>
      </w:r>
      <w:r>
        <w:rPr>
          <w:color w:val="231F20"/>
          <w:spacing w:val="5"/>
        </w:rPr>
        <w:t> </w:t>
      </w:r>
      <w:r>
        <w:rPr>
          <w:color w:val="231F20"/>
        </w:rPr>
        <w:t>medications.</w:t>
      </w:r>
      <w:r>
        <w:rPr>
          <w:color w:val="231F20"/>
          <w:spacing w:val="5"/>
        </w:rPr>
        <w:t> </w:t>
      </w:r>
      <w:r>
        <w:rPr>
          <w:color w:val="231F20"/>
        </w:rPr>
        <w:t>Each</w:t>
      </w:r>
      <w:r>
        <w:rPr>
          <w:color w:val="231F20"/>
          <w:spacing w:val="5"/>
        </w:rPr>
        <w:t> </w:t>
      </w:r>
      <w:r>
        <w:rPr>
          <w:color w:val="231F20"/>
        </w:rPr>
        <w:t>practice</w:t>
      </w:r>
      <w:r>
        <w:rPr>
          <w:color w:val="231F20"/>
          <w:spacing w:val="5"/>
        </w:rPr>
        <w:t> </w:t>
      </w:r>
      <w:r>
        <w:rPr>
          <w:color w:val="231F20"/>
        </w:rPr>
        <w:t>is</w:t>
      </w:r>
      <w:r>
        <w:rPr>
          <w:color w:val="231F20"/>
          <w:spacing w:val="5"/>
        </w:rPr>
        <w:t> </w:t>
      </w:r>
      <w:r>
        <w:rPr>
          <w:color w:val="231F20"/>
        </w:rPr>
        <w:t>described</w:t>
      </w:r>
      <w:r>
        <w:rPr>
          <w:color w:val="231F20"/>
          <w:spacing w:val="5"/>
        </w:rPr>
        <w:t> </w:t>
      </w:r>
      <w:r>
        <w:rPr>
          <w:color w:val="231F20"/>
        </w:rPr>
        <w:t>and</w:t>
      </w:r>
      <w:r>
        <w:rPr>
          <w:color w:val="231F20"/>
          <w:spacing w:val="5"/>
        </w:rPr>
        <w:t> </w:t>
      </w:r>
      <w:r>
        <w:rPr>
          <w:color w:val="231F20"/>
        </w:rPr>
        <w:t>given</w:t>
      </w:r>
      <w:r>
        <w:rPr>
          <w:color w:val="231F20"/>
          <w:spacing w:val="1"/>
        </w:rPr>
        <w:t> </w:t>
      </w:r>
      <w:r>
        <w:rPr>
          <w:color w:val="231F20"/>
        </w:rPr>
        <w:t>a rating to assist practitioners, clinic administrators,</w:t>
      </w:r>
    </w:p>
    <w:p>
      <w:pPr>
        <w:pStyle w:val="BodyText"/>
        <w:spacing w:line="266" w:lineRule="auto"/>
        <w:ind w:left="149" w:right="6582"/>
      </w:pPr>
      <w:r>
        <w:rPr>
          <w:color w:val="231F20"/>
        </w:rPr>
        <w:t>and policy makers in identifying ones that might serve</w:t>
      </w:r>
      <w:r>
        <w:rPr>
          <w:color w:val="231F20"/>
          <w:spacing w:val="1"/>
        </w:rPr>
        <w:t> </w:t>
      </w:r>
      <w:r>
        <w:rPr>
          <w:color w:val="231F20"/>
        </w:rPr>
        <w:t>their population of focus. This chapter also provides an</w:t>
      </w:r>
      <w:r>
        <w:rPr>
          <w:color w:val="231F20"/>
          <w:spacing w:val="1"/>
        </w:rPr>
        <w:t> </w:t>
      </w:r>
      <w:r>
        <w:rPr>
          <w:color w:val="231F20"/>
        </w:rPr>
        <w:t>overview of each practice, including a discussion of the</w:t>
      </w:r>
      <w:r>
        <w:rPr>
          <w:color w:val="231F20"/>
          <w:spacing w:val="-52"/>
        </w:rPr>
        <w:t> </w:t>
      </w:r>
      <w:r>
        <w:rPr>
          <w:color w:val="231F20"/>
        </w:rPr>
        <w:t>typical</w:t>
      </w:r>
      <w:r>
        <w:rPr>
          <w:color w:val="231F20"/>
          <w:spacing w:val="-4"/>
        </w:rPr>
        <w:t> </w:t>
      </w:r>
      <w:r>
        <w:rPr>
          <w:color w:val="231F20"/>
        </w:rPr>
        <w:t>implementation</w:t>
      </w:r>
      <w:r>
        <w:rPr>
          <w:color w:val="231F20"/>
          <w:spacing w:val="-4"/>
        </w:rPr>
        <w:t> </w:t>
      </w:r>
      <w:r>
        <w:rPr>
          <w:color w:val="231F20"/>
        </w:rPr>
        <w:t>settings,</w:t>
      </w:r>
      <w:r>
        <w:rPr>
          <w:color w:val="231F20"/>
          <w:spacing w:val="-5"/>
        </w:rPr>
        <w:t> </w:t>
      </w:r>
      <w:r>
        <w:rPr>
          <w:color w:val="231F20"/>
        </w:rPr>
        <w:t>populations</w:t>
      </w:r>
      <w:r>
        <w:rPr>
          <w:color w:val="231F20"/>
          <w:spacing w:val="-4"/>
        </w:rPr>
        <w:t> </w:t>
      </w:r>
      <w:r>
        <w:rPr>
          <w:color w:val="231F20"/>
        </w:rPr>
        <w:t>that</w:t>
      </w:r>
      <w:r>
        <w:rPr>
          <w:color w:val="231F20"/>
          <w:spacing w:val="-4"/>
        </w:rPr>
        <w:t> </w:t>
      </w:r>
      <w:r>
        <w:rPr>
          <w:color w:val="231F20"/>
        </w:rPr>
        <w:t>benefit</w:t>
      </w:r>
      <w:r>
        <w:rPr>
          <w:color w:val="231F20"/>
          <w:spacing w:val="-52"/>
        </w:rPr>
        <w:t> </w:t>
      </w:r>
      <w:r>
        <w:rPr>
          <w:color w:val="231F20"/>
        </w:rPr>
        <w:t>from the practices, intensity of services, and practice</w:t>
      </w:r>
      <w:r>
        <w:rPr>
          <w:color w:val="231F20"/>
          <w:spacing w:val="1"/>
        </w:rPr>
        <w:t> </w:t>
      </w:r>
      <w:r>
        <w:rPr>
          <w:color w:val="231F20"/>
        </w:rPr>
        <w:t>outcomes.</w:t>
      </w:r>
    </w:p>
    <w:p>
      <w:pPr>
        <w:pStyle w:val="Heading1"/>
        <w:spacing w:before="117"/>
        <w:ind w:left="150"/>
      </w:pPr>
      <w:r>
        <w:rPr>
          <w:color w:val="1C384B"/>
          <w:spacing w:val="-2"/>
        </w:rPr>
        <w:t>Practice</w:t>
      </w:r>
      <w:r>
        <w:rPr>
          <w:color w:val="1C384B"/>
          <w:spacing w:val="-30"/>
        </w:rPr>
        <w:t> </w:t>
      </w:r>
      <w:r>
        <w:rPr>
          <w:color w:val="1C384B"/>
          <w:spacing w:val="-1"/>
        </w:rPr>
        <w:t>Selection</w:t>
      </w:r>
    </w:p>
    <w:p>
      <w:pPr>
        <w:pStyle w:val="BodyText"/>
        <w:spacing w:line="266" w:lineRule="auto" w:before="151"/>
        <w:ind w:left="150" w:right="6939"/>
      </w:pPr>
      <w:r>
        <w:rPr>
          <w:color w:val="231F20"/>
        </w:rPr>
        <w:t>To</w:t>
      </w:r>
      <w:r>
        <w:rPr>
          <w:color w:val="231F20"/>
          <w:spacing w:val="-4"/>
        </w:rPr>
        <w:t> </w:t>
      </w:r>
      <w:r>
        <w:rPr>
          <w:color w:val="231F20"/>
        </w:rPr>
        <w:t>be</w:t>
      </w:r>
      <w:r>
        <w:rPr>
          <w:color w:val="231F20"/>
          <w:spacing w:val="-4"/>
        </w:rPr>
        <w:t> </w:t>
      </w:r>
      <w:r>
        <w:rPr>
          <w:color w:val="231F20"/>
        </w:rPr>
        <w:t>considered</w:t>
      </w:r>
      <w:r>
        <w:rPr>
          <w:color w:val="231F20"/>
          <w:spacing w:val="-4"/>
        </w:rPr>
        <w:t> </w:t>
      </w:r>
      <w:r>
        <w:rPr>
          <w:color w:val="231F20"/>
        </w:rPr>
        <w:t>for</w:t>
      </w:r>
      <w:r>
        <w:rPr>
          <w:color w:val="231F20"/>
          <w:spacing w:val="-3"/>
        </w:rPr>
        <w:t> </w:t>
      </w:r>
      <w:r>
        <w:rPr>
          <w:color w:val="231F20"/>
        </w:rPr>
        <w:t>inclusion</w:t>
      </w:r>
      <w:r>
        <w:rPr>
          <w:color w:val="231F20"/>
          <w:spacing w:val="-4"/>
        </w:rPr>
        <w:t> </w:t>
      </w:r>
      <w:r>
        <w:rPr>
          <w:color w:val="231F20"/>
        </w:rPr>
        <w:t>in</w:t>
      </w:r>
      <w:r>
        <w:rPr>
          <w:color w:val="231F20"/>
          <w:spacing w:val="-4"/>
        </w:rPr>
        <w:t> </w:t>
      </w:r>
      <w:r>
        <w:rPr>
          <w:color w:val="231F20"/>
        </w:rPr>
        <w:t>this</w:t>
      </w:r>
      <w:r>
        <w:rPr>
          <w:color w:val="231F20"/>
          <w:spacing w:val="-3"/>
        </w:rPr>
        <w:t> </w:t>
      </w:r>
      <w:r>
        <w:rPr>
          <w:color w:val="231F20"/>
        </w:rPr>
        <w:t>guide,</w:t>
      </w:r>
      <w:r>
        <w:rPr>
          <w:color w:val="231F20"/>
          <w:spacing w:val="-4"/>
        </w:rPr>
        <w:t> </w:t>
      </w:r>
      <w:r>
        <w:rPr>
          <w:color w:val="231F20"/>
        </w:rPr>
        <w:t>eligible</w:t>
      </w:r>
      <w:r>
        <w:rPr>
          <w:color w:val="231F20"/>
          <w:spacing w:val="-52"/>
        </w:rPr>
        <w:t> </w:t>
      </w:r>
      <w:r>
        <w:rPr>
          <w:color w:val="231F20"/>
        </w:rPr>
        <w:t>practices had to meet the following criteria:</w:t>
      </w:r>
    </w:p>
    <w:p>
      <w:pPr>
        <w:pStyle w:val="ListParagraph"/>
        <w:numPr>
          <w:ilvl w:val="0"/>
          <w:numId w:val="3"/>
        </w:numPr>
        <w:tabs>
          <w:tab w:pos="869" w:val="left" w:leader="none"/>
          <w:tab w:pos="870" w:val="left" w:leader="none"/>
        </w:tabs>
        <w:spacing w:line="267" w:lineRule="exact" w:before="147" w:after="0"/>
        <w:ind w:left="869" w:right="0" w:hanging="361"/>
        <w:jc w:val="left"/>
        <w:rPr>
          <w:sz w:val="22"/>
        </w:rPr>
      </w:pPr>
      <w:r>
        <w:rPr>
          <w:color w:val="010202"/>
          <w:sz w:val="22"/>
        </w:rPr>
        <w:t>Must</w:t>
      </w:r>
      <w:r>
        <w:rPr>
          <w:color w:val="010202"/>
          <w:spacing w:val="-4"/>
          <w:sz w:val="22"/>
        </w:rPr>
        <w:t> </w:t>
      </w:r>
      <w:r>
        <w:rPr>
          <w:color w:val="010202"/>
          <w:sz w:val="22"/>
        </w:rPr>
        <w:t>be</w:t>
      </w:r>
      <w:r>
        <w:rPr>
          <w:color w:val="010202"/>
          <w:spacing w:val="-2"/>
          <w:sz w:val="22"/>
        </w:rPr>
        <w:t> </w:t>
      </w:r>
      <w:r>
        <w:rPr>
          <w:color w:val="010202"/>
          <w:sz w:val="22"/>
        </w:rPr>
        <w:t>clearly</w:t>
      </w:r>
      <w:r>
        <w:rPr>
          <w:color w:val="010202"/>
          <w:spacing w:val="-3"/>
          <w:sz w:val="22"/>
        </w:rPr>
        <w:t> </w:t>
      </w:r>
      <w:r>
        <w:rPr>
          <w:color w:val="010202"/>
          <w:sz w:val="22"/>
        </w:rPr>
        <w:t>defined</w:t>
      </w:r>
      <w:r>
        <w:rPr>
          <w:color w:val="010202"/>
          <w:spacing w:val="-2"/>
          <w:sz w:val="22"/>
        </w:rPr>
        <w:t> </w:t>
      </w:r>
      <w:r>
        <w:rPr>
          <w:color w:val="010202"/>
          <w:sz w:val="22"/>
        </w:rPr>
        <w:t>and</w:t>
      </w:r>
      <w:r>
        <w:rPr>
          <w:color w:val="010202"/>
          <w:spacing w:val="-2"/>
          <w:sz w:val="22"/>
        </w:rPr>
        <w:t> </w:t>
      </w:r>
      <w:r>
        <w:rPr>
          <w:color w:val="010202"/>
          <w:sz w:val="22"/>
        </w:rPr>
        <w:t>replicable</w:t>
      </w:r>
    </w:p>
    <w:p>
      <w:pPr>
        <w:pStyle w:val="ListParagraph"/>
        <w:numPr>
          <w:ilvl w:val="0"/>
          <w:numId w:val="3"/>
        </w:numPr>
        <w:tabs>
          <w:tab w:pos="869" w:val="left" w:leader="none"/>
          <w:tab w:pos="870" w:val="left" w:leader="none"/>
        </w:tabs>
        <w:spacing w:line="249" w:lineRule="auto" w:before="0" w:after="0"/>
        <w:ind w:left="869" w:right="6791" w:hanging="360"/>
        <w:jc w:val="left"/>
        <w:rPr>
          <w:sz w:val="22"/>
        </w:rPr>
      </w:pPr>
      <w:r>
        <w:rPr>
          <w:color w:val="010202"/>
          <w:sz w:val="22"/>
        </w:rPr>
        <w:t>Impact</w:t>
      </w:r>
      <w:r>
        <w:rPr>
          <w:color w:val="010202"/>
          <w:spacing w:val="-4"/>
          <w:sz w:val="22"/>
        </w:rPr>
        <w:t> </w:t>
      </w:r>
      <w:r>
        <w:rPr>
          <w:color w:val="010202"/>
          <w:sz w:val="22"/>
        </w:rPr>
        <w:t>HIV</w:t>
      </w:r>
      <w:r>
        <w:rPr>
          <w:color w:val="010202"/>
          <w:spacing w:val="-8"/>
          <w:sz w:val="22"/>
        </w:rPr>
        <w:t> </w:t>
      </w:r>
      <w:r>
        <w:rPr>
          <w:color w:val="010202"/>
          <w:sz w:val="22"/>
        </w:rPr>
        <w:t>prevention</w:t>
      </w:r>
      <w:r>
        <w:rPr>
          <w:color w:val="010202"/>
          <w:spacing w:val="-3"/>
          <w:sz w:val="22"/>
        </w:rPr>
        <w:t> </w:t>
      </w:r>
      <w:r>
        <w:rPr>
          <w:color w:val="010202"/>
          <w:sz w:val="22"/>
        </w:rPr>
        <w:t>and</w:t>
      </w:r>
      <w:r>
        <w:rPr>
          <w:color w:val="010202"/>
          <w:spacing w:val="-4"/>
          <w:sz w:val="22"/>
        </w:rPr>
        <w:t> </w:t>
      </w:r>
      <w:r>
        <w:rPr>
          <w:color w:val="010202"/>
          <w:sz w:val="22"/>
        </w:rPr>
        <w:t>treatment–related</w:t>
      </w:r>
      <w:r>
        <w:rPr>
          <w:color w:val="010202"/>
          <w:spacing w:val="-52"/>
          <w:sz w:val="22"/>
        </w:rPr>
        <w:t> </w:t>
      </w:r>
      <w:r>
        <w:rPr>
          <w:color w:val="010202"/>
          <w:sz w:val="22"/>
        </w:rPr>
        <w:t>health outcomes among people with mental</w:t>
      </w:r>
      <w:r>
        <w:rPr>
          <w:color w:val="010202"/>
          <w:spacing w:val="1"/>
          <w:sz w:val="22"/>
        </w:rPr>
        <w:t> </w:t>
      </w:r>
      <w:r>
        <w:rPr>
          <w:color w:val="010202"/>
          <w:sz w:val="22"/>
        </w:rPr>
        <w:t>illness</w:t>
      </w:r>
      <w:r>
        <w:rPr>
          <w:color w:val="010202"/>
          <w:spacing w:val="-1"/>
          <w:sz w:val="22"/>
        </w:rPr>
        <w:t> </w:t>
      </w:r>
      <w:r>
        <w:rPr>
          <w:color w:val="010202"/>
          <w:sz w:val="22"/>
        </w:rPr>
        <w:t>and/or SUD</w:t>
      </w:r>
    </w:p>
    <w:p>
      <w:pPr>
        <w:pStyle w:val="ListParagraph"/>
        <w:numPr>
          <w:ilvl w:val="0"/>
          <w:numId w:val="3"/>
        </w:numPr>
        <w:tabs>
          <w:tab w:pos="869" w:val="left" w:leader="none"/>
          <w:tab w:pos="870" w:val="left" w:leader="none"/>
        </w:tabs>
        <w:spacing w:line="255" w:lineRule="exact" w:before="0" w:after="0"/>
        <w:ind w:left="869" w:right="0" w:hanging="361"/>
        <w:jc w:val="left"/>
        <w:rPr>
          <w:sz w:val="22"/>
        </w:rPr>
      </w:pPr>
      <w:r>
        <w:rPr>
          <w:color w:val="010202"/>
          <w:sz w:val="22"/>
        </w:rPr>
        <w:t>Are</w:t>
      </w:r>
      <w:r>
        <w:rPr>
          <w:color w:val="010202"/>
          <w:spacing w:val="-2"/>
          <w:sz w:val="22"/>
        </w:rPr>
        <w:t> </w:t>
      </w:r>
      <w:r>
        <w:rPr>
          <w:color w:val="010202"/>
          <w:sz w:val="22"/>
        </w:rPr>
        <w:t>currently in</w:t>
      </w:r>
      <w:r>
        <w:rPr>
          <w:color w:val="010202"/>
          <w:spacing w:val="-1"/>
          <w:sz w:val="22"/>
        </w:rPr>
        <w:t> </w:t>
      </w:r>
      <w:r>
        <w:rPr>
          <w:color w:val="010202"/>
          <w:sz w:val="22"/>
        </w:rPr>
        <w:t>use</w:t>
      </w:r>
    </w:p>
    <w:p>
      <w:pPr>
        <w:spacing w:after="0" w:line="255" w:lineRule="exact"/>
        <w:jc w:val="left"/>
        <w:rPr>
          <w:sz w:val="22"/>
        </w:rPr>
        <w:sectPr>
          <w:headerReference w:type="default" r:id="rId140"/>
          <w:footerReference w:type="default" r:id="rId141"/>
          <w:pgSz w:w="12240" w:h="15840"/>
          <w:pgMar w:header="0" w:footer="667" w:top="0" w:bottom="860" w:left="560" w:right="0"/>
        </w:sectPr>
      </w:pPr>
    </w:p>
    <w:p>
      <w:pPr>
        <w:pStyle w:val="BodyText"/>
        <w:rPr>
          <w:sz w:val="20"/>
        </w:rPr>
      </w:pPr>
    </w:p>
    <w:p>
      <w:pPr>
        <w:pStyle w:val="BodyText"/>
        <w:rPr>
          <w:sz w:val="25"/>
        </w:rPr>
      </w:pPr>
    </w:p>
    <w:p>
      <w:pPr>
        <w:spacing w:after="0"/>
        <w:rPr>
          <w:sz w:val="25"/>
        </w:rPr>
        <w:sectPr>
          <w:headerReference w:type="default" r:id="rId143"/>
          <w:footerReference w:type="default" r:id="rId144"/>
          <w:pgSz w:w="12240" w:h="15840"/>
          <w:pgMar w:header="0" w:footer="666" w:top="380" w:bottom="860" w:left="560" w:right="0"/>
        </w:sectPr>
      </w:pPr>
    </w:p>
    <w:p>
      <w:pPr>
        <w:pStyle w:val="ListParagraph"/>
        <w:numPr>
          <w:ilvl w:val="0"/>
          <w:numId w:val="3"/>
        </w:numPr>
        <w:tabs>
          <w:tab w:pos="879" w:val="left" w:leader="none"/>
          <w:tab w:pos="880" w:val="left" w:leader="none"/>
        </w:tabs>
        <w:spacing w:line="249" w:lineRule="auto" w:before="100" w:after="0"/>
        <w:ind w:left="879" w:right="73" w:hanging="360"/>
        <w:jc w:val="left"/>
        <w:rPr>
          <w:sz w:val="22"/>
        </w:rPr>
      </w:pPr>
      <w:bookmarkStart w:name="Evidence Review and Rating" w:id="36"/>
      <w:bookmarkEnd w:id="36"/>
      <w:r>
        <w:rPr/>
      </w:r>
      <w:bookmarkStart w:name="Evidence Review and Rating" w:id="37"/>
      <w:bookmarkEnd w:id="37"/>
      <w:r>
        <w:rPr>
          <w:color w:val="010202"/>
          <w:sz w:val="22"/>
        </w:rPr>
        <w:t>Hav</w:t>
      </w:r>
      <w:r>
        <w:rPr>
          <w:color w:val="010202"/>
          <w:sz w:val="22"/>
        </w:rPr>
        <w:t>e accessible technical assistance and support</w:t>
      </w:r>
      <w:r>
        <w:rPr>
          <w:color w:val="010202"/>
          <w:spacing w:val="-52"/>
          <w:sz w:val="22"/>
        </w:rPr>
        <w:t> </w:t>
      </w:r>
      <w:r>
        <w:rPr>
          <w:color w:val="010202"/>
          <w:sz w:val="22"/>
        </w:rPr>
        <w:t>for implementation</w:t>
      </w:r>
    </w:p>
    <w:p>
      <w:pPr>
        <w:pStyle w:val="Heading6"/>
        <w:spacing w:before="195"/>
        <w:ind w:left="159"/>
      </w:pPr>
      <w:r>
        <w:rPr>
          <w:color w:val="CE372D"/>
        </w:rPr>
        <w:t>Evidence</w:t>
      </w:r>
      <w:r>
        <w:rPr>
          <w:color w:val="CE372D"/>
          <w:spacing w:val="-4"/>
        </w:rPr>
        <w:t> </w:t>
      </w:r>
      <w:r>
        <w:rPr>
          <w:color w:val="CE372D"/>
        </w:rPr>
        <w:t>Review</w:t>
      </w:r>
      <w:r>
        <w:rPr>
          <w:color w:val="CE372D"/>
          <w:spacing w:val="-4"/>
        </w:rPr>
        <w:t> </w:t>
      </w:r>
      <w:r>
        <w:rPr>
          <w:color w:val="CE372D"/>
        </w:rPr>
        <w:t>and</w:t>
      </w:r>
      <w:r>
        <w:rPr>
          <w:color w:val="CE372D"/>
          <w:spacing w:val="-4"/>
        </w:rPr>
        <w:t> </w:t>
      </w:r>
      <w:r>
        <w:rPr>
          <w:color w:val="CE372D"/>
        </w:rPr>
        <w:t>Rating</w:t>
      </w:r>
    </w:p>
    <w:p>
      <w:pPr>
        <w:pStyle w:val="BodyText"/>
        <w:spacing w:line="266" w:lineRule="auto" w:before="118"/>
        <w:ind w:left="159" w:right="150"/>
      </w:pPr>
      <w:r>
        <w:rPr>
          <w:color w:val="231F20"/>
          <w:spacing w:val="-1"/>
        </w:rPr>
        <w:t>Authors</w:t>
      </w:r>
      <w:r>
        <w:rPr>
          <w:color w:val="231F20"/>
          <w:spacing w:val="-12"/>
        </w:rPr>
        <w:t> </w:t>
      </w:r>
      <w:r>
        <w:rPr>
          <w:color w:val="231F20"/>
          <w:spacing w:val="-1"/>
        </w:rPr>
        <w:t>completed</w:t>
      </w:r>
      <w:r>
        <w:rPr>
          <w:color w:val="231F20"/>
          <w:spacing w:val="-11"/>
        </w:rPr>
        <w:t> </w:t>
      </w:r>
      <w:r>
        <w:rPr>
          <w:color w:val="231F20"/>
          <w:spacing w:val="-1"/>
        </w:rPr>
        <w:t>a</w:t>
      </w:r>
      <w:r>
        <w:rPr>
          <w:color w:val="231F20"/>
          <w:spacing w:val="-10"/>
        </w:rPr>
        <w:t> </w:t>
      </w:r>
      <w:r>
        <w:rPr>
          <w:color w:val="231F20"/>
          <w:spacing w:val="-1"/>
        </w:rPr>
        <w:t>comprehensive</w:t>
      </w:r>
      <w:r>
        <w:rPr>
          <w:color w:val="231F20"/>
          <w:spacing w:val="-11"/>
        </w:rPr>
        <w:t> </w:t>
      </w:r>
      <w:r>
        <w:rPr>
          <w:color w:val="231F20"/>
          <w:spacing w:val="-1"/>
        </w:rPr>
        <w:t>review</w:t>
      </w:r>
      <w:r>
        <w:rPr>
          <w:color w:val="231F20"/>
          <w:spacing w:val="-10"/>
        </w:rPr>
        <w:t> </w:t>
      </w:r>
      <w:r>
        <w:rPr>
          <w:color w:val="231F20"/>
          <w:spacing w:val="-1"/>
        </w:rPr>
        <w:t>of</w:t>
      </w:r>
      <w:r>
        <w:rPr>
          <w:color w:val="231F20"/>
          <w:spacing w:val="-11"/>
        </w:rPr>
        <w:t> </w:t>
      </w:r>
      <w:r>
        <w:rPr>
          <w:color w:val="231F20"/>
          <w:spacing w:val="-1"/>
        </w:rPr>
        <w:t>published</w:t>
      </w:r>
      <w:r>
        <w:rPr>
          <w:color w:val="231F20"/>
          <w:spacing w:val="-52"/>
        </w:rPr>
        <w:t> </w:t>
      </w:r>
      <w:r>
        <w:rPr>
          <w:color w:val="231F20"/>
        </w:rPr>
        <w:t>research for each selected practice to determine its</w:t>
      </w:r>
      <w:r>
        <w:rPr>
          <w:color w:val="231F20"/>
          <w:spacing w:val="1"/>
        </w:rPr>
        <w:t> </w:t>
      </w:r>
      <w:r>
        <w:rPr>
          <w:color w:val="231F20"/>
          <w:spacing w:val="-1"/>
        </w:rPr>
        <w:t>strength</w:t>
      </w:r>
      <w:r>
        <w:rPr>
          <w:color w:val="231F20"/>
          <w:spacing w:val="-12"/>
        </w:rPr>
        <w:t> </w:t>
      </w:r>
      <w:r>
        <w:rPr>
          <w:color w:val="231F20"/>
          <w:spacing w:val="-1"/>
        </w:rPr>
        <w:t>as</w:t>
      </w:r>
      <w:r>
        <w:rPr>
          <w:color w:val="231F20"/>
          <w:spacing w:val="-11"/>
        </w:rPr>
        <w:t> </w:t>
      </w:r>
      <w:r>
        <w:rPr>
          <w:color w:val="231F20"/>
          <w:spacing w:val="-1"/>
        </w:rPr>
        <w:t>an</w:t>
      </w:r>
      <w:r>
        <w:rPr>
          <w:color w:val="231F20"/>
          <w:spacing w:val="-11"/>
        </w:rPr>
        <w:t> </w:t>
      </w:r>
      <w:r>
        <w:rPr>
          <w:color w:val="231F20"/>
          <w:spacing w:val="-1"/>
        </w:rPr>
        <w:t>evidence–based</w:t>
      </w:r>
      <w:r>
        <w:rPr>
          <w:color w:val="231F20"/>
          <w:spacing w:val="-10"/>
        </w:rPr>
        <w:t> </w:t>
      </w:r>
      <w:r>
        <w:rPr>
          <w:color w:val="231F20"/>
          <w:spacing w:val="-1"/>
        </w:rPr>
        <w:t>practice.</w:t>
      </w:r>
      <w:r>
        <w:rPr>
          <w:color w:val="231F20"/>
          <w:spacing w:val="-11"/>
        </w:rPr>
        <w:t> </w:t>
      </w:r>
      <w:r>
        <w:rPr>
          <w:color w:val="231F20"/>
          <w:spacing w:val="-1"/>
        </w:rPr>
        <w:t>Eligible</w:t>
      </w:r>
      <w:r>
        <w:rPr>
          <w:color w:val="231F20"/>
          <w:spacing w:val="-11"/>
        </w:rPr>
        <w:t> </w:t>
      </w:r>
      <w:r>
        <w:rPr>
          <w:color w:val="231F20"/>
          <w:spacing w:val="-1"/>
        </w:rPr>
        <w:t>research</w:t>
      </w:r>
      <w:r>
        <w:rPr>
          <w:color w:val="231F20"/>
          <w:spacing w:val="-52"/>
        </w:rPr>
        <w:t> </w:t>
      </w:r>
      <w:r>
        <w:rPr>
          <w:color w:val="231F20"/>
        </w:rPr>
        <w:t>studies</w:t>
      </w:r>
      <w:r>
        <w:rPr>
          <w:color w:val="231F20"/>
          <w:spacing w:val="-9"/>
        </w:rPr>
        <w:t> </w:t>
      </w:r>
      <w:r>
        <w:rPr>
          <w:color w:val="231F20"/>
        </w:rPr>
        <w:t>had</w:t>
      </w:r>
      <w:r>
        <w:rPr>
          <w:color w:val="231F20"/>
          <w:spacing w:val="-8"/>
        </w:rPr>
        <w:t> </w:t>
      </w:r>
      <w:r>
        <w:rPr>
          <w:color w:val="231F20"/>
        </w:rPr>
        <w:t>to</w:t>
      </w:r>
      <w:r>
        <w:rPr>
          <w:color w:val="231F20"/>
          <w:spacing w:val="-8"/>
        </w:rPr>
        <w:t> </w:t>
      </w:r>
      <w:r>
        <w:rPr>
          <w:color w:val="231F20"/>
        </w:rPr>
        <w:t>be</w:t>
      </w:r>
      <w:r>
        <w:rPr>
          <w:color w:val="231F20"/>
          <w:spacing w:val="-8"/>
        </w:rPr>
        <w:t> </w:t>
      </w:r>
      <w:r>
        <w:rPr>
          <w:color w:val="231F20"/>
        </w:rPr>
        <w:t>published</w:t>
      </w:r>
      <w:r>
        <w:rPr>
          <w:color w:val="231F20"/>
          <w:spacing w:val="-8"/>
        </w:rPr>
        <w:t> </w:t>
      </w:r>
      <w:r>
        <w:rPr>
          <w:color w:val="231F20"/>
        </w:rPr>
        <w:t>after</w:t>
      </w:r>
      <w:r>
        <w:rPr>
          <w:color w:val="231F20"/>
          <w:spacing w:val="-8"/>
        </w:rPr>
        <w:t> </w:t>
      </w:r>
      <w:r>
        <w:rPr>
          <w:color w:val="231F20"/>
        </w:rPr>
        <w:t>the</w:t>
      </w:r>
      <w:r>
        <w:rPr>
          <w:color w:val="231F20"/>
          <w:spacing w:val="-8"/>
        </w:rPr>
        <w:t> </w:t>
      </w:r>
      <w:r>
        <w:rPr>
          <w:color w:val="231F20"/>
        </w:rPr>
        <w:t>year</w:t>
      </w:r>
      <w:r>
        <w:rPr>
          <w:color w:val="231F20"/>
          <w:spacing w:val="-8"/>
        </w:rPr>
        <w:t> </w:t>
      </w:r>
      <w:r>
        <w:rPr>
          <w:color w:val="231F20"/>
        </w:rPr>
        <w:t>2000</w:t>
      </w:r>
      <w:r>
        <w:rPr>
          <w:color w:val="231F20"/>
          <w:spacing w:val="-8"/>
        </w:rPr>
        <w:t> </w:t>
      </w:r>
      <w:r>
        <w:rPr>
          <w:color w:val="231F20"/>
        </w:rPr>
        <w:t>and:</w:t>
      </w:r>
    </w:p>
    <w:p>
      <w:pPr>
        <w:pStyle w:val="ListParagraph"/>
        <w:numPr>
          <w:ilvl w:val="0"/>
          <w:numId w:val="3"/>
        </w:numPr>
        <w:tabs>
          <w:tab w:pos="879" w:val="left" w:leader="none"/>
          <w:tab w:pos="880" w:val="left" w:leader="none"/>
        </w:tabs>
        <w:spacing w:line="240" w:lineRule="auto" w:before="146" w:after="0"/>
        <w:ind w:left="879" w:right="0" w:hanging="361"/>
        <w:jc w:val="left"/>
        <w:rPr>
          <w:sz w:val="22"/>
        </w:rPr>
      </w:pPr>
      <w:r>
        <w:rPr>
          <w:color w:val="010202"/>
          <w:sz w:val="22"/>
        </w:rPr>
        <w:t>Employ a randomized or quasi-experimental</w:t>
      </w:r>
    </w:p>
    <w:p>
      <w:pPr>
        <w:pStyle w:val="BodyText"/>
        <w:spacing w:line="251" w:lineRule="exact" w:before="10"/>
        <w:ind w:left="879"/>
      </w:pPr>
      <w:r>
        <w:rPr>
          <w:color w:val="010202"/>
        </w:rPr>
        <w:t>design, or</w:t>
      </w:r>
    </w:p>
    <w:p>
      <w:pPr>
        <w:pStyle w:val="ListParagraph"/>
        <w:numPr>
          <w:ilvl w:val="0"/>
          <w:numId w:val="3"/>
        </w:numPr>
        <w:tabs>
          <w:tab w:pos="879" w:val="left" w:leader="none"/>
          <w:tab w:pos="880" w:val="left" w:leader="none"/>
        </w:tabs>
        <w:spacing w:line="249" w:lineRule="auto" w:before="0" w:after="0"/>
        <w:ind w:left="879" w:right="110" w:hanging="360"/>
        <w:jc w:val="left"/>
        <w:rPr>
          <w:sz w:val="22"/>
        </w:rPr>
      </w:pPr>
      <w:r>
        <w:rPr>
          <w:color w:val="010202"/>
          <w:spacing w:val="-1"/>
          <w:sz w:val="22"/>
        </w:rPr>
        <w:t>Be a single sample pre-post design or an</w:t>
      </w:r>
      <w:r>
        <w:rPr>
          <w:color w:val="010202"/>
          <w:sz w:val="22"/>
        </w:rPr>
        <w:t> </w:t>
      </w:r>
      <w:r>
        <w:rPr>
          <w:color w:val="010202"/>
          <w:spacing w:val="-5"/>
          <w:sz w:val="22"/>
        </w:rPr>
        <w:t>epidemiological study </w:t>
      </w:r>
      <w:r>
        <w:rPr>
          <w:color w:val="010202"/>
          <w:spacing w:val="-4"/>
          <w:sz w:val="22"/>
        </w:rPr>
        <w:t>with a strong counterfactual</w:t>
      </w:r>
      <w:r>
        <w:rPr>
          <w:color w:val="010202"/>
          <w:spacing w:val="-52"/>
          <w:sz w:val="22"/>
        </w:rPr>
        <w:t> </w:t>
      </w:r>
      <w:r>
        <w:rPr>
          <w:color w:val="010202"/>
          <w:spacing w:val="-4"/>
          <w:sz w:val="22"/>
        </w:rPr>
        <w:t>(i.e., a study that analyzes </w:t>
      </w:r>
      <w:r>
        <w:rPr>
          <w:color w:val="010202"/>
          <w:spacing w:val="-3"/>
          <w:sz w:val="22"/>
        </w:rPr>
        <w:t>what would have</w:t>
      </w:r>
      <w:r>
        <w:rPr>
          <w:color w:val="010202"/>
          <w:spacing w:val="-2"/>
          <w:sz w:val="22"/>
        </w:rPr>
        <w:t> </w:t>
      </w:r>
      <w:r>
        <w:rPr>
          <w:color w:val="010202"/>
          <w:spacing w:val="-4"/>
          <w:sz w:val="22"/>
        </w:rPr>
        <w:t>happened</w:t>
      </w:r>
      <w:r>
        <w:rPr>
          <w:color w:val="010202"/>
          <w:spacing w:val="-10"/>
          <w:sz w:val="22"/>
        </w:rPr>
        <w:t> </w:t>
      </w:r>
      <w:r>
        <w:rPr>
          <w:color w:val="010202"/>
          <w:spacing w:val="-4"/>
          <w:sz w:val="22"/>
        </w:rPr>
        <w:t>in</w:t>
      </w:r>
      <w:r>
        <w:rPr>
          <w:color w:val="010202"/>
          <w:spacing w:val="-10"/>
          <w:sz w:val="22"/>
        </w:rPr>
        <w:t> </w:t>
      </w:r>
      <w:r>
        <w:rPr>
          <w:color w:val="010202"/>
          <w:spacing w:val="-4"/>
          <w:sz w:val="22"/>
        </w:rPr>
        <w:t>the</w:t>
      </w:r>
      <w:r>
        <w:rPr>
          <w:color w:val="010202"/>
          <w:spacing w:val="-9"/>
          <w:sz w:val="22"/>
        </w:rPr>
        <w:t> </w:t>
      </w:r>
      <w:r>
        <w:rPr>
          <w:color w:val="010202"/>
          <w:spacing w:val="-4"/>
          <w:sz w:val="22"/>
        </w:rPr>
        <w:t>absence</w:t>
      </w:r>
      <w:r>
        <w:rPr>
          <w:color w:val="010202"/>
          <w:spacing w:val="-10"/>
          <w:sz w:val="22"/>
        </w:rPr>
        <w:t> </w:t>
      </w:r>
      <w:r>
        <w:rPr>
          <w:color w:val="010202"/>
          <w:spacing w:val="-4"/>
          <w:sz w:val="22"/>
        </w:rPr>
        <w:t>of</w:t>
      </w:r>
      <w:r>
        <w:rPr>
          <w:color w:val="010202"/>
          <w:spacing w:val="-9"/>
          <w:sz w:val="22"/>
        </w:rPr>
        <w:t> </w:t>
      </w:r>
      <w:r>
        <w:rPr>
          <w:color w:val="010202"/>
          <w:spacing w:val="-4"/>
          <w:sz w:val="22"/>
        </w:rPr>
        <w:t>the</w:t>
      </w:r>
      <w:r>
        <w:rPr>
          <w:color w:val="010202"/>
          <w:spacing w:val="-10"/>
          <w:sz w:val="22"/>
        </w:rPr>
        <w:t> </w:t>
      </w:r>
      <w:r>
        <w:rPr>
          <w:color w:val="010202"/>
          <w:spacing w:val="-4"/>
          <w:sz w:val="22"/>
        </w:rPr>
        <w:t>intervention).</w:t>
      </w:r>
    </w:p>
    <w:p>
      <w:pPr>
        <w:pStyle w:val="BodyText"/>
        <w:spacing w:line="266" w:lineRule="auto" w:before="196"/>
        <w:ind w:left="159"/>
      </w:pPr>
      <w:r>
        <w:rPr>
          <w:color w:val="231F20"/>
          <w:spacing w:val="-2"/>
        </w:rPr>
        <w:t>Descriptive</w:t>
      </w:r>
      <w:r>
        <w:rPr>
          <w:color w:val="231F20"/>
          <w:spacing w:val="-12"/>
        </w:rPr>
        <w:t> </w:t>
      </w:r>
      <w:r>
        <w:rPr>
          <w:color w:val="231F20"/>
          <w:spacing w:val="-2"/>
        </w:rPr>
        <w:t>and</w:t>
      </w:r>
      <w:r>
        <w:rPr>
          <w:color w:val="231F20"/>
          <w:spacing w:val="-11"/>
        </w:rPr>
        <w:t> </w:t>
      </w:r>
      <w:r>
        <w:rPr>
          <w:color w:val="231F20"/>
          <w:spacing w:val="-2"/>
        </w:rPr>
        <w:t>implementation</w:t>
      </w:r>
      <w:r>
        <w:rPr>
          <w:color w:val="231F20"/>
          <w:spacing w:val="-11"/>
        </w:rPr>
        <w:t> </w:t>
      </w:r>
      <w:r>
        <w:rPr>
          <w:color w:val="231F20"/>
          <w:spacing w:val="-2"/>
        </w:rPr>
        <w:t>studies</w:t>
      </w:r>
      <w:r>
        <w:rPr>
          <w:color w:val="231F20"/>
          <w:spacing w:val="-11"/>
        </w:rPr>
        <w:t> </w:t>
      </w:r>
      <w:r>
        <w:rPr>
          <w:color w:val="231F20"/>
          <w:spacing w:val="-1"/>
        </w:rPr>
        <w:t>and</w:t>
      </w:r>
      <w:r>
        <w:rPr>
          <w:color w:val="231F20"/>
          <w:spacing w:val="-11"/>
        </w:rPr>
        <w:t> </w:t>
      </w:r>
      <w:r>
        <w:rPr>
          <w:color w:val="231F20"/>
          <w:spacing w:val="-1"/>
        </w:rPr>
        <w:t>meta-analyses</w:t>
      </w:r>
      <w:r>
        <w:rPr>
          <w:color w:val="231F20"/>
          <w:spacing w:val="-52"/>
        </w:rPr>
        <w:t> </w:t>
      </w:r>
      <w:r>
        <w:rPr>
          <w:color w:val="231F20"/>
        </w:rPr>
        <w:t>were</w:t>
      </w:r>
      <w:r>
        <w:rPr>
          <w:color w:val="231F20"/>
          <w:spacing w:val="-11"/>
        </w:rPr>
        <w:t> </w:t>
      </w:r>
      <w:r>
        <w:rPr>
          <w:color w:val="231F20"/>
        </w:rPr>
        <w:t>not</w:t>
      </w:r>
      <w:r>
        <w:rPr>
          <w:color w:val="231F20"/>
          <w:spacing w:val="-10"/>
        </w:rPr>
        <w:t> </w:t>
      </w:r>
      <w:r>
        <w:rPr>
          <w:color w:val="231F20"/>
        </w:rPr>
        <w:t>included</w:t>
      </w:r>
      <w:r>
        <w:rPr>
          <w:color w:val="231F20"/>
          <w:spacing w:val="-10"/>
        </w:rPr>
        <w:t> </w:t>
      </w:r>
      <w:r>
        <w:rPr>
          <w:color w:val="231F20"/>
        </w:rPr>
        <w:t>in</w:t>
      </w:r>
      <w:r>
        <w:rPr>
          <w:color w:val="231F20"/>
          <w:spacing w:val="-10"/>
        </w:rPr>
        <w:t> </w:t>
      </w:r>
      <w:r>
        <w:rPr>
          <w:color w:val="231F20"/>
        </w:rPr>
        <w:t>the</w:t>
      </w:r>
      <w:r>
        <w:rPr>
          <w:color w:val="231F20"/>
          <w:spacing w:val="-10"/>
        </w:rPr>
        <w:t> </w:t>
      </w:r>
      <w:r>
        <w:rPr>
          <w:color w:val="231F20"/>
        </w:rPr>
        <w:t>review,</w:t>
      </w:r>
      <w:r>
        <w:rPr>
          <w:color w:val="231F20"/>
          <w:spacing w:val="-10"/>
        </w:rPr>
        <w:t> </w:t>
      </w:r>
      <w:r>
        <w:rPr>
          <w:color w:val="231F20"/>
        </w:rPr>
        <w:t>but</w:t>
      </w:r>
      <w:r>
        <w:rPr>
          <w:color w:val="231F20"/>
          <w:spacing w:val="-10"/>
        </w:rPr>
        <w:t> </w:t>
      </w:r>
      <w:r>
        <w:rPr>
          <w:color w:val="231F20"/>
        </w:rPr>
        <w:t>were</w:t>
      </w:r>
      <w:r>
        <w:rPr>
          <w:color w:val="231F20"/>
          <w:spacing w:val="-11"/>
        </w:rPr>
        <w:t> </w:t>
      </w:r>
      <w:r>
        <w:rPr>
          <w:color w:val="231F20"/>
        </w:rPr>
        <w:t>documented</w:t>
      </w:r>
    </w:p>
    <w:p>
      <w:pPr>
        <w:pStyle w:val="BodyText"/>
        <w:spacing w:line="266" w:lineRule="auto"/>
        <w:ind w:left="159" w:right="226"/>
      </w:pPr>
      <w:r>
        <w:rPr>
          <w:color w:val="231F20"/>
          <w:spacing w:val="-1"/>
        </w:rPr>
        <w:t>to</w:t>
      </w:r>
      <w:r>
        <w:rPr>
          <w:color w:val="231F20"/>
          <w:spacing w:val="-13"/>
        </w:rPr>
        <w:t> </w:t>
      </w:r>
      <w:r>
        <w:rPr>
          <w:color w:val="231F20"/>
          <w:spacing w:val="-1"/>
        </w:rPr>
        <w:t>provide</w:t>
      </w:r>
      <w:r>
        <w:rPr>
          <w:color w:val="231F20"/>
          <w:spacing w:val="-12"/>
        </w:rPr>
        <w:t> </w:t>
      </w:r>
      <w:r>
        <w:rPr>
          <w:color w:val="231F20"/>
          <w:spacing w:val="-1"/>
        </w:rPr>
        <w:t>context</w:t>
      </w:r>
      <w:r>
        <w:rPr>
          <w:color w:val="231F20"/>
          <w:spacing w:val="-13"/>
        </w:rPr>
        <w:t> </w:t>
      </w:r>
      <w:r>
        <w:rPr>
          <w:color w:val="231F20"/>
          <w:spacing w:val="-1"/>
        </w:rPr>
        <w:t>and</w:t>
      </w:r>
      <w:r>
        <w:rPr>
          <w:color w:val="231F20"/>
          <w:spacing w:val="-12"/>
        </w:rPr>
        <w:t> </w:t>
      </w:r>
      <w:r>
        <w:rPr>
          <w:color w:val="231F20"/>
          <w:spacing w:val="-1"/>
        </w:rPr>
        <w:t>identify</w:t>
      </w:r>
      <w:r>
        <w:rPr>
          <w:color w:val="231F20"/>
          <w:spacing w:val="-13"/>
        </w:rPr>
        <w:t> </w:t>
      </w:r>
      <w:r>
        <w:rPr>
          <w:color w:val="231F20"/>
          <w:spacing w:val="-1"/>
        </w:rPr>
        <w:t>implementation</w:t>
      </w:r>
      <w:r>
        <w:rPr>
          <w:color w:val="231F20"/>
          <w:spacing w:val="-12"/>
        </w:rPr>
        <w:t> </w:t>
      </w:r>
      <w:r>
        <w:rPr>
          <w:color w:val="231F20"/>
        </w:rPr>
        <w:t>supports</w:t>
      </w:r>
      <w:r>
        <w:rPr>
          <w:color w:val="231F20"/>
          <w:spacing w:val="-52"/>
        </w:rPr>
        <w:t> </w:t>
      </w:r>
      <w:r>
        <w:rPr>
          <w:color w:val="231F20"/>
          <w:spacing w:val="-3"/>
        </w:rPr>
        <w:t>for the </w:t>
      </w:r>
      <w:r>
        <w:rPr>
          <w:color w:val="231F20"/>
          <w:spacing w:val="-2"/>
        </w:rPr>
        <w:t>practices. Authors included systematic reviews</w:t>
      </w:r>
      <w:r>
        <w:rPr>
          <w:color w:val="231F20"/>
          <w:spacing w:val="-1"/>
        </w:rPr>
        <w:t> </w:t>
      </w:r>
      <w:r>
        <w:rPr>
          <w:color w:val="231F20"/>
        </w:rPr>
        <w:t>when</w:t>
      </w:r>
      <w:r>
        <w:rPr>
          <w:color w:val="231F20"/>
          <w:spacing w:val="-14"/>
        </w:rPr>
        <w:t> </w:t>
      </w:r>
      <w:r>
        <w:rPr>
          <w:color w:val="231F20"/>
        </w:rPr>
        <w:t>assessing</w:t>
      </w:r>
      <w:r>
        <w:rPr>
          <w:color w:val="231F20"/>
          <w:spacing w:val="-12"/>
        </w:rPr>
        <w:t> </w:t>
      </w:r>
      <w:r>
        <w:rPr>
          <w:color w:val="231F20"/>
        </w:rPr>
        <w:t>SSPs,</w:t>
      </w:r>
      <w:r>
        <w:rPr>
          <w:color w:val="231F20"/>
          <w:spacing w:val="-13"/>
        </w:rPr>
        <w:t> </w:t>
      </w:r>
      <w:r>
        <w:rPr>
          <w:color w:val="231F20"/>
        </w:rPr>
        <w:t>as</w:t>
      </w:r>
      <w:r>
        <w:rPr>
          <w:color w:val="231F20"/>
          <w:spacing w:val="-12"/>
        </w:rPr>
        <w:t> </w:t>
      </w:r>
      <w:r>
        <w:rPr>
          <w:color w:val="231F20"/>
        </w:rPr>
        <w:t>an</w:t>
      </w:r>
      <w:r>
        <w:rPr>
          <w:color w:val="231F20"/>
          <w:spacing w:val="-13"/>
        </w:rPr>
        <w:t> </w:t>
      </w:r>
      <w:r>
        <w:rPr>
          <w:color w:val="231F20"/>
        </w:rPr>
        <w:t>evidence</w:t>
      </w:r>
      <w:r>
        <w:rPr>
          <w:color w:val="231F20"/>
          <w:spacing w:val="-12"/>
        </w:rPr>
        <w:t> </w:t>
      </w:r>
      <w:r>
        <w:rPr>
          <w:color w:val="231F20"/>
        </w:rPr>
        <w:t>base</w:t>
      </w:r>
      <w:r>
        <w:rPr>
          <w:color w:val="231F20"/>
          <w:spacing w:val="-12"/>
        </w:rPr>
        <w:t> </w:t>
      </w:r>
      <w:r>
        <w:rPr>
          <w:color w:val="231F20"/>
        </w:rPr>
        <w:t>for</w:t>
      </w:r>
      <w:r>
        <w:rPr>
          <w:color w:val="231F20"/>
          <w:spacing w:val="-12"/>
        </w:rPr>
        <w:t> </w:t>
      </w:r>
      <w:r>
        <w:rPr>
          <w:color w:val="231F20"/>
        </w:rPr>
        <w:t>SSPs</w:t>
      </w:r>
      <w:r>
        <w:rPr>
          <w:color w:val="231F20"/>
          <w:spacing w:val="-14"/>
        </w:rPr>
        <w:t> </w:t>
      </w:r>
      <w:r>
        <w:rPr>
          <w:color w:val="231F20"/>
        </w:rPr>
        <w:t>was</w:t>
      </w:r>
      <w:r>
        <w:rPr>
          <w:color w:val="231F20"/>
          <w:spacing w:val="-52"/>
        </w:rPr>
        <w:t> </w:t>
      </w:r>
      <w:r>
        <w:rPr>
          <w:color w:val="231F20"/>
        </w:rPr>
        <w:t>established</w:t>
      </w:r>
      <w:r>
        <w:rPr>
          <w:color w:val="231F20"/>
          <w:spacing w:val="-5"/>
        </w:rPr>
        <w:t> </w:t>
      </w:r>
      <w:r>
        <w:rPr>
          <w:color w:val="231F20"/>
        </w:rPr>
        <w:t>pre-2000.*</w:t>
      </w:r>
    </w:p>
    <w:p>
      <w:pPr>
        <w:pStyle w:val="BodyText"/>
        <w:spacing w:line="266" w:lineRule="auto" w:before="175"/>
        <w:ind w:left="159" w:right="542"/>
      </w:pPr>
      <w:r>
        <w:rPr>
          <w:color w:val="231F20"/>
        </w:rPr>
        <w:t>Each eligible study was reviewed for evidence of</w:t>
      </w:r>
      <w:r>
        <w:rPr>
          <w:color w:val="231F20"/>
          <w:spacing w:val="1"/>
        </w:rPr>
        <w:t> </w:t>
      </w:r>
      <w:r>
        <w:rPr>
          <w:color w:val="231F20"/>
          <w:spacing w:val="-1"/>
        </w:rPr>
        <w:t>measurable </w:t>
      </w:r>
      <w:r>
        <w:rPr>
          <w:color w:val="231F20"/>
        </w:rPr>
        <w:t>change in HIV and mental illness and/</w:t>
      </w:r>
      <w:r>
        <w:rPr>
          <w:color w:val="231F20"/>
          <w:spacing w:val="1"/>
        </w:rPr>
        <w:t> </w:t>
      </w:r>
      <w:r>
        <w:rPr>
          <w:color w:val="231F20"/>
          <w:spacing w:val="-1"/>
        </w:rPr>
        <w:t>or</w:t>
      </w:r>
      <w:r>
        <w:rPr>
          <w:color w:val="231F20"/>
          <w:spacing w:val="-11"/>
        </w:rPr>
        <w:t> </w:t>
      </w:r>
      <w:r>
        <w:rPr>
          <w:color w:val="231F20"/>
          <w:spacing w:val="-1"/>
        </w:rPr>
        <w:t>SUD-related</w:t>
      </w:r>
      <w:r>
        <w:rPr>
          <w:color w:val="231F20"/>
          <w:spacing w:val="-12"/>
        </w:rPr>
        <w:t> </w:t>
      </w:r>
      <w:r>
        <w:rPr>
          <w:color w:val="231F20"/>
          <w:spacing w:val="-1"/>
        </w:rPr>
        <w:t>health</w:t>
      </w:r>
      <w:r>
        <w:rPr>
          <w:color w:val="231F20"/>
          <w:spacing w:val="-11"/>
        </w:rPr>
        <w:t> </w:t>
      </w:r>
      <w:r>
        <w:rPr>
          <w:color w:val="231F20"/>
          <w:spacing w:val="-1"/>
        </w:rPr>
        <w:t>outcomes.</w:t>
      </w:r>
      <w:r>
        <w:rPr>
          <w:color w:val="231F20"/>
          <w:spacing w:val="-11"/>
        </w:rPr>
        <w:t> </w:t>
      </w:r>
      <w:r>
        <w:rPr>
          <w:color w:val="231F20"/>
          <w:spacing w:val="-1"/>
        </w:rPr>
        <w:t>In</w:t>
      </w:r>
      <w:r>
        <w:rPr>
          <w:color w:val="231F20"/>
          <w:spacing w:val="-11"/>
        </w:rPr>
        <w:t> </w:t>
      </w:r>
      <w:r>
        <w:rPr>
          <w:color w:val="231F20"/>
          <w:spacing w:val="-1"/>
        </w:rPr>
        <w:t>addition,</w:t>
      </w:r>
      <w:r>
        <w:rPr>
          <w:color w:val="231F20"/>
          <w:spacing w:val="-11"/>
        </w:rPr>
        <w:t> </w:t>
      </w:r>
      <w:r>
        <w:rPr>
          <w:color w:val="231F20"/>
          <w:spacing w:val="-1"/>
        </w:rPr>
        <w:t>trained</w:t>
      </w:r>
      <w:r>
        <w:rPr>
          <w:color w:val="231F20"/>
          <w:spacing w:val="-52"/>
        </w:rPr>
        <w:t> </w:t>
      </w:r>
      <w:r>
        <w:rPr>
          <w:color w:val="231F20"/>
        </w:rPr>
        <w:t>reviewers checked each study to ensure rigorous</w:t>
      </w:r>
      <w:r>
        <w:rPr>
          <w:color w:val="231F20"/>
          <w:spacing w:val="1"/>
        </w:rPr>
        <w:t> </w:t>
      </w:r>
      <w:r>
        <w:rPr>
          <w:color w:val="231F20"/>
        </w:rPr>
        <w:t>methodology,</w:t>
      </w:r>
      <w:r>
        <w:rPr>
          <w:color w:val="231F20"/>
          <w:spacing w:val="-7"/>
        </w:rPr>
        <w:t> </w:t>
      </w:r>
      <w:r>
        <w:rPr>
          <w:color w:val="231F20"/>
        </w:rPr>
        <w:t>asking</w:t>
      </w:r>
      <w:r>
        <w:rPr>
          <w:color w:val="231F20"/>
          <w:spacing w:val="-7"/>
        </w:rPr>
        <w:t> </w:t>
      </w:r>
      <w:r>
        <w:rPr>
          <w:color w:val="231F20"/>
        </w:rPr>
        <w:t>questions</w:t>
      </w:r>
      <w:r>
        <w:rPr>
          <w:color w:val="231F20"/>
          <w:spacing w:val="-7"/>
        </w:rPr>
        <w:t> </w:t>
      </w:r>
      <w:r>
        <w:rPr>
          <w:color w:val="231F20"/>
        </w:rPr>
        <w:t>such</w:t>
      </w:r>
      <w:r>
        <w:rPr>
          <w:color w:val="231F20"/>
          <w:spacing w:val="-8"/>
        </w:rPr>
        <w:t> </w:t>
      </w:r>
      <w:r>
        <w:rPr>
          <w:color w:val="231F20"/>
        </w:rPr>
        <w:t>as:</w:t>
      </w:r>
    </w:p>
    <w:p>
      <w:pPr>
        <w:pStyle w:val="ListParagraph"/>
        <w:numPr>
          <w:ilvl w:val="0"/>
          <w:numId w:val="3"/>
        </w:numPr>
        <w:tabs>
          <w:tab w:pos="879" w:val="left" w:leader="none"/>
          <w:tab w:pos="880" w:val="left" w:leader="none"/>
        </w:tabs>
        <w:spacing w:line="249" w:lineRule="auto" w:before="145" w:after="0"/>
        <w:ind w:left="879" w:right="244" w:hanging="360"/>
        <w:jc w:val="left"/>
        <w:rPr>
          <w:sz w:val="22"/>
        </w:rPr>
      </w:pPr>
      <w:r>
        <w:rPr>
          <w:color w:val="010202"/>
          <w:sz w:val="22"/>
        </w:rPr>
        <w:t>Are experimental and comparison groups</w:t>
      </w:r>
      <w:r>
        <w:rPr>
          <w:color w:val="010202"/>
          <w:spacing w:val="1"/>
          <w:sz w:val="22"/>
        </w:rPr>
        <w:t> </w:t>
      </w:r>
      <w:r>
        <w:rPr>
          <w:color w:val="010202"/>
          <w:sz w:val="22"/>
        </w:rPr>
        <w:t>demographically equivalent, with the only</w:t>
      </w:r>
      <w:r>
        <w:rPr>
          <w:color w:val="010202"/>
          <w:spacing w:val="1"/>
          <w:sz w:val="22"/>
        </w:rPr>
        <w:t> </w:t>
      </w:r>
      <w:r>
        <w:rPr>
          <w:color w:val="010202"/>
          <w:sz w:val="22"/>
        </w:rPr>
        <w:t>difference being that participants in the</w:t>
      </w:r>
      <w:r>
        <w:rPr>
          <w:color w:val="010202"/>
          <w:spacing w:val="1"/>
          <w:sz w:val="22"/>
        </w:rPr>
        <w:t> </w:t>
      </w:r>
      <w:r>
        <w:rPr>
          <w:color w:val="010202"/>
          <w:sz w:val="22"/>
        </w:rPr>
        <w:t>experimental group received the intervention</w:t>
      </w:r>
      <w:r>
        <w:rPr>
          <w:color w:val="010202"/>
          <w:spacing w:val="1"/>
          <w:sz w:val="22"/>
        </w:rPr>
        <w:t> </w:t>
      </w:r>
      <w:r>
        <w:rPr>
          <w:color w:val="010202"/>
          <w:sz w:val="22"/>
        </w:rPr>
        <w:t>and those in the comparison group received</w:t>
      </w:r>
      <w:r>
        <w:rPr>
          <w:color w:val="010202"/>
          <w:spacing w:val="1"/>
          <w:sz w:val="22"/>
        </w:rPr>
        <w:t> </w:t>
      </w:r>
      <w:r>
        <w:rPr>
          <w:color w:val="010202"/>
          <w:sz w:val="22"/>
        </w:rPr>
        <w:t>treatment</w:t>
      </w:r>
      <w:r>
        <w:rPr>
          <w:color w:val="010202"/>
          <w:spacing w:val="-3"/>
          <w:sz w:val="22"/>
        </w:rPr>
        <w:t> </w:t>
      </w:r>
      <w:r>
        <w:rPr>
          <w:color w:val="010202"/>
          <w:sz w:val="22"/>
        </w:rPr>
        <w:t>as</w:t>
      </w:r>
      <w:r>
        <w:rPr>
          <w:color w:val="010202"/>
          <w:spacing w:val="-3"/>
          <w:sz w:val="22"/>
        </w:rPr>
        <w:t> </w:t>
      </w:r>
      <w:r>
        <w:rPr>
          <w:color w:val="010202"/>
          <w:sz w:val="22"/>
        </w:rPr>
        <w:t>usual</w:t>
      </w:r>
      <w:r>
        <w:rPr>
          <w:color w:val="010202"/>
          <w:spacing w:val="-3"/>
          <w:sz w:val="22"/>
        </w:rPr>
        <w:t> </w:t>
      </w:r>
      <w:r>
        <w:rPr>
          <w:color w:val="010202"/>
          <w:sz w:val="22"/>
        </w:rPr>
        <w:t>or</w:t>
      </w:r>
      <w:r>
        <w:rPr>
          <w:color w:val="010202"/>
          <w:spacing w:val="-3"/>
          <w:sz w:val="22"/>
        </w:rPr>
        <w:t> </w:t>
      </w:r>
      <w:r>
        <w:rPr>
          <w:color w:val="010202"/>
          <w:sz w:val="22"/>
        </w:rPr>
        <w:t>no/minimal</w:t>
      </w:r>
      <w:r>
        <w:rPr>
          <w:color w:val="010202"/>
          <w:spacing w:val="-3"/>
          <w:sz w:val="22"/>
        </w:rPr>
        <w:t> </w:t>
      </w:r>
      <w:r>
        <w:rPr>
          <w:color w:val="010202"/>
          <w:sz w:val="22"/>
        </w:rPr>
        <w:t>intervention?</w:t>
      </w:r>
    </w:p>
    <w:p>
      <w:pPr>
        <w:pStyle w:val="ListParagraph"/>
        <w:numPr>
          <w:ilvl w:val="0"/>
          <w:numId w:val="3"/>
        </w:numPr>
        <w:tabs>
          <w:tab w:pos="879" w:val="left" w:leader="none"/>
          <w:tab w:pos="880" w:val="left" w:leader="none"/>
        </w:tabs>
        <w:spacing w:line="249" w:lineRule="auto" w:before="0" w:after="0"/>
        <w:ind w:left="879" w:right="280" w:hanging="360"/>
        <w:jc w:val="left"/>
        <w:rPr>
          <w:sz w:val="22"/>
        </w:rPr>
      </w:pPr>
      <w:r>
        <w:rPr>
          <w:color w:val="010202"/>
          <w:sz w:val="22"/>
        </w:rPr>
        <w:t>Was</w:t>
      </w:r>
      <w:r>
        <w:rPr>
          <w:color w:val="010202"/>
          <w:spacing w:val="-8"/>
          <w:sz w:val="22"/>
        </w:rPr>
        <w:t> </w:t>
      </w:r>
      <w:r>
        <w:rPr>
          <w:color w:val="010202"/>
          <w:sz w:val="22"/>
        </w:rPr>
        <w:t>baseline</w:t>
      </w:r>
      <w:r>
        <w:rPr>
          <w:color w:val="010202"/>
          <w:spacing w:val="-8"/>
          <w:sz w:val="22"/>
        </w:rPr>
        <w:t> </w:t>
      </w:r>
      <w:r>
        <w:rPr>
          <w:color w:val="010202"/>
          <w:sz w:val="22"/>
        </w:rPr>
        <w:t>equivalence</w:t>
      </w:r>
      <w:r>
        <w:rPr>
          <w:color w:val="010202"/>
          <w:spacing w:val="-7"/>
          <w:sz w:val="22"/>
        </w:rPr>
        <w:t> </w:t>
      </w:r>
      <w:r>
        <w:rPr>
          <w:color w:val="010202"/>
          <w:sz w:val="22"/>
        </w:rPr>
        <w:t>established</w:t>
      </w:r>
      <w:r>
        <w:rPr>
          <w:color w:val="010202"/>
          <w:spacing w:val="-8"/>
          <w:sz w:val="22"/>
        </w:rPr>
        <w:t> </w:t>
      </w:r>
      <w:r>
        <w:rPr>
          <w:color w:val="010202"/>
          <w:sz w:val="22"/>
        </w:rPr>
        <w:t>between</w:t>
      </w:r>
      <w:r>
        <w:rPr>
          <w:color w:val="010202"/>
          <w:spacing w:val="-52"/>
          <w:sz w:val="22"/>
        </w:rPr>
        <w:t> </w:t>
      </w:r>
      <w:r>
        <w:rPr>
          <w:color w:val="010202"/>
          <w:sz w:val="22"/>
        </w:rPr>
        <w:t>the treatment and comparison groups on</w:t>
      </w:r>
      <w:r>
        <w:rPr>
          <w:color w:val="010202"/>
          <w:spacing w:val="1"/>
          <w:sz w:val="22"/>
        </w:rPr>
        <w:t> </w:t>
      </w:r>
      <w:r>
        <w:rPr>
          <w:color w:val="010202"/>
          <w:sz w:val="22"/>
        </w:rPr>
        <w:t>outcome measures?</w:t>
      </w:r>
    </w:p>
    <w:p>
      <w:pPr>
        <w:pStyle w:val="ListParagraph"/>
        <w:numPr>
          <w:ilvl w:val="0"/>
          <w:numId w:val="3"/>
        </w:numPr>
        <w:tabs>
          <w:tab w:pos="879" w:val="left" w:leader="none"/>
          <w:tab w:pos="880" w:val="left" w:leader="none"/>
        </w:tabs>
        <w:spacing w:line="252" w:lineRule="exact" w:before="0" w:after="0"/>
        <w:ind w:left="879" w:right="0" w:hanging="361"/>
        <w:jc w:val="left"/>
        <w:rPr>
          <w:sz w:val="22"/>
        </w:rPr>
      </w:pPr>
      <w:r>
        <w:rPr>
          <w:color w:val="010202"/>
          <w:sz w:val="22"/>
        </w:rPr>
        <w:t>Were</w:t>
      </w:r>
      <w:r>
        <w:rPr>
          <w:color w:val="010202"/>
          <w:spacing w:val="-4"/>
          <w:sz w:val="22"/>
        </w:rPr>
        <w:t> </w:t>
      </w:r>
      <w:r>
        <w:rPr>
          <w:color w:val="010202"/>
          <w:sz w:val="22"/>
        </w:rPr>
        <w:t>missing</w:t>
      </w:r>
      <w:r>
        <w:rPr>
          <w:color w:val="010202"/>
          <w:spacing w:val="-3"/>
          <w:sz w:val="22"/>
        </w:rPr>
        <w:t> </w:t>
      </w:r>
      <w:r>
        <w:rPr>
          <w:color w:val="010202"/>
          <w:sz w:val="22"/>
        </w:rPr>
        <w:t>data</w:t>
      </w:r>
      <w:r>
        <w:rPr>
          <w:color w:val="010202"/>
          <w:spacing w:val="-4"/>
          <w:sz w:val="22"/>
        </w:rPr>
        <w:t> </w:t>
      </w:r>
      <w:r>
        <w:rPr>
          <w:color w:val="010202"/>
          <w:sz w:val="22"/>
        </w:rPr>
        <w:t>addressed</w:t>
      </w:r>
      <w:r>
        <w:rPr>
          <w:color w:val="010202"/>
          <w:spacing w:val="-3"/>
          <w:sz w:val="22"/>
        </w:rPr>
        <w:t> </w:t>
      </w:r>
      <w:r>
        <w:rPr>
          <w:color w:val="010202"/>
          <w:sz w:val="22"/>
        </w:rPr>
        <w:t>appropriately?</w:t>
      </w:r>
    </w:p>
    <w:p>
      <w:pPr>
        <w:pStyle w:val="ListParagraph"/>
        <w:numPr>
          <w:ilvl w:val="0"/>
          <w:numId w:val="3"/>
        </w:numPr>
        <w:tabs>
          <w:tab w:pos="879" w:val="left" w:leader="none"/>
          <w:tab w:pos="880" w:val="left" w:leader="none"/>
        </w:tabs>
        <w:spacing w:line="249" w:lineRule="auto" w:before="0" w:after="0"/>
        <w:ind w:left="879" w:right="519" w:hanging="360"/>
        <w:jc w:val="left"/>
        <w:rPr>
          <w:sz w:val="22"/>
        </w:rPr>
      </w:pPr>
      <w:r>
        <w:rPr>
          <w:color w:val="010202"/>
          <w:sz w:val="22"/>
        </w:rPr>
        <w:t>Were</w:t>
      </w:r>
      <w:r>
        <w:rPr>
          <w:color w:val="010202"/>
          <w:spacing w:val="-7"/>
          <w:sz w:val="22"/>
        </w:rPr>
        <w:t> </w:t>
      </w:r>
      <w:r>
        <w:rPr>
          <w:color w:val="010202"/>
          <w:sz w:val="22"/>
        </w:rPr>
        <w:t>outcome</w:t>
      </w:r>
      <w:r>
        <w:rPr>
          <w:color w:val="010202"/>
          <w:spacing w:val="-6"/>
          <w:sz w:val="22"/>
        </w:rPr>
        <w:t> </w:t>
      </w:r>
      <w:r>
        <w:rPr>
          <w:color w:val="010202"/>
          <w:sz w:val="22"/>
        </w:rPr>
        <w:t>measures</w:t>
      </w:r>
      <w:r>
        <w:rPr>
          <w:color w:val="010202"/>
          <w:spacing w:val="-6"/>
          <w:sz w:val="22"/>
        </w:rPr>
        <w:t> </w:t>
      </w:r>
      <w:r>
        <w:rPr>
          <w:color w:val="010202"/>
          <w:sz w:val="22"/>
        </w:rPr>
        <w:t>reliable,</w:t>
      </w:r>
      <w:r>
        <w:rPr>
          <w:color w:val="010202"/>
          <w:spacing w:val="-7"/>
          <w:sz w:val="22"/>
        </w:rPr>
        <w:t> </w:t>
      </w:r>
      <w:r>
        <w:rPr>
          <w:color w:val="010202"/>
          <w:sz w:val="22"/>
        </w:rPr>
        <w:t>valid,</w:t>
      </w:r>
      <w:r>
        <w:rPr>
          <w:color w:val="010202"/>
          <w:spacing w:val="-6"/>
          <w:sz w:val="22"/>
        </w:rPr>
        <w:t> </w:t>
      </w:r>
      <w:r>
        <w:rPr>
          <w:color w:val="010202"/>
          <w:sz w:val="22"/>
        </w:rPr>
        <w:t>and</w:t>
      </w:r>
      <w:r>
        <w:rPr>
          <w:color w:val="010202"/>
          <w:spacing w:val="-52"/>
          <w:sz w:val="22"/>
        </w:rPr>
        <w:t> </w:t>
      </w:r>
      <w:r>
        <w:rPr>
          <w:color w:val="010202"/>
          <w:sz w:val="22"/>
        </w:rPr>
        <w:t>collected</w:t>
      </w:r>
      <w:r>
        <w:rPr>
          <w:color w:val="010202"/>
          <w:spacing w:val="-4"/>
          <w:sz w:val="22"/>
        </w:rPr>
        <w:t> </w:t>
      </w:r>
      <w:r>
        <w:rPr>
          <w:color w:val="010202"/>
          <w:sz w:val="22"/>
        </w:rPr>
        <w:t>consistently</w:t>
      </w:r>
      <w:r>
        <w:rPr>
          <w:color w:val="010202"/>
          <w:spacing w:val="-4"/>
          <w:sz w:val="22"/>
        </w:rPr>
        <w:t> </w:t>
      </w:r>
      <w:r>
        <w:rPr>
          <w:color w:val="010202"/>
          <w:sz w:val="22"/>
        </w:rPr>
        <w:t>from</w:t>
      </w:r>
      <w:r>
        <w:rPr>
          <w:color w:val="010202"/>
          <w:spacing w:val="-3"/>
          <w:sz w:val="22"/>
        </w:rPr>
        <w:t> </w:t>
      </w:r>
      <w:r>
        <w:rPr>
          <w:color w:val="010202"/>
          <w:sz w:val="22"/>
        </w:rPr>
        <w:t>all</w:t>
      </w:r>
      <w:r>
        <w:rPr>
          <w:color w:val="010202"/>
          <w:spacing w:val="-4"/>
          <w:sz w:val="22"/>
        </w:rPr>
        <w:t> </w:t>
      </w:r>
      <w:r>
        <w:rPr>
          <w:color w:val="010202"/>
          <w:sz w:val="22"/>
        </w:rPr>
        <w:t>participants?</w:t>
      </w:r>
    </w:p>
    <w:p>
      <w:pPr>
        <w:pStyle w:val="BodyText"/>
        <w:spacing w:line="266" w:lineRule="auto" w:before="181"/>
        <w:ind w:left="159" w:right="91"/>
      </w:pPr>
      <w:r>
        <w:rPr>
          <w:color w:val="231F20"/>
          <w:spacing w:val="-5"/>
        </w:rPr>
        <w:t>Using these criteria, each </w:t>
      </w:r>
      <w:r>
        <w:rPr>
          <w:color w:val="231F20"/>
          <w:spacing w:val="-4"/>
        </w:rPr>
        <w:t>study’s causal impact was</w:t>
      </w:r>
      <w:r>
        <w:rPr>
          <w:color w:val="231F20"/>
          <w:spacing w:val="-3"/>
        </w:rPr>
        <w:t> </w:t>
      </w:r>
      <w:r>
        <w:rPr>
          <w:color w:val="231F20"/>
          <w:spacing w:val="-5"/>
        </w:rPr>
        <w:t>assessed and given </w:t>
      </w:r>
      <w:r>
        <w:rPr>
          <w:color w:val="231F20"/>
          <w:spacing w:val="-4"/>
        </w:rPr>
        <w:t>a rating of low, moderate, or high. Only</w:t>
      </w:r>
      <w:r>
        <w:rPr>
          <w:color w:val="231F20"/>
          <w:spacing w:val="-52"/>
        </w:rPr>
        <w:t> </w:t>
      </w:r>
      <w:r>
        <w:rPr>
          <w:color w:val="231F20"/>
          <w:spacing w:val="-5"/>
        </w:rPr>
        <w:t>randomized controlled trials, quasi-experimental </w:t>
      </w:r>
      <w:r>
        <w:rPr>
          <w:color w:val="231F20"/>
          <w:spacing w:val="-4"/>
        </w:rPr>
        <w:t>designs,</w:t>
      </w:r>
      <w:r>
        <w:rPr>
          <w:color w:val="231F20"/>
          <w:spacing w:val="-3"/>
        </w:rPr>
        <w:t> </w:t>
      </w:r>
      <w:r>
        <w:rPr>
          <w:color w:val="231F20"/>
          <w:spacing w:val="-5"/>
        </w:rPr>
        <w:t>and</w:t>
      </w:r>
      <w:r>
        <w:rPr>
          <w:color w:val="231F20"/>
          <w:spacing w:val="-9"/>
        </w:rPr>
        <w:t> </w:t>
      </w:r>
      <w:r>
        <w:rPr>
          <w:color w:val="231F20"/>
          <w:spacing w:val="-5"/>
        </w:rPr>
        <w:t>epidemiological</w:t>
      </w:r>
      <w:r>
        <w:rPr>
          <w:color w:val="231F20"/>
          <w:spacing w:val="-9"/>
        </w:rPr>
        <w:t> </w:t>
      </w:r>
      <w:r>
        <w:rPr>
          <w:color w:val="231F20"/>
          <w:spacing w:val="-4"/>
        </w:rPr>
        <w:t>studies</w:t>
      </w:r>
      <w:r>
        <w:rPr>
          <w:color w:val="231F20"/>
          <w:spacing w:val="-8"/>
        </w:rPr>
        <w:t> </w:t>
      </w:r>
      <w:r>
        <w:rPr>
          <w:color w:val="231F20"/>
          <w:spacing w:val="-4"/>
        </w:rPr>
        <w:t>with</w:t>
      </w:r>
      <w:r>
        <w:rPr>
          <w:color w:val="231F20"/>
          <w:spacing w:val="-9"/>
        </w:rPr>
        <w:t> </w:t>
      </w:r>
      <w:r>
        <w:rPr>
          <w:color w:val="231F20"/>
          <w:spacing w:val="-4"/>
        </w:rPr>
        <w:t>a</w:t>
      </w:r>
      <w:r>
        <w:rPr>
          <w:color w:val="231F20"/>
          <w:spacing w:val="-9"/>
        </w:rPr>
        <w:t> </w:t>
      </w:r>
      <w:r>
        <w:rPr>
          <w:color w:val="231F20"/>
          <w:spacing w:val="-4"/>
        </w:rPr>
        <w:t>strong</w:t>
      </w:r>
      <w:r>
        <w:rPr>
          <w:color w:val="231F20"/>
          <w:spacing w:val="-8"/>
        </w:rPr>
        <w:t> </w:t>
      </w:r>
      <w:r>
        <w:rPr>
          <w:color w:val="231F20"/>
          <w:spacing w:val="-4"/>
        </w:rPr>
        <w:t>comparison</w:t>
      </w:r>
      <w:r>
        <w:rPr>
          <w:color w:val="231F20"/>
          <w:spacing w:val="-9"/>
        </w:rPr>
        <w:t> </w:t>
      </w:r>
      <w:r>
        <w:rPr>
          <w:color w:val="231F20"/>
          <w:spacing w:val="-4"/>
        </w:rPr>
        <w:t>were</w:t>
      </w:r>
    </w:p>
    <w:p>
      <w:pPr>
        <w:pStyle w:val="BodyText"/>
        <w:spacing w:line="266" w:lineRule="auto" w:before="116"/>
        <w:ind w:left="159" w:right="733"/>
      </w:pPr>
      <w:r>
        <w:rPr/>
        <w:br w:type="column"/>
      </w:r>
      <w:r>
        <w:rPr>
          <w:color w:val="231F20"/>
          <w:spacing w:val="-5"/>
        </w:rPr>
        <w:t>eligible </w:t>
      </w:r>
      <w:r>
        <w:rPr>
          <w:color w:val="231F20"/>
          <w:spacing w:val="-4"/>
        </w:rPr>
        <w:t>to receive a high or moderate rating (see Appendix</w:t>
      </w:r>
      <w:r>
        <w:rPr>
          <w:color w:val="231F20"/>
          <w:spacing w:val="-52"/>
        </w:rPr>
        <w:t> </w:t>
      </w:r>
      <w:r>
        <w:rPr>
          <w:color w:val="231F20"/>
          <w:spacing w:val="-5"/>
        </w:rPr>
        <w:t>2</w:t>
      </w:r>
      <w:r>
        <w:rPr>
          <w:color w:val="231F20"/>
          <w:spacing w:val="-8"/>
        </w:rPr>
        <w:t> </w:t>
      </w:r>
      <w:r>
        <w:rPr>
          <w:color w:val="231F20"/>
          <w:spacing w:val="-5"/>
        </w:rPr>
        <w:t>for</w:t>
      </w:r>
      <w:r>
        <w:rPr>
          <w:color w:val="231F20"/>
          <w:spacing w:val="-8"/>
        </w:rPr>
        <w:t> </w:t>
      </w:r>
      <w:r>
        <w:rPr>
          <w:color w:val="231F20"/>
          <w:spacing w:val="-5"/>
        </w:rPr>
        <w:t>more</w:t>
      </w:r>
      <w:r>
        <w:rPr>
          <w:color w:val="231F20"/>
          <w:spacing w:val="-8"/>
        </w:rPr>
        <w:t> </w:t>
      </w:r>
      <w:r>
        <w:rPr>
          <w:color w:val="231F20"/>
          <w:spacing w:val="-5"/>
        </w:rPr>
        <w:t>information</w:t>
      </w:r>
      <w:r>
        <w:rPr>
          <w:color w:val="231F20"/>
          <w:spacing w:val="-8"/>
        </w:rPr>
        <w:t> </w:t>
      </w:r>
      <w:r>
        <w:rPr>
          <w:color w:val="231F20"/>
          <w:spacing w:val="-4"/>
        </w:rPr>
        <w:t>about</w:t>
      </w:r>
      <w:r>
        <w:rPr>
          <w:color w:val="231F20"/>
          <w:spacing w:val="-8"/>
        </w:rPr>
        <w:t> </w:t>
      </w:r>
      <w:r>
        <w:rPr>
          <w:color w:val="231F20"/>
          <w:spacing w:val="-4"/>
        </w:rPr>
        <w:t>the</w:t>
      </w:r>
      <w:r>
        <w:rPr>
          <w:color w:val="231F20"/>
          <w:spacing w:val="-8"/>
        </w:rPr>
        <w:t> </w:t>
      </w:r>
      <w:r>
        <w:rPr>
          <w:color w:val="231F20"/>
          <w:spacing w:val="-4"/>
        </w:rPr>
        <w:t>evidence</w:t>
      </w:r>
      <w:r>
        <w:rPr>
          <w:color w:val="231F20"/>
          <w:spacing w:val="-8"/>
        </w:rPr>
        <w:t> </w:t>
      </w:r>
      <w:r>
        <w:rPr>
          <w:color w:val="231F20"/>
          <w:spacing w:val="-4"/>
        </w:rPr>
        <w:t>review</w:t>
      </w:r>
      <w:r>
        <w:rPr>
          <w:color w:val="231F20"/>
          <w:spacing w:val="-8"/>
        </w:rPr>
        <w:t> </w:t>
      </w:r>
      <w:r>
        <w:rPr>
          <w:color w:val="231F20"/>
          <w:spacing w:val="-4"/>
        </w:rPr>
        <w:t>process).</w:t>
      </w:r>
    </w:p>
    <w:p>
      <w:pPr>
        <w:pStyle w:val="BodyText"/>
        <w:spacing w:before="4"/>
        <w:rPr>
          <w:sz w:val="19"/>
        </w:rPr>
      </w:pPr>
      <w:r>
        <w:rPr/>
        <w:pict>
          <v:group style="position:absolute;margin-left:324.519989pt;margin-top:12.326582pt;width:252pt;height:66.25pt;mso-position-horizontal-relative:page;mso-position-vertical-relative:paragraph;z-index:-15711744;mso-wrap-distance-left:0;mso-wrap-distance-right:0" id="docshapegroup82" coordorigin="6490,247" coordsize="5040,1325">
            <v:shape style="position:absolute;left:6490;top:246;width:5040;height:1325" id="docshape83" coordorigin="6490,247" coordsize="5040,1325" path="m11440,247l6580,247,6545,254,6517,273,6497,302,6490,337,6490,1481,6497,1516,6517,1545,6545,1564,6580,1571,11440,1571,11475,1564,11504,1545,11523,1516,11530,1481,11530,337,11523,302,11504,273,11475,254,11440,247xe" filled="true" fillcolor="#f7e0e0" stroked="false">
              <v:path arrowok="t"/>
              <v:fill type="solid"/>
            </v:shape>
            <v:shape style="position:absolute;left:6490;top:246;width:5040;height:1325" type="#_x0000_t202" id="docshape84" filled="false" stroked="false">
              <v:textbox inset="0,0,0,0">
                <w:txbxContent>
                  <w:p>
                    <w:pPr>
                      <w:spacing w:line="252" w:lineRule="auto" w:before="101"/>
                      <w:ind w:left="180" w:right="417" w:firstLine="0"/>
                      <w:jc w:val="left"/>
                      <w:rPr>
                        <w:rFonts w:ascii="Arial" w:hAnsi="Arial"/>
                        <w:sz w:val="21"/>
                      </w:rPr>
                    </w:pPr>
                    <w:r>
                      <w:rPr>
                        <w:rFonts w:ascii="Arial Black" w:hAnsi="Arial Black"/>
                        <w:color w:val="CE384B"/>
                        <w:spacing w:val="-1"/>
                        <w:sz w:val="21"/>
                      </w:rPr>
                      <w:t>Causal Impact: </w:t>
                    </w:r>
                    <w:r>
                      <w:rPr>
                        <w:rFonts w:ascii="Arial" w:hAnsi="Arial"/>
                        <w:color w:val="010202"/>
                        <w:spacing w:val="-1"/>
                        <w:sz w:val="21"/>
                      </w:rPr>
                      <w:t>Evidence </w:t>
                    </w:r>
                    <w:r>
                      <w:rPr>
                        <w:rFonts w:ascii="Arial" w:hAnsi="Arial"/>
                        <w:color w:val="010202"/>
                        <w:sz w:val="21"/>
                      </w:rPr>
                      <w:t>demonstrating that</w:t>
                    </w:r>
                    <w:r>
                      <w:rPr>
                        <w:rFonts w:ascii="Arial" w:hAnsi="Arial"/>
                        <w:color w:val="010202"/>
                        <w:spacing w:val="-56"/>
                        <w:sz w:val="21"/>
                      </w:rPr>
                      <w:t> </w:t>
                    </w:r>
                    <w:r>
                      <w:rPr>
                        <w:rFonts w:ascii="Arial" w:hAnsi="Arial"/>
                        <w:color w:val="010202"/>
                        <w:sz w:val="21"/>
                      </w:rPr>
                      <w:t>an</w:t>
                    </w:r>
                    <w:r>
                      <w:rPr>
                        <w:rFonts w:ascii="Arial" w:hAnsi="Arial"/>
                        <w:color w:val="010202"/>
                        <w:spacing w:val="6"/>
                        <w:sz w:val="21"/>
                      </w:rPr>
                      <w:t> </w:t>
                    </w:r>
                    <w:r>
                      <w:rPr>
                        <w:rFonts w:ascii="Arial" w:hAnsi="Arial"/>
                        <w:color w:val="010202"/>
                        <w:sz w:val="21"/>
                      </w:rPr>
                      <w:t>intervention</w:t>
                    </w:r>
                    <w:r>
                      <w:rPr>
                        <w:rFonts w:ascii="Arial" w:hAnsi="Arial"/>
                        <w:color w:val="010202"/>
                        <w:spacing w:val="7"/>
                        <w:sz w:val="21"/>
                      </w:rPr>
                      <w:t> </w:t>
                    </w:r>
                    <w:r>
                      <w:rPr>
                        <w:rFonts w:ascii="Arial" w:hAnsi="Arial"/>
                        <w:color w:val="010202"/>
                        <w:sz w:val="21"/>
                      </w:rPr>
                      <w:t>causes,</w:t>
                    </w:r>
                    <w:r>
                      <w:rPr>
                        <w:rFonts w:ascii="Arial" w:hAnsi="Arial"/>
                        <w:color w:val="010202"/>
                        <w:spacing w:val="8"/>
                        <w:sz w:val="21"/>
                      </w:rPr>
                      <w:t> </w:t>
                    </w:r>
                    <w:r>
                      <w:rPr>
                        <w:rFonts w:ascii="Arial" w:hAnsi="Arial"/>
                        <w:color w:val="010202"/>
                        <w:sz w:val="21"/>
                      </w:rPr>
                      <w:t>or</w:t>
                    </w:r>
                    <w:r>
                      <w:rPr>
                        <w:rFonts w:ascii="Arial" w:hAnsi="Arial"/>
                        <w:color w:val="010202"/>
                        <w:spacing w:val="6"/>
                        <w:sz w:val="21"/>
                      </w:rPr>
                      <w:t> </w:t>
                    </w:r>
                    <w:r>
                      <w:rPr>
                        <w:rFonts w:ascii="Arial" w:hAnsi="Arial"/>
                        <w:color w:val="010202"/>
                        <w:sz w:val="21"/>
                      </w:rPr>
                      <w:t>is</w:t>
                    </w:r>
                    <w:r>
                      <w:rPr>
                        <w:rFonts w:ascii="Arial" w:hAnsi="Arial"/>
                        <w:color w:val="010202"/>
                        <w:spacing w:val="7"/>
                        <w:sz w:val="21"/>
                      </w:rPr>
                      <w:t> </w:t>
                    </w:r>
                    <w:r>
                      <w:rPr>
                        <w:rFonts w:ascii="Arial" w:hAnsi="Arial"/>
                        <w:color w:val="010202"/>
                        <w:sz w:val="21"/>
                      </w:rPr>
                      <w:t>responsible</w:t>
                    </w:r>
                    <w:r>
                      <w:rPr>
                        <w:rFonts w:ascii="Arial" w:hAnsi="Arial"/>
                        <w:color w:val="010202"/>
                        <w:spacing w:val="8"/>
                        <w:sz w:val="21"/>
                      </w:rPr>
                      <w:t> </w:t>
                    </w:r>
                    <w:r>
                      <w:rPr>
                        <w:rFonts w:ascii="Arial" w:hAnsi="Arial"/>
                        <w:color w:val="010202"/>
                        <w:sz w:val="21"/>
                      </w:rPr>
                      <w:t>for,</w:t>
                    </w:r>
                    <w:r>
                      <w:rPr>
                        <w:rFonts w:ascii="Arial" w:hAnsi="Arial"/>
                        <w:color w:val="010202"/>
                        <w:spacing w:val="1"/>
                        <w:sz w:val="21"/>
                      </w:rPr>
                      <w:t> </w:t>
                    </w:r>
                    <w:r>
                      <w:rPr>
                        <w:rFonts w:ascii="Arial" w:hAnsi="Arial"/>
                        <w:color w:val="010202"/>
                        <w:sz w:val="21"/>
                      </w:rPr>
                      <w:t>the outcome measured in the study’s sample</w:t>
                    </w:r>
                    <w:r>
                      <w:rPr>
                        <w:rFonts w:ascii="Arial" w:hAnsi="Arial"/>
                        <w:color w:val="010202"/>
                        <w:spacing w:val="1"/>
                        <w:sz w:val="21"/>
                      </w:rPr>
                      <w:t> </w:t>
                    </w:r>
                    <w:r>
                      <w:rPr>
                        <w:rFonts w:ascii="Arial" w:hAnsi="Arial"/>
                        <w:color w:val="010202"/>
                        <w:sz w:val="21"/>
                      </w:rPr>
                      <w:t>population.</w:t>
                    </w:r>
                  </w:p>
                </w:txbxContent>
              </v:textbox>
              <w10:wrap type="none"/>
            </v:shape>
            <w10:wrap type="topAndBottom"/>
          </v:group>
        </w:pict>
      </w:r>
    </w:p>
    <w:p>
      <w:pPr>
        <w:pStyle w:val="BodyText"/>
        <w:spacing w:before="11"/>
        <w:rPr>
          <w:sz w:val="24"/>
        </w:rPr>
      </w:pPr>
    </w:p>
    <w:p>
      <w:pPr>
        <w:pStyle w:val="BodyText"/>
        <w:spacing w:line="266" w:lineRule="auto"/>
        <w:ind w:left="159" w:right="1042"/>
      </w:pPr>
      <w:r>
        <w:rPr>
          <w:color w:val="231F20"/>
          <w:spacing w:val="-1"/>
        </w:rPr>
        <w:t>After</w:t>
      </w:r>
      <w:r>
        <w:rPr>
          <w:color w:val="231F20"/>
          <w:spacing w:val="-13"/>
        </w:rPr>
        <w:t> </w:t>
      </w:r>
      <w:r>
        <w:rPr>
          <w:color w:val="231F20"/>
          <w:spacing w:val="-1"/>
        </w:rPr>
        <w:t>all</w:t>
      </w:r>
      <w:r>
        <w:rPr>
          <w:color w:val="231F20"/>
          <w:spacing w:val="-12"/>
        </w:rPr>
        <w:t> </w:t>
      </w:r>
      <w:r>
        <w:rPr>
          <w:color w:val="231F20"/>
          <w:spacing w:val="-1"/>
        </w:rPr>
        <w:t>studies</w:t>
      </w:r>
      <w:r>
        <w:rPr>
          <w:color w:val="231F20"/>
          <w:spacing w:val="-13"/>
        </w:rPr>
        <w:t> </w:t>
      </w:r>
      <w:r>
        <w:rPr>
          <w:color w:val="231F20"/>
          <w:spacing w:val="-1"/>
        </w:rPr>
        <w:t>for</w:t>
      </w:r>
      <w:r>
        <w:rPr>
          <w:color w:val="231F20"/>
          <w:spacing w:val="-12"/>
        </w:rPr>
        <w:t> </w:t>
      </w:r>
      <w:r>
        <w:rPr>
          <w:color w:val="231F20"/>
        </w:rPr>
        <w:t>a</w:t>
      </w:r>
      <w:r>
        <w:rPr>
          <w:color w:val="231F20"/>
          <w:spacing w:val="-11"/>
        </w:rPr>
        <w:t> </w:t>
      </w:r>
      <w:r>
        <w:rPr>
          <w:color w:val="231F20"/>
        </w:rPr>
        <w:t>practice</w:t>
      </w:r>
      <w:r>
        <w:rPr>
          <w:color w:val="231F20"/>
          <w:spacing w:val="-12"/>
        </w:rPr>
        <w:t> </w:t>
      </w:r>
      <w:r>
        <w:rPr>
          <w:color w:val="231F20"/>
        </w:rPr>
        <w:t>were</w:t>
      </w:r>
      <w:r>
        <w:rPr>
          <w:color w:val="231F20"/>
          <w:spacing w:val="-13"/>
        </w:rPr>
        <w:t> </w:t>
      </w:r>
      <w:r>
        <w:rPr>
          <w:color w:val="231F20"/>
        </w:rPr>
        <w:t>assessed</w:t>
      </w:r>
      <w:r>
        <w:rPr>
          <w:color w:val="231F20"/>
          <w:spacing w:val="-12"/>
        </w:rPr>
        <w:t> </w:t>
      </w:r>
      <w:r>
        <w:rPr>
          <w:color w:val="231F20"/>
        </w:rPr>
        <w:t>and</w:t>
      </w:r>
      <w:r>
        <w:rPr>
          <w:color w:val="231F20"/>
          <w:spacing w:val="-12"/>
        </w:rPr>
        <w:t> </w:t>
      </w:r>
      <w:r>
        <w:rPr>
          <w:color w:val="231F20"/>
        </w:rPr>
        <w:t>rated,</w:t>
      </w:r>
      <w:r>
        <w:rPr>
          <w:color w:val="231F20"/>
          <w:spacing w:val="-52"/>
        </w:rPr>
        <w:t> </w:t>
      </w:r>
      <w:r>
        <w:rPr>
          <w:color w:val="231F20"/>
        </w:rPr>
        <w:t>each practice was placed into one of three categories</w:t>
      </w:r>
      <w:r>
        <w:rPr>
          <w:color w:val="231F20"/>
          <w:spacing w:val="1"/>
        </w:rPr>
        <w:t> </w:t>
      </w:r>
      <w:r>
        <w:rPr>
          <w:color w:val="231F20"/>
        </w:rPr>
        <w:t>based</w:t>
      </w:r>
      <w:r>
        <w:rPr>
          <w:color w:val="231F20"/>
          <w:spacing w:val="-5"/>
        </w:rPr>
        <w:t> </w:t>
      </w:r>
      <w:r>
        <w:rPr>
          <w:color w:val="231F20"/>
        </w:rPr>
        <w:t>on</w:t>
      </w:r>
      <w:r>
        <w:rPr>
          <w:color w:val="231F20"/>
          <w:spacing w:val="-5"/>
        </w:rPr>
        <w:t> </w:t>
      </w:r>
      <w:r>
        <w:rPr>
          <w:color w:val="231F20"/>
        </w:rPr>
        <w:t>its</w:t>
      </w:r>
      <w:r>
        <w:rPr>
          <w:color w:val="231F20"/>
          <w:spacing w:val="-5"/>
        </w:rPr>
        <w:t> </w:t>
      </w:r>
      <w:r>
        <w:rPr>
          <w:color w:val="231F20"/>
        </w:rPr>
        <w:t>causal</w:t>
      </w:r>
      <w:r>
        <w:rPr>
          <w:color w:val="231F20"/>
          <w:spacing w:val="-5"/>
        </w:rPr>
        <w:t> </w:t>
      </w:r>
      <w:r>
        <w:rPr>
          <w:color w:val="231F20"/>
        </w:rPr>
        <w:t>evidence:</w:t>
      </w:r>
    </w:p>
    <w:p>
      <w:pPr>
        <w:pStyle w:val="ListParagraph"/>
        <w:numPr>
          <w:ilvl w:val="0"/>
          <w:numId w:val="3"/>
        </w:numPr>
        <w:tabs>
          <w:tab w:pos="879" w:val="left" w:leader="none"/>
          <w:tab w:pos="880" w:val="left" w:leader="none"/>
        </w:tabs>
        <w:spacing w:line="249" w:lineRule="auto" w:before="146" w:after="0"/>
        <w:ind w:left="879" w:right="1016" w:hanging="360"/>
        <w:jc w:val="left"/>
        <w:rPr>
          <w:sz w:val="22"/>
        </w:rPr>
      </w:pPr>
      <w:r>
        <w:rPr>
          <w:color w:val="010202"/>
          <w:sz w:val="22"/>
        </w:rPr>
        <w:t>SSPs,</w:t>
      </w:r>
      <w:r>
        <w:rPr>
          <w:color w:val="010202"/>
          <w:spacing w:val="-7"/>
          <w:sz w:val="22"/>
        </w:rPr>
        <w:t> </w:t>
      </w:r>
      <w:r>
        <w:rPr>
          <w:color w:val="010202"/>
          <w:sz w:val="22"/>
        </w:rPr>
        <w:t>CM,</w:t>
      </w:r>
      <w:r>
        <w:rPr>
          <w:color w:val="010202"/>
          <w:spacing w:val="-6"/>
          <w:sz w:val="22"/>
        </w:rPr>
        <w:t> </w:t>
      </w:r>
      <w:r>
        <w:rPr>
          <w:color w:val="010202"/>
          <w:sz w:val="22"/>
        </w:rPr>
        <w:t>CBT,</w:t>
      </w:r>
      <w:r>
        <w:rPr>
          <w:color w:val="010202"/>
          <w:spacing w:val="-5"/>
          <w:sz w:val="22"/>
        </w:rPr>
        <w:t> </w:t>
      </w:r>
      <w:r>
        <w:rPr>
          <w:color w:val="010202"/>
          <w:sz w:val="22"/>
        </w:rPr>
        <w:t>and</w:t>
      </w:r>
      <w:r>
        <w:rPr>
          <w:color w:val="010202"/>
          <w:spacing w:val="-6"/>
          <w:sz w:val="22"/>
        </w:rPr>
        <w:t> </w:t>
      </w:r>
      <w:r>
        <w:rPr>
          <w:color w:val="010202"/>
          <w:sz w:val="22"/>
        </w:rPr>
        <w:t>Patient</w:t>
      </w:r>
      <w:r>
        <w:rPr>
          <w:color w:val="010202"/>
          <w:spacing w:val="-7"/>
          <w:sz w:val="22"/>
        </w:rPr>
        <w:t> </w:t>
      </w:r>
      <w:r>
        <w:rPr>
          <w:color w:val="010202"/>
          <w:sz w:val="22"/>
        </w:rPr>
        <w:t>Navigation</w:t>
      </w:r>
      <w:r>
        <w:rPr>
          <w:color w:val="010202"/>
          <w:spacing w:val="-6"/>
          <w:sz w:val="22"/>
        </w:rPr>
        <w:t> </w:t>
      </w:r>
      <w:r>
        <w:rPr>
          <w:color w:val="010202"/>
          <w:sz w:val="22"/>
        </w:rPr>
        <w:t>have</w:t>
      </w:r>
      <w:r>
        <w:rPr>
          <w:color w:val="010202"/>
          <w:spacing w:val="-52"/>
          <w:sz w:val="22"/>
        </w:rPr>
        <w:t> </w:t>
      </w:r>
      <w:r>
        <w:rPr>
          <w:color w:val="010202"/>
          <w:sz w:val="22"/>
        </w:rPr>
        <w:t>strong</w:t>
      </w:r>
      <w:r>
        <w:rPr>
          <w:color w:val="010202"/>
          <w:spacing w:val="-2"/>
          <w:sz w:val="22"/>
        </w:rPr>
        <w:t> </w:t>
      </w:r>
      <w:r>
        <w:rPr>
          <w:color w:val="010202"/>
          <w:sz w:val="22"/>
        </w:rPr>
        <w:t>evidence.</w:t>
      </w:r>
    </w:p>
    <w:p>
      <w:pPr>
        <w:pStyle w:val="ListParagraph"/>
        <w:numPr>
          <w:ilvl w:val="0"/>
          <w:numId w:val="3"/>
        </w:numPr>
        <w:tabs>
          <w:tab w:pos="879" w:val="left" w:leader="none"/>
          <w:tab w:pos="880" w:val="left" w:leader="none"/>
        </w:tabs>
        <w:spacing w:line="254" w:lineRule="exact" w:before="0" w:after="0"/>
        <w:ind w:left="879" w:right="0" w:hanging="361"/>
        <w:jc w:val="left"/>
        <w:rPr>
          <w:sz w:val="22"/>
        </w:rPr>
      </w:pPr>
      <w:r>
        <w:rPr>
          <w:color w:val="010202"/>
          <w:sz w:val="22"/>
        </w:rPr>
        <w:t>Practices</w:t>
      </w:r>
      <w:r>
        <w:rPr>
          <w:color w:val="010202"/>
          <w:spacing w:val="-4"/>
          <w:sz w:val="22"/>
        </w:rPr>
        <w:t> </w:t>
      </w:r>
      <w:r>
        <w:rPr>
          <w:color w:val="010202"/>
          <w:sz w:val="22"/>
        </w:rPr>
        <w:t>to</w:t>
      </w:r>
      <w:r>
        <w:rPr>
          <w:color w:val="010202"/>
          <w:spacing w:val="-2"/>
          <w:sz w:val="22"/>
        </w:rPr>
        <w:t> </w:t>
      </w:r>
      <w:r>
        <w:rPr>
          <w:color w:val="010202"/>
          <w:sz w:val="22"/>
        </w:rPr>
        <w:t>Increase</w:t>
      </w:r>
      <w:r>
        <w:rPr>
          <w:color w:val="010202"/>
          <w:spacing w:val="-2"/>
          <w:sz w:val="22"/>
        </w:rPr>
        <w:t> </w:t>
      </w:r>
      <w:r>
        <w:rPr>
          <w:color w:val="010202"/>
          <w:sz w:val="22"/>
        </w:rPr>
        <w:t>Uptake</w:t>
      </w:r>
      <w:r>
        <w:rPr>
          <w:color w:val="010202"/>
          <w:spacing w:val="-3"/>
          <w:sz w:val="22"/>
        </w:rPr>
        <w:t> </w:t>
      </w:r>
      <w:r>
        <w:rPr>
          <w:color w:val="010202"/>
          <w:sz w:val="22"/>
        </w:rPr>
        <w:t>and</w:t>
      </w:r>
      <w:r>
        <w:rPr>
          <w:color w:val="010202"/>
          <w:spacing w:val="-2"/>
          <w:sz w:val="22"/>
        </w:rPr>
        <w:t> </w:t>
      </w:r>
      <w:r>
        <w:rPr>
          <w:color w:val="010202"/>
          <w:sz w:val="22"/>
        </w:rPr>
        <w:t>Improve</w:t>
      </w:r>
    </w:p>
    <w:p>
      <w:pPr>
        <w:pStyle w:val="BodyText"/>
        <w:spacing w:line="249" w:lineRule="auto" w:before="10"/>
        <w:ind w:left="879" w:right="904"/>
      </w:pPr>
      <w:r>
        <w:rPr/>
        <w:drawing>
          <wp:anchor distT="0" distB="0" distL="0" distR="0" allowOverlap="1" layoutInCell="1" locked="0" behindDoc="0" simplePos="0" relativeHeight="15746560">
            <wp:simplePos x="0" y="0"/>
            <wp:positionH relativeFrom="page">
              <wp:posOffset>4149344</wp:posOffset>
            </wp:positionH>
            <wp:positionV relativeFrom="paragraph">
              <wp:posOffset>546842</wp:posOffset>
            </wp:positionV>
            <wp:extent cx="3166859" cy="4620767"/>
            <wp:effectExtent l="0" t="0" r="0" b="0"/>
            <wp:wrapNone/>
            <wp:docPr id="23" name="image15.jpeg" descr="This graphic depicts the three vertical boxes which outline three levels of causal evidence. The top box has a heading that reads Strong Evidence.Ž Underneath that title, text reads Causal impact demonstrated by at least two randomized control trials, quasi-experimental designs, or epidemiological studies with a high or moderate rating.Ž The middle box has a title that reads Moderate Evidence.Ž Text below this title reads, Causal impact demonstrated by at least one randomized control trial, quasi-experimental design, or epidemiological study with a high or moderate rating. The bottom and third box has a title that reads Emerging Evidence.Ž Text below this title reads, No study received a high or moderate rating. The practice may have been evaluated with less rigorous studies (e.g. pre-post designs) that demonstrate an association between the practice and positive outcomes, but additional studies are needed to establish causal evidence. "/>
            <wp:cNvGraphicFramePr>
              <a:graphicFrameLocks noChangeAspect="1"/>
            </wp:cNvGraphicFramePr>
            <a:graphic>
              <a:graphicData uri="http://schemas.openxmlformats.org/drawingml/2006/picture">
                <pic:pic>
                  <pic:nvPicPr>
                    <pic:cNvPr id="24" name="image15.jpeg"/>
                    <pic:cNvPicPr/>
                  </pic:nvPicPr>
                  <pic:blipFill>
                    <a:blip r:embed="rId145" cstate="print"/>
                    <a:stretch>
                      <a:fillRect/>
                    </a:stretch>
                  </pic:blipFill>
                  <pic:spPr>
                    <a:xfrm>
                      <a:off x="0" y="0"/>
                      <a:ext cx="3166859" cy="4620767"/>
                    </a:xfrm>
                    <a:prstGeom prst="rect">
                      <a:avLst/>
                    </a:prstGeom>
                  </pic:spPr>
                </pic:pic>
              </a:graphicData>
            </a:graphic>
          </wp:anchor>
        </w:drawing>
      </w:r>
      <w:r>
        <w:rPr>
          <w:color w:val="010202"/>
        </w:rPr>
        <w:t>Adherence</w:t>
      </w:r>
      <w:r>
        <w:rPr>
          <w:color w:val="010202"/>
          <w:spacing w:val="-4"/>
        </w:rPr>
        <w:t> </w:t>
      </w:r>
      <w:r>
        <w:rPr>
          <w:color w:val="010202"/>
        </w:rPr>
        <w:t>to</w:t>
      </w:r>
      <w:r>
        <w:rPr>
          <w:color w:val="010202"/>
          <w:spacing w:val="-3"/>
        </w:rPr>
        <w:t> </w:t>
      </w:r>
      <w:r>
        <w:rPr>
          <w:color w:val="010202"/>
        </w:rPr>
        <w:t>PrEP</w:t>
      </w:r>
      <w:r>
        <w:rPr>
          <w:color w:val="010202"/>
          <w:spacing w:val="-11"/>
        </w:rPr>
        <w:t> </w:t>
      </w:r>
      <w:r>
        <w:rPr>
          <w:color w:val="010202"/>
        </w:rPr>
        <w:t>have</w:t>
      </w:r>
      <w:r>
        <w:rPr>
          <w:color w:val="010202"/>
          <w:spacing w:val="-2"/>
        </w:rPr>
        <w:t> </w:t>
      </w:r>
      <w:r>
        <w:rPr>
          <w:color w:val="010202"/>
        </w:rPr>
        <w:t>an</w:t>
      </w:r>
      <w:r>
        <w:rPr>
          <w:color w:val="010202"/>
          <w:spacing w:val="-3"/>
        </w:rPr>
        <w:t> </w:t>
      </w:r>
      <w:r>
        <w:rPr>
          <w:color w:val="010202"/>
        </w:rPr>
        <w:t>emerging</w:t>
      </w:r>
      <w:r>
        <w:rPr>
          <w:color w:val="010202"/>
          <w:spacing w:val="-3"/>
        </w:rPr>
        <w:t> </w:t>
      </w:r>
      <w:r>
        <w:rPr>
          <w:color w:val="010202"/>
        </w:rPr>
        <w:t>evidence</w:t>
      </w:r>
      <w:r>
        <w:rPr>
          <w:color w:val="010202"/>
          <w:spacing w:val="-52"/>
        </w:rPr>
        <w:t> </w:t>
      </w:r>
      <w:r>
        <w:rPr>
          <w:color w:val="010202"/>
        </w:rPr>
        <w:t>base.</w:t>
      </w:r>
    </w:p>
    <w:p>
      <w:pPr>
        <w:spacing w:after="0" w:line="249" w:lineRule="auto"/>
        <w:sectPr>
          <w:type w:val="continuous"/>
          <w:pgSz w:w="12240" w:h="15840"/>
          <w:pgMar w:header="0" w:footer="666" w:top="1500" w:bottom="0" w:left="560" w:right="0"/>
          <w:cols w:num="2" w:equalWidth="0">
            <w:col w:w="5239" w:space="522"/>
            <w:col w:w="5919"/>
          </w:cols>
        </w:sectPr>
      </w:pPr>
    </w:p>
    <w:p>
      <w:pPr>
        <w:pStyle w:val="BodyText"/>
        <w:rPr>
          <w:sz w:val="20"/>
        </w:rPr>
      </w:pPr>
    </w:p>
    <w:p>
      <w:pPr>
        <w:pStyle w:val="BodyText"/>
        <w:spacing w:before="7"/>
        <w:rPr>
          <w:sz w:val="25"/>
        </w:rPr>
      </w:pPr>
    </w:p>
    <w:p>
      <w:pPr>
        <w:pStyle w:val="BodyText"/>
        <w:spacing w:line="20" w:lineRule="exact"/>
        <w:ind w:left="160"/>
        <w:rPr>
          <w:sz w:val="2"/>
        </w:rPr>
      </w:pPr>
      <w:r>
        <w:rPr>
          <w:sz w:val="2"/>
        </w:rPr>
        <w:pict>
          <v:group style="width:117.4pt;height:.5pt;mso-position-horizontal-relative:char;mso-position-vertical-relative:line" id="docshapegroup85" coordorigin="0,0" coordsize="2348,10">
            <v:line style="position:absolute" from="0,5" to="2347,5" stroked="true" strokeweight=".5pt" strokecolor="#231f20">
              <v:stroke dashstyle="solid"/>
            </v:line>
          </v:group>
        </w:pict>
      </w:r>
      <w:r>
        <w:rPr>
          <w:sz w:val="2"/>
        </w:rPr>
      </w:r>
    </w:p>
    <w:p>
      <w:pPr>
        <w:spacing w:line="249" w:lineRule="auto" w:before="70"/>
        <w:ind w:left="339" w:right="869" w:hanging="180"/>
        <w:jc w:val="left"/>
        <w:rPr>
          <w:sz w:val="20"/>
        </w:rPr>
      </w:pPr>
      <w:r>
        <w:rPr>
          <w:color w:val="231F20"/>
          <w:sz w:val="20"/>
        </w:rPr>
        <w:t>* Due to concerns raised in the mid-1990s about the ethics of experimental design in SSP research,</w:t>
      </w:r>
      <w:r>
        <w:rPr>
          <w:color w:val="231F20"/>
          <w:sz w:val="20"/>
          <w:vertAlign w:val="superscript"/>
        </w:rPr>
        <w:t>1-3</w:t>
      </w:r>
      <w:r>
        <w:rPr>
          <w:color w:val="231F20"/>
          <w:sz w:val="20"/>
          <w:vertAlign w:val="baseline"/>
        </w:rPr>
        <w:t> researchers have had to rely on</w:t>
      </w:r>
      <w:r>
        <w:rPr>
          <w:color w:val="231F20"/>
          <w:spacing w:val="-47"/>
          <w:sz w:val="20"/>
          <w:vertAlign w:val="baseline"/>
        </w:rPr>
        <w:t> </w:t>
      </w:r>
      <w:r>
        <w:rPr>
          <w:color w:val="231F20"/>
          <w:sz w:val="20"/>
          <w:vertAlign w:val="baseline"/>
        </w:rPr>
        <w:t>longitudinal and epidemiological approaches to understand the impact of regular use of an SSP on injection drug use behaviors,</w:t>
      </w:r>
      <w:r>
        <w:rPr>
          <w:color w:val="231F20"/>
          <w:spacing w:val="1"/>
          <w:sz w:val="20"/>
          <w:vertAlign w:val="baseline"/>
        </w:rPr>
        <w:t> </w:t>
      </w:r>
      <w:r>
        <w:rPr>
          <w:color w:val="231F20"/>
          <w:sz w:val="20"/>
          <w:vertAlign w:val="baseline"/>
        </w:rPr>
        <w:t>substance use frequency, substance use treatment enrollment, and HIV incidence, among people who inject drugs. Systematic</w:t>
      </w:r>
      <w:r>
        <w:rPr>
          <w:color w:val="231F20"/>
          <w:spacing w:val="1"/>
          <w:sz w:val="20"/>
          <w:vertAlign w:val="baseline"/>
        </w:rPr>
        <w:t> </w:t>
      </w:r>
      <w:r>
        <w:rPr>
          <w:color w:val="231F20"/>
          <w:sz w:val="20"/>
          <w:vertAlign w:val="baseline"/>
        </w:rPr>
        <w:t>reviews</w:t>
      </w:r>
      <w:r>
        <w:rPr>
          <w:color w:val="231F20"/>
          <w:spacing w:val="-1"/>
          <w:sz w:val="20"/>
          <w:vertAlign w:val="baseline"/>
        </w:rPr>
        <w:t> </w:t>
      </w:r>
      <w:r>
        <w:rPr>
          <w:color w:val="231F20"/>
          <w:sz w:val="20"/>
          <w:vertAlign w:val="baseline"/>
        </w:rPr>
        <w:t>support</w:t>
      </w:r>
      <w:r>
        <w:rPr>
          <w:color w:val="231F20"/>
          <w:spacing w:val="-1"/>
          <w:sz w:val="20"/>
          <w:vertAlign w:val="baseline"/>
        </w:rPr>
        <w:t> </w:t>
      </w:r>
      <w:r>
        <w:rPr>
          <w:color w:val="231F20"/>
          <w:sz w:val="20"/>
          <w:vertAlign w:val="baseline"/>
        </w:rPr>
        <w:t>strong</w:t>
      </w:r>
      <w:r>
        <w:rPr>
          <w:color w:val="231F20"/>
          <w:spacing w:val="-1"/>
          <w:sz w:val="20"/>
          <w:vertAlign w:val="baseline"/>
        </w:rPr>
        <w:t> </w:t>
      </w:r>
      <w:r>
        <w:rPr>
          <w:color w:val="231F20"/>
          <w:sz w:val="20"/>
          <w:vertAlign w:val="baseline"/>
        </w:rPr>
        <w:t>evidence of effectiveness.</w:t>
      </w:r>
      <w:r>
        <w:rPr>
          <w:color w:val="231F20"/>
          <w:sz w:val="20"/>
          <w:vertAlign w:val="superscript"/>
        </w:rPr>
        <w:t>4-5</w:t>
      </w:r>
    </w:p>
    <w:p>
      <w:pPr>
        <w:spacing w:after="0" w:line="249" w:lineRule="auto"/>
        <w:jc w:val="left"/>
        <w:rPr>
          <w:sz w:val="20"/>
        </w:rPr>
        <w:sectPr>
          <w:type w:val="continuous"/>
          <w:pgSz w:w="12240" w:h="15840"/>
          <w:pgMar w:header="0" w:footer="666" w:top="1500" w:bottom="0" w:left="560" w:right="0"/>
        </w:sectPr>
      </w:pPr>
    </w:p>
    <w:p>
      <w:pPr>
        <w:pStyle w:val="BodyText"/>
        <w:rPr>
          <w:sz w:val="20"/>
        </w:rPr>
      </w:pPr>
    </w:p>
    <w:p>
      <w:pPr>
        <w:pStyle w:val="BodyText"/>
        <w:spacing w:before="3"/>
        <w:rPr>
          <w:sz w:val="19"/>
        </w:rPr>
      </w:pPr>
    </w:p>
    <w:p>
      <w:pPr>
        <w:pStyle w:val="Heading2"/>
        <w:spacing w:line="437" w:lineRule="exact"/>
      </w:pPr>
      <w:bookmarkStart w:name="Identification of Practices Associated w" w:id="38"/>
      <w:bookmarkEnd w:id="38"/>
      <w:r>
        <w:rPr/>
      </w:r>
      <w:bookmarkStart w:name="Practices to Increase Uptake of and Impr" w:id="39"/>
      <w:bookmarkEnd w:id="39"/>
      <w:r>
        <w:rPr/>
      </w:r>
      <w:bookmarkStart w:name="Goal" w:id="40"/>
      <w:bookmarkEnd w:id="40"/>
      <w:r>
        <w:rPr/>
      </w:r>
      <w:r>
        <w:rPr>
          <w:color w:val="1C384B"/>
          <w:spacing w:val="-2"/>
        </w:rPr>
        <w:t>Identification</w:t>
      </w:r>
      <w:r>
        <w:rPr>
          <w:color w:val="1C384B"/>
          <w:spacing w:val="-26"/>
        </w:rPr>
        <w:t> </w:t>
      </w:r>
      <w:r>
        <w:rPr>
          <w:color w:val="1C384B"/>
          <w:spacing w:val="-2"/>
        </w:rPr>
        <w:t>of</w:t>
      </w:r>
      <w:r>
        <w:rPr>
          <w:color w:val="1C384B"/>
          <w:spacing w:val="-9"/>
        </w:rPr>
        <w:t> </w:t>
      </w:r>
      <w:r>
        <w:rPr>
          <w:color w:val="1C384B"/>
          <w:spacing w:val="-2"/>
        </w:rPr>
        <w:t>Practices</w:t>
      </w:r>
      <w:r>
        <w:rPr>
          <w:color w:val="1C384B"/>
          <w:spacing w:val="-26"/>
        </w:rPr>
        <w:t> </w:t>
      </w:r>
      <w:r>
        <w:rPr>
          <w:color w:val="1C384B"/>
          <w:spacing w:val="-2"/>
        </w:rPr>
        <w:t>Associated</w:t>
      </w:r>
      <w:r>
        <w:rPr>
          <w:color w:val="1C384B"/>
          <w:spacing w:val="-25"/>
        </w:rPr>
        <w:t> </w:t>
      </w:r>
      <w:r>
        <w:rPr>
          <w:color w:val="1C384B"/>
          <w:spacing w:val="-1"/>
        </w:rPr>
        <w:t>with</w:t>
      </w:r>
      <w:r>
        <w:rPr>
          <w:color w:val="1C384B"/>
          <w:spacing w:val="-26"/>
        </w:rPr>
        <w:t> </w:t>
      </w:r>
      <w:r>
        <w:rPr>
          <w:color w:val="1C384B"/>
          <w:spacing w:val="-1"/>
        </w:rPr>
        <w:t>HIV</w:t>
      </w:r>
    </w:p>
    <w:p>
      <w:pPr>
        <w:spacing w:line="437" w:lineRule="exact" w:before="0"/>
        <w:ind w:left="160" w:right="0" w:firstLine="0"/>
        <w:jc w:val="left"/>
        <w:rPr>
          <w:rFonts w:ascii="Arial Black"/>
          <w:sz w:val="35"/>
        </w:rPr>
      </w:pPr>
      <w:r>
        <w:rPr>
          <w:rFonts w:ascii="Arial Black"/>
          <w:color w:val="1C384B"/>
          <w:spacing w:val="-3"/>
          <w:sz w:val="35"/>
        </w:rPr>
        <w:t>Prevention</w:t>
      </w:r>
      <w:r>
        <w:rPr>
          <w:rFonts w:ascii="Arial Black"/>
          <w:color w:val="1C384B"/>
          <w:spacing w:val="-25"/>
          <w:sz w:val="35"/>
        </w:rPr>
        <w:t> </w:t>
      </w:r>
      <w:r>
        <w:rPr>
          <w:rFonts w:ascii="Arial Black"/>
          <w:color w:val="1C384B"/>
          <w:spacing w:val="-2"/>
          <w:sz w:val="35"/>
        </w:rPr>
        <w:t>and</w:t>
      </w:r>
      <w:r>
        <w:rPr>
          <w:rFonts w:ascii="Arial Black"/>
          <w:color w:val="1C384B"/>
          <w:spacing w:val="-24"/>
          <w:sz w:val="35"/>
        </w:rPr>
        <w:t> </w:t>
      </w:r>
      <w:r>
        <w:rPr>
          <w:rFonts w:ascii="Arial Black"/>
          <w:color w:val="1C384B"/>
          <w:spacing w:val="-2"/>
          <w:sz w:val="35"/>
        </w:rPr>
        <w:t>Treatment</w:t>
      </w:r>
    </w:p>
    <w:p>
      <w:pPr>
        <w:pStyle w:val="BodyText"/>
        <w:rPr>
          <w:rFonts w:ascii="Arial Black"/>
          <w:sz w:val="20"/>
        </w:rPr>
      </w:pPr>
    </w:p>
    <w:p>
      <w:pPr>
        <w:pStyle w:val="BodyText"/>
        <w:spacing w:before="9"/>
        <w:rPr>
          <w:rFonts w:ascii="Arial Black"/>
          <w:sz w:val="24"/>
        </w:rPr>
      </w:pPr>
    </w:p>
    <w:p>
      <w:pPr>
        <w:spacing w:after="0"/>
        <w:rPr>
          <w:rFonts w:ascii="Arial Black"/>
          <w:sz w:val="24"/>
        </w:rPr>
        <w:sectPr>
          <w:pgSz w:w="12240" w:h="15840"/>
          <w:pgMar w:header="0" w:footer="666" w:top="380" w:bottom="860" w:left="560" w:right="0"/>
        </w:sectPr>
      </w:pPr>
    </w:p>
    <w:p>
      <w:pPr>
        <w:pStyle w:val="BodyText"/>
        <w:spacing w:line="266" w:lineRule="auto" w:before="91"/>
        <w:ind w:left="160" w:right="21"/>
      </w:pPr>
      <w:r>
        <w:rPr/>
        <w:pict>
          <v:rect style="position:absolute;margin-left:0pt;margin-top:116.329102pt;width:612pt;height:1pt;mso-position-horizontal-relative:page;mso-position-vertical-relative:page;z-index:-18144256" id="docshape86" filled="true" fillcolor="#1c384b" stroked="false">
            <v:fill type="solid"/>
            <w10:wrap type="none"/>
          </v:rect>
        </w:pict>
      </w:r>
      <w:r>
        <w:rPr/>
        <w:drawing>
          <wp:anchor distT="0" distB="0" distL="0" distR="0" allowOverlap="1" layoutInCell="1" locked="0" behindDoc="0" simplePos="0" relativeHeight="15749120">
            <wp:simplePos x="0" y="0"/>
            <wp:positionH relativeFrom="page">
              <wp:posOffset>457200</wp:posOffset>
            </wp:positionH>
            <wp:positionV relativeFrom="paragraph">
              <wp:posOffset>798493</wp:posOffset>
            </wp:positionV>
            <wp:extent cx="3069335" cy="725411"/>
            <wp:effectExtent l="0" t="0" r="0" b="0"/>
            <wp:wrapNone/>
            <wp:docPr id="25" name="image16.jpeg"/>
            <wp:cNvGraphicFramePr>
              <a:graphicFrameLocks noChangeAspect="1"/>
            </wp:cNvGraphicFramePr>
            <a:graphic>
              <a:graphicData uri="http://schemas.openxmlformats.org/drawingml/2006/picture">
                <pic:pic>
                  <pic:nvPicPr>
                    <pic:cNvPr id="26" name="image16.jpeg"/>
                    <pic:cNvPicPr/>
                  </pic:nvPicPr>
                  <pic:blipFill>
                    <a:blip r:embed="rId146" cstate="print"/>
                    <a:stretch>
                      <a:fillRect/>
                    </a:stretch>
                  </pic:blipFill>
                  <pic:spPr>
                    <a:xfrm>
                      <a:off x="0" y="0"/>
                      <a:ext cx="3069335" cy="725411"/>
                    </a:xfrm>
                    <a:prstGeom prst="rect">
                      <a:avLst/>
                    </a:prstGeom>
                  </pic:spPr>
                </pic:pic>
              </a:graphicData>
            </a:graphic>
          </wp:anchor>
        </w:drawing>
      </w:r>
      <w:r>
        <w:rPr>
          <w:color w:val="231F20"/>
        </w:rPr>
        <w:t>In the discussion of selected practices, the following</w:t>
      </w:r>
      <w:r>
        <w:rPr>
          <w:color w:val="231F20"/>
          <w:spacing w:val="1"/>
        </w:rPr>
        <w:t> </w:t>
      </w:r>
      <w:r>
        <w:rPr>
          <w:color w:val="231F20"/>
        </w:rPr>
        <w:t>icons will be used to indicate ways in which the practice</w:t>
      </w:r>
      <w:r>
        <w:rPr>
          <w:color w:val="231F20"/>
          <w:spacing w:val="-52"/>
        </w:rPr>
        <w:t> </w:t>
      </w:r>
      <w:r>
        <w:rPr>
          <w:color w:val="231F20"/>
        </w:rPr>
        <w:t>has been implemented to improve HIV prevention and</w:t>
      </w:r>
      <w:r>
        <w:rPr>
          <w:color w:val="231F20"/>
          <w:spacing w:val="1"/>
        </w:rPr>
        <w:t> </w:t>
      </w:r>
      <w:r>
        <w:rPr>
          <w:color w:val="231F20"/>
        </w:rPr>
        <w:t>treatment outcomes:</w:t>
      </w:r>
    </w:p>
    <w:p>
      <w:pPr>
        <w:pStyle w:val="BodyText"/>
        <w:rPr>
          <w:sz w:val="20"/>
        </w:rPr>
      </w:pPr>
    </w:p>
    <w:p>
      <w:pPr>
        <w:pStyle w:val="BodyText"/>
        <w:rPr>
          <w:sz w:val="10"/>
        </w:rPr>
      </w:pPr>
      <w:r>
        <w:rPr/>
        <w:pict>
          <v:group style="position:absolute;margin-left:85.746002pt;margin-top:6.981473pt;width:175.75pt;height:18.2pt;mso-position-horizontal-relative:page;mso-position-vertical-relative:paragraph;z-index:-15710208;mso-wrap-distance-left:0;mso-wrap-distance-right:0" id="docshapegroup87" coordorigin="1715,140" coordsize="3515,364">
            <v:shape style="position:absolute;left:1714;top:178;width:1082;height:324" type="#_x0000_t202" id="docshape88" filled="false" stroked="false">
              <v:textbox inset="0,0,0,0">
                <w:txbxContent>
                  <w:p>
                    <w:pPr>
                      <w:spacing w:line="309" w:lineRule="exact" w:before="0"/>
                      <w:ind w:left="0" w:right="0" w:firstLine="0"/>
                      <w:jc w:val="left"/>
                      <w:rPr>
                        <w:rFonts w:ascii="Palatino Linotype"/>
                        <w:sz w:val="24"/>
                      </w:rPr>
                    </w:pPr>
                    <w:r>
                      <w:rPr>
                        <w:rFonts w:ascii="Palatino Linotype"/>
                        <w:w w:val="90"/>
                        <w:sz w:val="24"/>
                      </w:rPr>
                      <w:t>Prevention</w:t>
                    </w:r>
                  </w:p>
                </w:txbxContent>
              </v:textbox>
              <w10:wrap type="none"/>
            </v:shape>
            <v:shape style="position:absolute;left:4189;top:139;width:1041;height:324" type="#_x0000_t202" id="docshape89" filled="false" stroked="false">
              <v:textbox inset="0,0,0,0">
                <w:txbxContent>
                  <w:p>
                    <w:pPr>
                      <w:spacing w:line="309" w:lineRule="exact" w:before="0"/>
                      <w:ind w:left="0" w:right="0" w:firstLine="0"/>
                      <w:jc w:val="left"/>
                      <w:rPr>
                        <w:rFonts w:ascii="Palatino Linotype"/>
                        <w:sz w:val="24"/>
                      </w:rPr>
                    </w:pPr>
                    <w:r>
                      <w:rPr>
                        <w:rFonts w:ascii="Palatino Linotype"/>
                        <w:w w:val="90"/>
                        <w:sz w:val="24"/>
                      </w:rPr>
                      <w:t>Treatment</w:t>
                    </w:r>
                  </w:p>
                </w:txbxContent>
              </v:textbox>
              <w10:wrap type="none"/>
            </v:shape>
            <w10:wrap type="topAndBottom"/>
          </v:group>
        </w:pict>
      </w:r>
    </w:p>
    <w:p>
      <w:pPr>
        <w:pStyle w:val="BodyText"/>
        <w:rPr>
          <w:sz w:val="24"/>
        </w:rPr>
      </w:pPr>
    </w:p>
    <w:p>
      <w:pPr>
        <w:pStyle w:val="BodyText"/>
        <w:spacing w:before="9"/>
        <w:rPr>
          <w:sz w:val="32"/>
        </w:rPr>
      </w:pPr>
    </w:p>
    <w:p>
      <w:pPr>
        <w:spacing w:line="228" w:lineRule="auto" w:before="0"/>
        <w:ind w:left="160" w:right="348" w:firstLine="0"/>
        <w:jc w:val="left"/>
        <w:rPr>
          <w:rFonts w:ascii="Arial"/>
          <w:b/>
          <w:sz w:val="22"/>
        </w:rPr>
      </w:pPr>
      <w:r>
        <w:rPr>
          <w:rFonts w:ascii="Arial"/>
          <w:b/>
          <w:color w:val="CE384B"/>
          <w:sz w:val="22"/>
        </w:rPr>
        <w:t>Practices to Increase Uptake of and Improve</w:t>
      </w:r>
      <w:r>
        <w:rPr>
          <w:rFonts w:ascii="Arial"/>
          <w:b/>
          <w:color w:val="CE384B"/>
          <w:spacing w:val="-59"/>
          <w:sz w:val="22"/>
        </w:rPr>
        <w:t> </w:t>
      </w:r>
      <w:r>
        <w:rPr>
          <w:rFonts w:ascii="Arial"/>
          <w:b/>
          <w:color w:val="CE384B"/>
          <w:sz w:val="22"/>
        </w:rPr>
        <w:t>Adherence</w:t>
      </w:r>
      <w:r>
        <w:rPr>
          <w:rFonts w:ascii="Arial"/>
          <w:b/>
          <w:color w:val="CE384B"/>
          <w:spacing w:val="-2"/>
          <w:sz w:val="22"/>
        </w:rPr>
        <w:t> </w:t>
      </w:r>
      <w:r>
        <w:rPr>
          <w:rFonts w:ascii="Arial"/>
          <w:b/>
          <w:color w:val="CE384B"/>
          <w:sz w:val="22"/>
        </w:rPr>
        <w:t>to PrEP</w:t>
      </w:r>
    </w:p>
    <w:p>
      <w:pPr>
        <w:pStyle w:val="BodyText"/>
        <w:spacing w:before="8"/>
        <w:rPr>
          <w:rFonts w:ascii="Arial"/>
          <w:b/>
          <w:sz w:val="3"/>
        </w:rPr>
      </w:pPr>
      <w:r>
        <w:rPr/>
        <w:drawing>
          <wp:anchor distT="0" distB="0" distL="0" distR="0" allowOverlap="1" layoutInCell="1" locked="0" behindDoc="0" simplePos="0" relativeHeight="37">
            <wp:simplePos x="0" y="0"/>
            <wp:positionH relativeFrom="page">
              <wp:posOffset>496745</wp:posOffset>
            </wp:positionH>
            <wp:positionV relativeFrom="paragraph">
              <wp:posOffset>42318</wp:posOffset>
            </wp:positionV>
            <wp:extent cx="2944525" cy="336803"/>
            <wp:effectExtent l="0" t="0" r="0" b="0"/>
            <wp:wrapTopAndBottom/>
            <wp:docPr id="27" name="image17.jpeg"/>
            <wp:cNvGraphicFramePr>
              <a:graphicFrameLocks noChangeAspect="1"/>
            </wp:cNvGraphicFramePr>
            <a:graphic>
              <a:graphicData uri="http://schemas.openxmlformats.org/drawingml/2006/picture">
                <pic:pic>
                  <pic:nvPicPr>
                    <pic:cNvPr id="28" name="image17.jpeg"/>
                    <pic:cNvPicPr/>
                  </pic:nvPicPr>
                  <pic:blipFill>
                    <a:blip r:embed="rId147" cstate="print"/>
                    <a:stretch>
                      <a:fillRect/>
                    </a:stretch>
                  </pic:blipFill>
                  <pic:spPr>
                    <a:xfrm>
                      <a:off x="0" y="0"/>
                      <a:ext cx="2944525" cy="336803"/>
                    </a:xfrm>
                    <a:prstGeom prst="rect">
                      <a:avLst/>
                    </a:prstGeom>
                  </pic:spPr>
                </pic:pic>
              </a:graphicData>
            </a:graphic>
          </wp:anchor>
        </w:drawing>
      </w:r>
    </w:p>
    <w:p>
      <w:pPr>
        <w:pStyle w:val="Heading5"/>
        <w:spacing w:before="87"/>
        <w:rPr>
          <w:i/>
        </w:rPr>
      </w:pPr>
      <w:r>
        <w:rPr>
          <w:i/>
          <w:color w:val="1C384B"/>
        </w:rPr>
        <w:t>Goal</w:t>
      </w:r>
    </w:p>
    <w:p>
      <w:pPr>
        <w:pStyle w:val="BodyText"/>
        <w:spacing w:line="266" w:lineRule="auto" w:before="184"/>
        <w:ind w:left="160" w:right="492"/>
      </w:pPr>
      <w:r>
        <w:rPr>
          <w:color w:val="231F20"/>
        </w:rPr>
        <w:t>PrEP is a biomedical intervention in which people</w:t>
      </w:r>
      <w:r>
        <w:rPr>
          <w:color w:val="231F20"/>
          <w:spacing w:val="1"/>
        </w:rPr>
        <w:t> </w:t>
      </w:r>
      <w:r>
        <w:rPr>
          <w:color w:val="231F20"/>
        </w:rPr>
        <w:t>at risk of getting HIV adhere to a regimen of daily</w:t>
      </w:r>
      <w:r>
        <w:rPr>
          <w:color w:val="231F20"/>
          <w:spacing w:val="1"/>
        </w:rPr>
        <w:t> </w:t>
      </w:r>
      <w:r>
        <w:rPr>
          <w:color w:val="231F20"/>
        </w:rPr>
        <w:t>oral</w:t>
      </w:r>
      <w:r>
        <w:rPr>
          <w:color w:val="231F20"/>
          <w:spacing w:val="-2"/>
        </w:rPr>
        <w:t> </w:t>
      </w:r>
      <w:r>
        <w:rPr>
          <w:color w:val="231F20"/>
        </w:rPr>
        <w:t>antiretroviral</w:t>
      </w:r>
      <w:r>
        <w:rPr>
          <w:color w:val="231F20"/>
          <w:spacing w:val="-1"/>
        </w:rPr>
        <w:t> </w:t>
      </w:r>
      <w:r>
        <w:rPr>
          <w:color w:val="231F20"/>
        </w:rPr>
        <w:t>medications.</w:t>
      </w:r>
      <w:r>
        <w:rPr>
          <w:color w:val="231F20"/>
          <w:spacing w:val="-6"/>
        </w:rPr>
        <w:t> </w:t>
      </w:r>
      <w:r>
        <w:rPr>
          <w:color w:val="231F20"/>
        </w:rPr>
        <w:t>The</w:t>
      </w:r>
      <w:r>
        <w:rPr>
          <w:color w:val="231F20"/>
          <w:spacing w:val="-1"/>
        </w:rPr>
        <w:t> </w:t>
      </w:r>
      <w:r>
        <w:rPr>
          <w:color w:val="231F20"/>
        </w:rPr>
        <w:t>Food</w:t>
      </w:r>
      <w:r>
        <w:rPr>
          <w:color w:val="231F20"/>
          <w:spacing w:val="-2"/>
        </w:rPr>
        <w:t> </w:t>
      </w:r>
      <w:r>
        <w:rPr>
          <w:color w:val="231F20"/>
        </w:rPr>
        <w:t>and</w:t>
      </w:r>
      <w:r>
        <w:rPr>
          <w:color w:val="231F20"/>
          <w:spacing w:val="-1"/>
        </w:rPr>
        <w:t> </w:t>
      </w:r>
      <w:r>
        <w:rPr>
          <w:color w:val="231F20"/>
        </w:rPr>
        <w:t>Drug</w:t>
      </w:r>
      <w:r>
        <w:rPr>
          <w:color w:val="231F20"/>
          <w:spacing w:val="-52"/>
        </w:rPr>
        <w:t> </w:t>
      </w:r>
      <w:r>
        <w:rPr>
          <w:color w:val="231F20"/>
        </w:rPr>
        <w:t>Administration</w:t>
      </w:r>
      <w:r>
        <w:rPr>
          <w:color w:val="231F20"/>
          <w:spacing w:val="-3"/>
        </w:rPr>
        <w:t> </w:t>
      </w:r>
      <w:r>
        <w:rPr>
          <w:color w:val="231F20"/>
        </w:rPr>
        <w:t>has</w:t>
      </w:r>
      <w:r>
        <w:rPr>
          <w:color w:val="231F20"/>
          <w:spacing w:val="-2"/>
        </w:rPr>
        <w:t> </w:t>
      </w:r>
      <w:r>
        <w:rPr>
          <w:color w:val="231F20"/>
        </w:rPr>
        <w:t>approved</w:t>
      </w:r>
      <w:r>
        <w:rPr>
          <w:color w:val="231F20"/>
          <w:spacing w:val="-1"/>
        </w:rPr>
        <w:t> </w:t>
      </w:r>
      <w:r>
        <w:rPr>
          <w:color w:val="231F20"/>
        </w:rPr>
        <w:t>two</w:t>
      </w:r>
      <w:r>
        <w:rPr>
          <w:color w:val="231F20"/>
          <w:spacing w:val="-2"/>
        </w:rPr>
        <w:t> </w:t>
      </w:r>
      <w:r>
        <w:rPr>
          <w:color w:val="231F20"/>
        </w:rPr>
        <w:t>forms</w:t>
      </w:r>
      <w:r>
        <w:rPr>
          <w:color w:val="231F20"/>
          <w:spacing w:val="-1"/>
        </w:rPr>
        <w:t> </w:t>
      </w:r>
      <w:r>
        <w:rPr>
          <w:color w:val="231F20"/>
        </w:rPr>
        <w:t>of</w:t>
      </w:r>
      <w:r>
        <w:rPr>
          <w:color w:val="231F20"/>
          <w:spacing w:val="-2"/>
        </w:rPr>
        <w:t> </w:t>
      </w:r>
      <w:r>
        <w:rPr>
          <w:color w:val="231F20"/>
        </w:rPr>
        <w:t>PrEP</w:t>
      </w:r>
    </w:p>
    <w:p>
      <w:pPr>
        <w:pStyle w:val="BodyText"/>
        <w:spacing w:line="266" w:lineRule="auto"/>
        <w:ind w:left="160" w:right="229" w:hanging="1"/>
      </w:pPr>
      <w:r>
        <w:rPr>
          <w:color w:val="231F20"/>
        </w:rPr>
        <w:t>medication</w:t>
      </w:r>
      <w:r>
        <w:rPr>
          <w:color w:val="231F20"/>
          <w:vertAlign w:val="superscript"/>
        </w:rPr>
        <w:t>6</w:t>
      </w:r>
      <w:r>
        <w:rPr>
          <w:color w:val="231F20"/>
          <w:spacing w:val="-3"/>
          <w:vertAlign w:val="baseline"/>
        </w:rPr>
        <w:t> </w:t>
      </w:r>
      <w:r>
        <w:rPr>
          <w:color w:val="231F20"/>
          <w:vertAlign w:val="baseline"/>
        </w:rPr>
        <w:t>that</w:t>
      </w:r>
      <w:r>
        <w:rPr>
          <w:color w:val="231F20"/>
          <w:spacing w:val="-3"/>
          <w:vertAlign w:val="baseline"/>
        </w:rPr>
        <w:t> </w:t>
      </w:r>
      <w:r>
        <w:rPr>
          <w:color w:val="231F20"/>
          <w:vertAlign w:val="baseline"/>
        </w:rPr>
        <w:t>prevent</w:t>
      </w:r>
      <w:r>
        <w:rPr>
          <w:color w:val="231F20"/>
          <w:spacing w:val="-2"/>
          <w:vertAlign w:val="baseline"/>
        </w:rPr>
        <w:t> </w:t>
      </w:r>
      <w:r>
        <w:rPr>
          <w:color w:val="231F20"/>
          <w:vertAlign w:val="baseline"/>
        </w:rPr>
        <w:t>HIV</w:t>
      </w:r>
      <w:r>
        <w:rPr>
          <w:color w:val="231F20"/>
          <w:spacing w:val="-7"/>
          <w:vertAlign w:val="baseline"/>
        </w:rPr>
        <w:t> </w:t>
      </w:r>
      <w:r>
        <w:rPr>
          <w:color w:val="231F20"/>
          <w:vertAlign w:val="baseline"/>
        </w:rPr>
        <w:t>from</w:t>
      </w:r>
      <w:r>
        <w:rPr>
          <w:color w:val="231F20"/>
          <w:spacing w:val="-3"/>
          <w:vertAlign w:val="baseline"/>
        </w:rPr>
        <w:t> </w:t>
      </w:r>
      <w:r>
        <w:rPr>
          <w:color w:val="231F20"/>
          <w:vertAlign w:val="baseline"/>
        </w:rPr>
        <w:t>multiplying</w:t>
      </w:r>
      <w:r>
        <w:rPr>
          <w:color w:val="231F20"/>
          <w:spacing w:val="-3"/>
          <w:vertAlign w:val="baseline"/>
        </w:rPr>
        <w:t> </w:t>
      </w:r>
      <w:r>
        <w:rPr>
          <w:color w:val="231F20"/>
          <w:vertAlign w:val="baseline"/>
        </w:rPr>
        <w:t>within</w:t>
      </w:r>
      <w:r>
        <w:rPr>
          <w:color w:val="231F20"/>
          <w:spacing w:val="-52"/>
          <w:vertAlign w:val="baseline"/>
        </w:rPr>
        <w:t> </w:t>
      </w:r>
      <w:r>
        <w:rPr>
          <w:color w:val="231F20"/>
          <w:vertAlign w:val="baseline"/>
        </w:rPr>
        <w:t>the body. Long-acting injectable forms of PrEP are</w:t>
      </w:r>
      <w:r>
        <w:rPr>
          <w:color w:val="231F20"/>
          <w:spacing w:val="1"/>
          <w:vertAlign w:val="baseline"/>
        </w:rPr>
        <w:t> </w:t>
      </w:r>
      <w:r>
        <w:rPr>
          <w:color w:val="231F20"/>
          <w:vertAlign w:val="baseline"/>
        </w:rPr>
        <w:t>currently</w:t>
      </w:r>
      <w:r>
        <w:rPr>
          <w:color w:val="231F20"/>
          <w:spacing w:val="-1"/>
          <w:vertAlign w:val="baseline"/>
        </w:rPr>
        <w:t> </w:t>
      </w:r>
      <w:r>
        <w:rPr>
          <w:color w:val="231F20"/>
          <w:vertAlign w:val="baseline"/>
        </w:rPr>
        <w:t>being tested.</w:t>
      </w:r>
      <w:r>
        <w:rPr>
          <w:color w:val="231F20"/>
          <w:vertAlign w:val="superscript"/>
        </w:rPr>
        <w:t>7</w:t>
      </w:r>
    </w:p>
    <w:p>
      <w:pPr>
        <w:pStyle w:val="BodyText"/>
        <w:spacing w:before="9"/>
        <w:rPr>
          <w:sz w:val="15"/>
        </w:rPr>
      </w:pPr>
    </w:p>
    <w:p>
      <w:pPr>
        <w:pStyle w:val="BodyText"/>
        <w:ind w:left="160" w:right="-116"/>
        <w:rPr>
          <w:sz w:val="20"/>
        </w:rPr>
      </w:pPr>
      <w:r>
        <w:rPr>
          <w:sz w:val="20"/>
        </w:rPr>
        <w:pict>
          <v:group style="width:252pt;height:100.8pt;mso-position-horizontal-relative:char;mso-position-vertical-relative:line" id="docshapegroup90" coordorigin="0,0" coordsize="5040,2016">
            <v:shape style="position:absolute;left:0;top:0;width:5040;height:2016" id="docshape91" coordorigin="0,0" coordsize="5040,2016" path="m4950,0l90,0,55,7,26,26,7,55,0,90,0,1926,7,1961,26,1990,55,2009,90,2016,4950,2016,4985,2009,5014,1990,5033,1961,5040,1926,5040,90,5033,55,5014,26,4985,7,4950,0xe" filled="true" fillcolor="#f7e0e0" stroked="false">
              <v:path arrowok="t"/>
              <v:fill type="solid"/>
            </v:shape>
            <v:shape style="position:absolute;left:0;top:0;width:5040;height:2016" type="#_x0000_t202" id="docshape92" filled="false" stroked="false">
              <v:textbox inset="0,0,0,0">
                <w:txbxContent>
                  <w:p>
                    <w:pPr>
                      <w:spacing w:before="156"/>
                      <w:ind w:left="180" w:right="0" w:firstLine="0"/>
                      <w:jc w:val="left"/>
                      <w:rPr>
                        <w:rFonts w:ascii="Arial"/>
                        <w:sz w:val="21"/>
                      </w:rPr>
                    </w:pPr>
                    <w:r>
                      <w:rPr>
                        <w:rFonts w:ascii="Arial"/>
                        <w:color w:val="010202"/>
                        <w:sz w:val="21"/>
                      </w:rPr>
                      <w:t>Efficacy</w:t>
                    </w:r>
                    <w:r>
                      <w:rPr>
                        <w:rFonts w:ascii="Arial"/>
                        <w:color w:val="010202"/>
                        <w:spacing w:val="-3"/>
                        <w:sz w:val="21"/>
                      </w:rPr>
                      <w:t> </w:t>
                    </w:r>
                    <w:r>
                      <w:rPr>
                        <w:rFonts w:ascii="Arial"/>
                        <w:color w:val="010202"/>
                        <w:sz w:val="21"/>
                      </w:rPr>
                      <w:t>of</w:t>
                    </w:r>
                    <w:r>
                      <w:rPr>
                        <w:rFonts w:ascii="Arial"/>
                        <w:color w:val="010202"/>
                        <w:spacing w:val="-4"/>
                        <w:sz w:val="21"/>
                      </w:rPr>
                      <w:t> </w:t>
                    </w:r>
                    <w:r>
                      <w:rPr>
                        <w:rFonts w:ascii="Arial"/>
                        <w:color w:val="010202"/>
                        <w:sz w:val="21"/>
                      </w:rPr>
                      <w:t>PrEP</w:t>
                    </w:r>
                    <w:r>
                      <w:rPr>
                        <w:rFonts w:ascii="Arial"/>
                        <w:color w:val="010202"/>
                        <w:spacing w:val="-7"/>
                        <w:sz w:val="21"/>
                      </w:rPr>
                      <w:t> </w:t>
                    </w:r>
                    <w:r>
                      <w:rPr>
                        <w:rFonts w:ascii="Arial"/>
                        <w:color w:val="010202"/>
                        <w:sz w:val="21"/>
                      </w:rPr>
                      <w:t>as</w:t>
                    </w:r>
                    <w:r>
                      <w:rPr>
                        <w:rFonts w:ascii="Arial"/>
                        <w:color w:val="010202"/>
                        <w:spacing w:val="-4"/>
                        <w:sz w:val="21"/>
                      </w:rPr>
                      <w:t> </w:t>
                    </w:r>
                    <w:r>
                      <w:rPr>
                        <w:rFonts w:ascii="Arial"/>
                        <w:color w:val="010202"/>
                        <w:sz w:val="21"/>
                      </w:rPr>
                      <w:t>a</w:t>
                    </w:r>
                    <w:r>
                      <w:rPr>
                        <w:rFonts w:ascii="Arial"/>
                        <w:color w:val="010202"/>
                        <w:spacing w:val="-4"/>
                        <w:sz w:val="21"/>
                      </w:rPr>
                      <w:t> </w:t>
                    </w:r>
                    <w:r>
                      <w:rPr>
                        <w:rFonts w:ascii="Arial"/>
                        <w:color w:val="010202"/>
                        <w:sz w:val="21"/>
                      </w:rPr>
                      <w:t>biomedical</w:t>
                    </w:r>
                    <w:r>
                      <w:rPr>
                        <w:rFonts w:ascii="Arial"/>
                        <w:color w:val="010202"/>
                        <w:spacing w:val="-4"/>
                        <w:sz w:val="21"/>
                      </w:rPr>
                      <w:t> </w:t>
                    </w:r>
                    <w:r>
                      <w:rPr>
                        <w:rFonts w:ascii="Arial"/>
                        <w:color w:val="010202"/>
                        <w:sz w:val="21"/>
                      </w:rPr>
                      <w:t>intervention</w:t>
                    </w:r>
                    <w:r>
                      <w:rPr>
                        <w:rFonts w:ascii="Arial"/>
                        <w:color w:val="010202"/>
                        <w:spacing w:val="-4"/>
                        <w:sz w:val="21"/>
                      </w:rPr>
                      <w:t> </w:t>
                    </w:r>
                    <w:r>
                      <w:rPr>
                        <w:rFonts w:ascii="Arial"/>
                        <w:color w:val="010202"/>
                        <w:sz w:val="21"/>
                      </w:rPr>
                      <w:t>is</w:t>
                    </w:r>
                  </w:p>
                  <w:p>
                    <w:pPr>
                      <w:spacing w:before="18"/>
                      <w:ind w:left="180" w:right="0" w:firstLine="0"/>
                      <w:jc w:val="left"/>
                      <w:rPr>
                        <w:rFonts w:ascii="Arial"/>
                        <w:sz w:val="21"/>
                      </w:rPr>
                    </w:pPr>
                    <w:r>
                      <w:rPr>
                        <w:rFonts w:ascii="Arial"/>
                        <w:b/>
                        <w:color w:val="CE372E"/>
                        <w:sz w:val="21"/>
                      </w:rPr>
                      <w:t>established</w:t>
                    </w:r>
                    <w:r>
                      <w:rPr>
                        <w:rFonts w:ascii="Arial"/>
                        <w:color w:val="010202"/>
                        <w:sz w:val="21"/>
                      </w:rPr>
                      <w:t>.</w:t>
                    </w:r>
                  </w:p>
                  <w:p>
                    <w:pPr>
                      <w:spacing w:line="259" w:lineRule="auto" w:before="109"/>
                      <w:ind w:left="180" w:right="170" w:firstLine="0"/>
                      <w:jc w:val="left"/>
                      <w:rPr>
                        <w:rFonts w:ascii="Arial"/>
                        <w:sz w:val="21"/>
                      </w:rPr>
                    </w:pPr>
                    <w:r>
                      <w:rPr>
                        <w:rFonts w:ascii="Arial"/>
                        <w:color w:val="010202"/>
                        <w:sz w:val="21"/>
                      </w:rPr>
                      <w:t>However, evidence for interventions that aim to</w:t>
                    </w:r>
                    <w:r>
                      <w:rPr>
                        <w:rFonts w:ascii="Arial"/>
                        <w:color w:val="010202"/>
                        <w:spacing w:val="1"/>
                        <w:sz w:val="21"/>
                      </w:rPr>
                      <w:t> </w:t>
                    </w:r>
                    <w:r>
                      <w:rPr>
                        <w:rFonts w:ascii="Arial"/>
                        <w:color w:val="010202"/>
                        <w:sz w:val="21"/>
                      </w:rPr>
                      <w:t>increase PrEP uptake and adherence among</w:t>
                    </w:r>
                    <w:r>
                      <w:rPr>
                        <w:rFonts w:ascii="Arial"/>
                        <w:color w:val="010202"/>
                        <w:spacing w:val="1"/>
                        <w:sz w:val="21"/>
                      </w:rPr>
                      <w:t> </w:t>
                    </w:r>
                    <w:r>
                      <w:rPr>
                        <w:rFonts w:ascii="Arial"/>
                        <w:color w:val="010202"/>
                        <w:sz w:val="21"/>
                      </w:rPr>
                      <w:t>people</w:t>
                    </w:r>
                    <w:r>
                      <w:rPr>
                        <w:rFonts w:ascii="Arial"/>
                        <w:color w:val="010202"/>
                        <w:spacing w:val="-4"/>
                        <w:sz w:val="21"/>
                      </w:rPr>
                      <w:t> </w:t>
                    </w:r>
                    <w:r>
                      <w:rPr>
                        <w:rFonts w:ascii="Arial"/>
                        <w:color w:val="010202"/>
                        <w:sz w:val="21"/>
                      </w:rPr>
                      <w:t>at</w:t>
                    </w:r>
                    <w:r>
                      <w:rPr>
                        <w:rFonts w:ascii="Arial"/>
                        <w:color w:val="010202"/>
                        <w:spacing w:val="-3"/>
                        <w:sz w:val="21"/>
                      </w:rPr>
                      <w:t> </w:t>
                    </w:r>
                    <w:r>
                      <w:rPr>
                        <w:rFonts w:ascii="Arial"/>
                        <w:color w:val="010202"/>
                        <w:sz w:val="21"/>
                      </w:rPr>
                      <w:t>risk</w:t>
                    </w:r>
                    <w:r>
                      <w:rPr>
                        <w:rFonts w:ascii="Arial"/>
                        <w:color w:val="010202"/>
                        <w:spacing w:val="-3"/>
                        <w:sz w:val="21"/>
                      </w:rPr>
                      <w:t> </w:t>
                    </w:r>
                    <w:r>
                      <w:rPr>
                        <w:rFonts w:ascii="Arial"/>
                        <w:color w:val="010202"/>
                        <w:sz w:val="21"/>
                      </w:rPr>
                      <w:t>of</w:t>
                    </w:r>
                    <w:r>
                      <w:rPr>
                        <w:rFonts w:ascii="Arial"/>
                        <w:color w:val="010202"/>
                        <w:spacing w:val="-4"/>
                        <w:sz w:val="21"/>
                      </w:rPr>
                      <w:t> </w:t>
                    </w:r>
                    <w:r>
                      <w:rPr>
                        <w:rFonts w:ascii="Arial"/>
                        <w:color w:val="010202"/>
                        <w:sz w:val="21"/>
                      </w:rPr>
                      <w:t>HIV</w:t>
                    </w:r>
                    <w:r>
                      <w:rPr>
                        <w:rFonts w:ascii="Arial"/>
                        <w:color w:val="010202"/>
                        <w:spacing w:val="-3"/>
                        <w:sz w:val="21"/>
                      </w:rPr>
                      <w:t> </w:t>
                    </w:r>
                    <w:r>
                      <w:rPr>
                        <w:rFonts w:ascii="Arial"/>
                        <w:color w:val="010202"/>
                        <w:sz w:val="21"/>
                      </w:rPr>
                      <w:t>who</w:t>
                    </w:r>
                    <w:r>
                      <w:rPr>
                        <w:rFonts w:ascii="Arial"/>
                        <w:color w:val="010202"/>
                        <w:spacing w:val="-4"/>
                        <w:sz w:val="21"/>
                      </w:rPr>
                      <w:t> </w:t>
                    </w:r>
                    <w:r>
                      <w:rPr>
                        <w:rFonts w:ascii="Arial"/>
                        <w:color w:val="010202"/>
                        <w:sz w:val="21"/>
                      </w:rPr>
                      <w:t>have</w:t>
                    </w:r>
                    <w:r>
                      <w:rPr>
                        <w:rFonts w:ascii="Arial"/>
                        <w:color w:val="010202"/>
                        <w:spacing w:val="-3"/>
                        <w:sz w:val="21"/>
                      </w:rPr>
                      <w:t> </w:t>
                    </w:r>
                    <w:r>
                      <w:rPr>
                        <w:rFonts w:ascii="Arial"/>
                        <w:color w:val="010202"/>
                        <w:sz w:val="21"/>
                      </w:rPr>
                      <w:t>mental</w:t>
                    </w:r>
                    <w:r>
                      <w:rPr>
                        <w:rFonts w:ascii="Arial"/>
                        <w:color w:val="010202"/>
                        <w:spacing w:val="-3"/>
                        <w:sz w:val="21"/>
                      </w:rPr>
                      <w:t> </w:t>
                    </w:r>
                    <w:r>
                      <w:rPr>
                        <w:rFonts w:ascii="Arial"/>
                        <w:color w:val="010202"/>
                        <w:sz w:val="21"/>
                      </w:rPr>
                      <w:t>illness</w:t>
                    </w:r>
                    <w:r>
                      <w:rPr>
                        <w:rFonts w:ascii="Arial"/>
                        <w:color w:val="010202"/>
                        <w:spacing w:val="-3"/>
                        <w:sz w:val="21"/>
                      </w:rPr>
                      <w:t> </w:t>
                    </w:r>
                    <w:r>
                      <w:rPr>
                        <w:rFonts w:ascii="Arial"/>
                        <w:color w:val="010202"/>
                        <w:sz w:val="21"/>
                      </w:rPr>
                      <w:t>and/</w:t>
                    </w:r>
                    <w:r>
                      <w:rPr>
                        <w:rFonts w:ascii="Arial"/>
                        <w:color w:val="010202"/>
                        <w:spacing w:val="-56"/>
                        <w:sz w:val="21"/>
                      </w:rPr>
                      <w:t> </w:t>
                    </w:r>
                    <w:r>
                      <w:rPr>
                        <w:rFonts w:ascii="Arial"/>
                        <w:color w:val="010202"/>
                        <w:sz w:val="21"/>
                      </w:rPr>
                      <w:t>or</w:t>
                    </w:r>
                    <w:r>
                      <w:rPr>
                        <w:rFonts w:ascii="Arial"/>
                        <w:color w:val="010202"/>
                        <w:spacing w:val="-2"/>
                        <w:sz w:val="21"/>
                      </w:rPr>
                      <w:t> </w:t>
                    </w:r>
                    <w:r>
                      <w:rPr>
                        <w:rFonts w:ascii="Arial"/>
                        <w:color w:val="010202"/>
                        <w:sz w:val="21"/>
                      </w:rPr>
                      <w:t>SUD is</w:t>
                    </w:r>
                    <w:r>
                      <w:rPr>
                        <w:rFonts w:ascii="Arial"/>
                        <w:color w:val="010202"/>
                        <w:spacing w:val="-1"/>
                        <w:sz w:val="21"/>
                      </w:rPr>
                      <w:t> </w:t>
                    </w:r>
                    <w:r>
                      <w:rPr>
                        <w:rFonts w:ascii="Arial"/>
                        <w:b/>
                        <w:color w:val="CE372E"/>
                        <w:sz w:val="21"/>
                      </w:rPr>
                      <w:t>emerging</w:t>
                    </w:r>
                    <w:r>
                      <w:rPr>
                        <w:rFonts w:ascii="Arial"/>
                        <w:color w:val="010202"/>
                        <w:sz w:val="21"/>
                      </w:rPr>
                      <w:t>.</w:t>
                    </w:r>
                  </w:p>
                </w:txbxContent>
              </v:textbox>
              <w10:wrap type="none"/>
            </v:shape>
          </v:group>
        </w:pict>
      </w:r>
      <w:r>
        <w:rPr>
          <w:sz w:val="20"/>
        </w:rPr>
      </w:r>
    </w:p>
    <w:p>
      <w:pPr>
        <w:pStyle w:val="BodyText"/>
        <w:spacing w:line="266" w:lineRule="auto" w:before="183"/>
        <w:ind w:left="159" w:right="391"/>
      </w:pPr>
      <w:r>
        <w:rPr>
          <w:color w:val="231F20"/>
        </w:rPr>
        <w:t>The</w:t>
      </w:r>
      <w:r>
        <w:rPr>
          <w:color w:val="231F20"/>
          <w:spacing w:val="-6"/>
        </w:rPr>
        <w:t> </w:t>
      </w:r>
      <w:r>
        <w:rPr>
          <w:color w:val="231F20"/>
        </w:rPr>
        <w:t>U.S.</w:t>
      </w:r>
      <w:r>
        <w:rPr>
          <w:color w:val="231F20"/>
          <w:spacing w:val="-7"/>
        </w:rPr>
        <w:t> </w:t>
      </w:r>
      <w:r>
        <w:rPr>
          <w:color w:val="231F20"/>
        </w:rPr>
        <w:t>Preventive</w:t>
      </w:r>
      <w:r>
        <w:rPr>
          <w:color w:val="231F20"/>
          <w:spacing w:val="-7"/>
        </w:rPr>
        <w:t> </w:t>
      </w:r>
      <w:r>
        <w:rPr>
          <w:color w:val="231F20"/>
        </w:rPr>
        <w:t>Services</w:t>
      </w:r>
      <w:r>
        <w:rPr>
          <w:color w:val="231F20"/>
          <w:spacing w:val="-10"/>
        </w:rPr>
        <w:t> </w:t>
      </w:r>
      <w:r>
        <w:rPr>
          <w:color w:val="231F20"/>
        </w:rPr>
        <w:t>Task</w:t>
      </w:r>
      <w:r>
        <w:rPr>
          <w:color w:val="231F20"/>
          <w:spacing w:val="-5"/>
        </w:rPr>
        <w:t> </w:t>
      </w:r>
      <w:r>
        <w:rPr>
          <w:color w:val="231F20"/>
        </w:rPr>
        <w:t>Force</w:t>
      </w:r>
      <w:r>
        <w:rPr>
          <w:color w:val="231F20"/>
          <w:spacing w:val="-7"/>
        </w:rPr>
        <w:t> </w:t>
      </w:r>
      <w:r>
        <w:rPr>
          <w:color w:val="231F20"/>
        </w:rPr>
        <w:t>gave</w:t>
      </w:r>
      <w:r>
        <w:rPr>
          <w:color w:val="231F20"/>
          <w:spacing w:val="-6"/>
        </w:rPr>
        <w:t> </w:t>
      </w:r>
      <w:r>
        <w:rPr>
          <w:color w:val="231F20"/>
        </w:rPr>
        <w:t>PrEP</w:t>
      </w:r>
      <w:r>
        <w:rPr>
          <w:color w:val="231F20"/>
          <w:spacing w:val="-52"/>
        </w:rPr>
        <w:t> </w:t>
      </w:r>
      <w:r>
        <w:rPr>
          <w:color w:val="231F20"/>
          <w:w w:val="95"/>
        </w:rPr>
        <w:t>a</w:t>
      </w:r>
      <w:r>
        <w:rPr>
          <w:color w:val="231F20"/>
          <w:spacing w:val="1"/>
          <w:w w:val="95"/>
        </w:rPr>
        <w:t> </w:t>
      </w:r>
      <w:r>
        <w:rPr>
          <w:color w:val="231F20"/>
          <w:w w:val="95"/>
        </w:rPr>
        <w:t>Grade A recommendation.</w:t>
      </w:r>
      <w:r>
        <w:rPr>
          <w:color w:val="231F20"/>
          <w:w w:val="95"/>
          <w:vertAlign w:val="superscript"/>
        </w:rPr>
        <w:t>8</w:t>
      </w:r>
      <w:r>
        <w:rPr>
          <w:color w:val="231F20"/>
          <w:spacing w:val="1"/>
          <w:w w:val="95"/>
          <w:vertAlign w:val="baseline"/>
        </w:rPr>
        <w:t> </w:t>
      </w:r>
      <w:r>
        <w:rPr>
          <w:color w:val="231F20"/>
          <w:w w:val="95"/>
          <w:vertAlign w:val="baseline"/>
        </w:rPr>
        <w:t>It</w:t>
      </w:r>
      <w:r>
        <w:rPr>
          <w:color w:val="231F20"/>
          <w:spacing w:val="1"/>
          <w:w w:val="95"/>
          <w:vertAlign w:val="baseline"/>
        </w:rPr>
        <w:t> </w:t>
      </w:r>
      <w:r>
        <w:rPr>
          <w:color w:val="231F20"/>
          <w:w w:val="95"/>
          <w:vertAlign w:val="baseline"/>
        </w:rPr>
        <w:t>is</w:t>
      </w:r>
      <w:r>
        <w:rPr>
          <w:color w:val="231F20"/>
          <w:spacing w:val="49"/>
          <w:vertAlign w:val="baseline"/>
        </w:rPr>
        <w:t> </w:t>
      </w:r>
      <w:r>
        <w:rPr>
          <w:color w:val="231F20"/>
          <w:w w:val="95"/>
          <w:vertAlign w:val="baseline"/>
        </w:rPr>
        <w:t>an</w:t>
      </w:r>
      <w:r>
        <w:rPr>
          <w:color w:val="231F20"/>
          <w:spacing w:val="50"/>
          <w:vertAlign w:val="baseline"/>
        </w:rPr>
        <w:t> </w:t>
      </w:r>
      <w:r>
        <w:rPr>
          <w:color w:val="231F20"/>
          <w:w w:val="95"/>
          <w:vertAlign w:val="baseline"/>
        </w:rPr>
        <w:t>effective</w:t>
      </w:r>
      <w:r>
        <w:rPr>
          <w:color w:val="231F20"/>
          <w:spacing w:val="49"/>
          <w:vertAlign w:val="baseline"/>
        </w:rPr>
        <w:t> </w:t>
      </w:r>
      <w:r>
        <w:rPr>
          <w:color w:val="231F20"/>
          <w:w w:val="95"/>
          <w:vertAlign w:val="baseline"/>
        </w:rPr>
        <w:t>tool</w:t>
      </w:r>
      <w:r>
        <w:rPr>
          <w:color w:val="231F20"/>
          <w:spacing w:val="1"/>
          <w:w w:val="95"/>
          <w:vertAlign w:val="baseline"/>
        </w:rPr>
        <w:t> </w:t>
      </w:r>
      <w:r>
        <w:rPr>
          <w:color w:val="231F20"/>
          <w:vertAlign w:val="baseline"/>
        </w:rPr>
        <w:t>for reducing HIV transmission, including among</w:t>
      </w:r>
      <w:r>
        <w:rPr>
          <w:color w:val="231F20"/>
          <w:spacing w:val="1"/>
          <w:vertAlign w:val="baseline"/>
        </w:rPr>
        <w:t> </w:t>
      </w:r>
      <w:r>
        <w:rPr>
          <w:color w:val="231F20"/>
          <w:vertAlign w:val="baseline"/>
        </w:rPr>
        <w:t>populations</w:t>
      </w:r>
      <w:r>
        <w:rPr>
          <w:color w:val="231F20"/>
          <w:spacing w:val="-6"/>
          <w:vertAlign w:val="baseline"/>
        </w:rPr>
        <w:t> </w:t>
      </w:r>
      <w:r>
        <w:rPr>
          <w:color w:val="231F20"/>
          <w:vertAlign w:val="baseline"/>
        </w:rPr>
        <w:t>behaviorally</w:t>
      </w:r>
      <w:r>
        <w:rPr>
          <w:color w:val="231F20"/>
          <w:spacing w:val="-5"/>
          <w:vertAlign w:val="baseline"/>
        </w:rPr>
        <w:t> </w:t>
      </w:r>
      <w:r>
        <w:rPr>
          <w:color w:val="231F20"/>
          <w:vertAlign w:val="baseline"/>
        </w:rPr>
        <w:t>vulnerable</w:t>
      </w:r>
      <w:r>
        <w:rPr>
          <w:color w:val="231F20"/>
          <w:spacing w:val="-5"/>
          <w:vertAlign w:val="baseline"/>
        </w:rPr>
        <w:t> </w:t>
      </w:r>
      <w:r>
        <w:rPr>
          <w:color w:val="231F20"/>
          <w:vertAlign w:val="baseline"/>
        </w:rPr>
        <w:t>to</w:t>
      </w:r>
      <w:r>
        <w:rPr>
          <w:color w:val="231F20"/>
          <w:spacing w:val="-5"/>
          <w:vertAlign w:val="baseline"/>
        </w:rPr>
        <w:t> </w:t>
      </w:r>
      <w:r>
        <w:rPr>
          <w:color w:val="231F20"/>
          <w:vertAlign w:val="baseline"/>
        </w:rPr>
        <w:t>HIV,</w:t>
      </w:r>
      <w:r>
        <w:rPr>
          <w:color w:val="231F20"/>
          <w:spacing w:val="-5"/>
          <w:vertAlign w:val="baseline"/>
        </w:rPr>
        <w:t> </w:t>
      </w:r>
      <w:r>
        <w:rPr>
          <w:color w:val="231F20"/>
          <w:vertAlign w:val="baseline"/>
        </w:rPr>
        <w:t>such</w:t>
      </w:r>
      <w:r>
        <w:rPr>
          <w:color w:val="231F20"/>
          <w:spacing w:val="-7"/>
          <w:vertAlign w:val="baseline"/>
        </w:rPr>
        <w:t> </w:t>
      </w:r>
      <w:r>
        <w:rPr>
          <w:color w:val="231F20"/>
          <w:vertAlign w:val="baseline"/>
        </w:rPr>
        <w:t>as</w:t>
      </w:r>
    </w:p>
    <w:p>
      <w:pPr>
        <w:pStyle w:val="BodyText"/>
        <w:spacing w:line="266" w:lineRule="auto"/>
        <w:ind w:left="159" w:right="173"/>
      </w:pPr>
      <w:r>
        <w:rPr>
          <w:color w:val="231F20"/>
        </w:rPr>
        <w:t>people</w:t>
      </w:r>
      <w:r>
        <w:rPr>
          <w:color w:val="231F20"/>
          <w:spacing w:val="-2"/>
        </w:rPr>
        <w:t> </w:t>
      </w:r>
      <w:r>
        <w:rPr>
          <w:color w:val="231F20"/>
        </w:rPr>
        <w:t>who</w:t>
      </w:r>
      <w:r>
        <w:rPr>
          <w:color w:val="231F20"/>
          <w:spacing w:val="-2"/>
        </w:rPr>
        <w:t> </w:t>
      </w:r>
      <w:r>
        <w:rPr>
          <w:color w:val="231F20"/>
        </w:rPr>
        <w:t>inject</w:t>
      </w:r>
      <w:r>
        <w:rPr>
          <w:color w:val="231F20"/>
          <w:spacing w:val="-2"/>
        </w:rPr>
        <w:t> </w:t>
      </w:r>
      <w:r>
        <w:rPr>
          <w:color w:val="231F20"/>
        </w:rPr>
        <w:t>drugs</w:t>
      </w:r>
      <w:r>
        <w:rPr>
          <w:color w:val="231F20"/>
          <w:spacing w:val="-1"/>
        </w:rPr>
        <w:t> </w:t>
      </w:r>
      <w:r>
        <w:rPr>
          <w:color w:val="231F20"/>
        </w:rPr>
        <w:t>(PWID)</w:t>
      </w:r>
      <w:r>
        <w:rPr>
          <w:color w:val="231F20"/>
          <w:vertAlign w:val="superscript"/>
        </w:rPr>
        <w:t>9</w:t>
      </w:r>
      <w:r>
        <w:rPr>
          <w:color w:val="231F20"/>
          <w:spacing w:val="-2"/>
          <w:vertAlign w:val="baseline"/>
        </w:rPr>
        <w:t> </w:t>
      </w:r>
      <w:r>
        <w:rPr>
          <w:color w:val="231F20"/>
          <w:vertAlign w:val="baseline"/>
        </w:rPr>
        <w:t>and</w:t>
      </w:r>
      <w:r>
        <w:rPr>
          <w:color w:val="231F20"/>
          <w:spacing w:val="-1"/>
          <w:vertAlign w:val="baseline"/>
        </w:rPr>
        <w:t> </w:t>
      </w:r>
      <w:r>
        <w:rPr>
          <w:color w:val="231F20"/>
          <w:vertAlign w:val="baseline"/>
        </w:rPr>
        <w:t>people</w:t>
      </w:r>
      <w:r>
        <w:rPr>
          <w:color w:val="231F20"/>
          <w:spacing w:val="-1"/>
          <w:vertAlign w:val="baseline"/>
        </w:rPr>
        <w:t> </w:t>
      </w:r>
      <w:r>
        <w:rPr>
          <w:color w:val="231F20"/>
          <w:vertAlign w:val="baseline"/>
        </w:rPr>
        <w:t>who</w:t>
      </w:r>
      <w:r>
        <w:rPr>
          <w:color w:val="231F20"/>
          <w:spacing w:val="-3"/>
          <w:vertAlign w:val="baseline"/>
        </w:rPr>
        <w:t> </w:t>
      </w:r>
      <w:r>
        <w:rPr>
          <w:color w:val="231F20"/>
          <w:vertAlign w:val="baseline"/>
        </w:rPr>
        <w:t>may</w:t>
      </w:r>
      <w:r>
        <w:rPr>
          <w:color w:val="231F20"/>
          <w:spacing w:val="-52"/>
          <w:vertAlign w:val="baseline"/>
        </w:rPr>
        <w:t> </w:t>
      </w:r>
      <w:r>
        <w:rPr>
          <w:color w:val="231F20"/>
          <w:vertAlign w:val="baseline"/>
        </w:rPr>
        <w:t>be exposed to HIV through sexual contact.</w:t>
      </w:r>
      <w:r>
        <w:rPr>
          <w:color w:val="231F20"/>
          <w:vertAlign w:val="superscript"/>
        </w:rPr>
        <w:t>10</w:t>
      </w:r>
      <w:r>
        <w:rPr>
          <w:color w:val="231F20"/>
          <w:vertAlign w:val="baseline"/>
        </w:rPr>
        <w:t> PrEP is</w:t>
      </w:r>
      <w:r>
        <w:rPr>
          <w:color w:val="231F20"/>
          <w:spacing w:val="1"/>
          <w:vertAlign w:val="baseline"/>
        </w:rPr>
        <w:t> </w:t>
      </w:r>
      <w:r>
        <w:rPr>
          <w:color w:val="231F20"/>
          <w:vertAlign w:val="baseline"/>
        </w:rPr>
        <w:t>approximately 99 percent effective at preventing HIV</w:t>
      </w:r>
      <w:r>
        <w:rPr>
          <w:color w:val="231F20"/>
          <w:spacing w:val="1"/>
          <w:vertAlign w:val="baseline"/>
        </w:rPr>
        <w:t> </w:t>
      </w:r>
      <w:r>
        <w:rPr>
          <w:color w:val="231F20"/>
          <w:vertAlign w:val="baseline"/>
        </w:rPr>
        <w:t>when taken consistently and adhering to prescription</w:t>
      </w:r>
      <w:r>
        <w:rPr>
          <w:color w:val="231F20"/>
          <w:spacing w:val="1"/>
          <w:vertAlign w:val="baseline"/>
        </w:rPr>
        <w:t> </w:t>
      </w:r>
      <w:r>
        <w:rPr>
          <w:color w:val="231F20"/>
          <w:w w:val="95"/>
          <w:vertAlign w:val="baseline"/>
        </w:rPr>
        <w:t>guidelines.</w:t>
      </w:r>
      <w:r>
        <w:rPr>
          <w:color w:val="231F20"/>
          <w:w w:val="95"/>
          <w:vertAlign w:val="superscript"/>
        </w:rPr>
        <w:t>9</w:t>
      </w:r>
      <w:r>
        <w:rPr>
          <w:color w:val="231F20"/>
          <w:w w:val="95"/>
          <w:vertAlign w:val="baseline"/>
        </w:rPr>
        <w:t> PrEP is</w:t>
      </w:r>
      <w:r>
        <w:rPr>
          <w:color w:val="231F20"/>
          <w:spacing w:val="49"/>
          <w:vertAlign w:val="baseline"/>
        </w:rPr>
        <w:t> </w:t>
      </w:r>
      <w:r>
        <w:rPr>
          <w:color w:val="231F20"/>
          <w:w w:val="95"/>
          <w:vertAlign w:val="baseline"/>
        </w:rPr>
        <w:t>recommended</w:t>
      </w:r>
      <w:r>
        <w:rPr>
          <w:color w:val="231F20"/>
          <w:spacing w:val="50"/>
          <w:vertAlign w:val="baseline"/>
        </w:rPr>
        <w:t> </w:t>
      </w:r>
      <w:r>
        <w:rPr>
          <w:color w:val="231F20"/>
          <w:w w:val="95"/>
          <w:vertAlign w:val="baseline"/>
        </w:rPr>
        <w:t>for</w:t>
      </w:r>
      <w:r>
        <w:rPr>
          <w:color w:val="231F20"/>
          <w:spacing w:val="49"/>
          <w:vertAlign w:val="baseline"/>
        </w:rPr>
        <w:t> </w:t>
      </w:r>
      <w:r>
        <w:rPr>
          <w:color w:val="231F20"/>
          <w:w w:val="95"/>
          <w:vertAlign w:val="baseline"/>
        </w:rPr>
        <w:t>people</w:t>
      </w:r>
      <w:r>
        <w:rPr>
          <w:color w:val="231F20"/>
          <w:spacing w:val="50"/>
          <w:vertAlign w:val="baseline"/>
        </w:rPr>
        <w:t> </w:t>
      </w:r>
      <w:r>
        <w:rPr>
          <w:color w:val="231F20"/>
          <w:w w:val="95"/>
          <w:vertAlign w:val="baseline"/>
        </w:rPr>
        <w:t>who</w:t>
      </w:r>
      <w:r>
        <w:rPr>
          <w:color w:val="231F20"/>
          <w:spacing w:val="1"/>
          <w:w w:val="95"/>
          <w:vertAlign w:val="baseline"/>
        </w:rPr>
        <w:t> </w:t>
      </w:r>
      <w:r>
        <w:rPr>
          <w:color w:val="231F20"/>
          <w:vertAlign w:val="baseline"/>
        </w:rPr>
        <w:t>have</w:t>
      </w:r>
      <w:r>
        <w:rPr>
          <w:color w:val="231F20"/>
          <w:spacing w:val="-1"/>
          <w:vertAlign w:val="baseline"/>
        </w:rPr>
        <w:t> </w:t>
      </w:r>
      <w:r>
        <w:rPr>
          <w:color w:val="231F20"/>
          <w:vertAlign w:val="baseline"/>
        </w:rPr>
        <w:t>had an increased risk of</w:t>
      </w:r>
      <w:r>
        <w:rPr>
          <w:color w:val="231F20"/>
          <w:spacing w:val="-1"/>
          <w:vertAlign w:val="baseline"/>
        </w:rPr>
        <w:t> </w:t>
      </w:r>
      <w:r>
        <w:rPr>
          <w:color w:val="231F20"/>
          <w:vertAlign w:val="baseline"/>
        </w:rPr>
        <w:t>getting HIV</w:t>
      </w:r>
      <w:r>
        <w:rPr>
          <w:color w:val="231F20"/>
          <w:spacing w:val="-5"/>
          <w:vertAlign w:val="baseline"/>
        </w:rPr>
        <w:t> </w:t>
      </w:r>
      <w:r>
        <w:rPr>
          <w:color w:val="231F20"/>
          <w:vertAlign w:val="baseline"/>
        </w:rPr>
        <w:t>in the past 6</w:t>
      </w:r>
    </w:p>
    <w:p>
      <w:pPr>
        <w:pStyle w:val="BodyText"/>
        <w:spacing w:line="266" w:lineRule="auto"/>
        <w:ind w:left="159" w:right="110"/>
        <w:jc w:val="both"/>
      </w:pPr>
      <w:r>
        <w:rPr>
          <w:color w:val="231F20"/>
        </w:rPr>
        <w:t>months, and the risks/benefits of uptake and continuing</w:t>
      </w:r>
      <w:r>
        <w:rPr>
          <w:color w:val="231F20"/>
          <w:spacing w:val="-52"/>
        </w:rPr>
        <w:t> </w:t>
      </w:r>
      <w:r>
        <w:rPr>
          <w:color w:val="231F20"/>
        </w:rPr>
        <w:t>should be an ongoing discussion between the client and</w:t>
      </w:r>
      <w:r>
        <w:rPr>
          <w:color w:val="231F20"/>
          <w:spacing w:val="-52"/>
        </w:rPr>
        <w:t> </w:t>
      </w:r>
      <w:r>
        <w:rPr>
          <w:color w:val="231F20"/>
        </w:rPr>
        <w:t>provider.</w:t>
      </w:r>
    </w:p>
    <w:p>
      <w:pPr>
        <w:pStyle w:val="BodyText"/>
        <w:spacing w:line="266" w:lineRule="auto" w:before="91"/>
        <w:ind w:left="160" w:right="852"/>
      </w:pPr>
      <w:r>
        <w:rPr/>
        <w:br w:type="column"/>
      </w:r>
      <w:r>
        <w:rPr>
          <w:color w:val="231F20"/>
        </w:rPr>
        <w:t>While</w:t>
      </w:r>
      <w:r>
        <w:rPr>
          <w:color w:val="231F20"/>
          <w:spacing w:val="-2"/>
        </w:rPr>
        <w:t> </w:t>
      </w:r>
      <w:r>
        <w:rPr>
          <w:color w:val="231F20"/>
        </w:rPr>
        <w:t>the</w:t>
      </w:r>
      <w:r>
        <w:rPr>
          <w:color w:val="231F20"/>
          <w:spacing w:val="-2"/>
        </w:rPr>
        <w:t> </w:t>
      </w:r>
      <w:r>
        <w:rPr>
          <w:color w:val="231F20"/>
        </w:rPr>
        <w:t>efficacy</w:t>
      </w:r>
      <w:r>
        <w:rPr>
          <w:color w:val="231F20"/>
          <w:spacing w:val="-2"/>
        </w:rPr>
        <w:t> </w:t>
      </w:r>
      <w:r>
        <w:rPr>
          <w:color w:val="231F20"/>
        </w:rPr>
        <w:t>of</w:t>
      </w:r>
      <w:r>
        <w:rPr>
          <w:color w:val="231F20"/>
          <w:spacing w:val="-2"/>
        </w:rPr>
        <w:t> </w:t>
      </w:r>
      <w:r>
        <w:rPr>
          <w:color w:val="231F20"/>
        </w:rPr>
        <w:t>PrEP</w:t>
      </w:r>
      <w:r>
        <w:rPr>
          <w:color w:val="231F20"/>
          <w:spacing w:val="-10"/>
        </w:rPr>
        <w:t> </w:t>
      </w:r>
      <w:r>
        <w:rPr>
          <w:color w:val="231F20"/>
        </w:rPr>
        <w:t>as</w:t>
      </w:r>
      <w:r>
        <w:rPr>
          <w:color w:val="231F20"/>
          <w:spacing w:val="-2"/>
        </w:rPr>
        <w:t> </w:t>
      </w:r>
      <w:r>
        <w:rPr>
          <w:color w:val="231F20"/>
        </w:rPr>
        <w:t>a</w:t>
      </w:r>
      <w:r>
        <w:rPr>
          <w:color w:val="231F20"/>
          <w:spacing w:val="-2"/>
        </w:rPr>
        <w:t> </w:t>
      </w:r>
      <w:r>
        <w:rPr>
          <w:color w:val="231F20"/>
        </w:rPr>
        <w:t>biomedical</w:t>
      </w:r>
      <w:r>
        <w:rPr>
          <w:color w:val="231F20"/>
          <w:spacing w:val="-2"/>
        </w:rPr>
        <w:t> </w:t>
      </w:r>
      <w:r>
        <w:rPr>
          <w:color w:val="231F20"/>
        </w:rPr>
        <w:t>intervention</w:t>
      </w:r>
      <w:r>
        <w:rPr>
          <w:color w:val="231F20"/>
          <w:spacing w:val="-52"/>
        </w:rPr>
        <w:t> </w:t>
      </w:r>
      <w:r>
        <w:rPr>
          <w:color w:val="231F20"/>
        </w:rPr>
        <w:t>is clear, people may face significant barriers to starting</w:t>
      </w:r>
      <w:r>
        <w:rPr>
          <w:color w:val="231F20"/>
          <w:spacing w:val="1"/>
        </w:rPr>
        <w:t> </w:t>
      </w:r>
      <w:r>
        <w:rPr>
          <w:color w:val="231F20"/>
        </w:rPr>
        <w:t>and adhering to PrEP, posing obstacles to reaching the</w:t>
      </w:r>
      <w:r>
        <w:rPr>
          <w:color w:val="231F20"/>
          <w:spacing w:val="1"/>
        </w:rPr>
        <w:t> </w:t>
      </w:r>
      <w:r>
        <w:rPr>
          <w:color w:val="231F20"/>
        </w:rPr>
        <w:t>goals</w:t>
      </w:r>
      <w:r>
        <w:rPr>
          <w:color w:val="231F20"/>
          <w:spacing w:val="-2"/>
        </w:rPr>
        <w:t> </w:t>
      </w:r>
      <w:r>
        <w:rPr>
          <w:color w:val="231F20"/>
        </w:rPr>
        <w:t>of</w:t>
      </w:r>
      <w:r>
        <w:rPr>
          <w:color w:val="231F20"/>
          <w:spacing w:val="-2"/>
        </w:rPr>
        <w:t> </w:t>
      </w:r>
      <w:r>
        <w:rPr>
          <w:color w:val="231F20"/>
        </w:rPr>
        <w:t>the</w:t>
      </w:r>
      <w:r>
        <w:rPr>
          <w:color w:val="231F20"/>
          <w:spacing w:val="-2"/>
        </w:rPr>
        <w:t> </w:t>
      </w:r>
      <w:r>
        <w:rPr>
          <w:color w:val="231F20"/>
        </w:rPr>
        <w:t>Ending</w:t>
      </w:r>
      <w:r>
        <w:rPr>
          <w:color w:val="231F20"/>
          <w:spacing w:val="-2"/>
        </w:rPr>
        <w:t> </w:t>
      </w:r>
      <w:r>
        <w:rPr>
          <w:color w:val="231F20"/>
        </w:rPr>
        <w:t>the</w:t>
      </w:r>
      <w:r>
        <w:rPr>
          <w:color w:val="231F20"/>
          <w:spacing w:val="-2"/>
        </w:rPr>
        <w:t> </w:t>
      </w:r>
      <w:r>
        <w:rPr>
          <w:color w:val="231F20"/>
        </w:rPr>
        <w:t>HIV</w:t>
      </w:r>
      <w:r>
        <w:rPr>
          <w:color w:val="231F20"/>
          <w:spacing w:val="-6"/>
        </w:rPr>
        <w:t> </w:t>
      </w:r>
      <w:r>
        <w:rPr>
          <w:color w:val="231F20"/>
        </w:rPr>
        <w:t>Epidemic</w:t>
      </w:r>
      <w:r>
        <w:rPr>
          <w:color w:val="231F20"/>
          <w:spacing w:val="-2"/>
        </w:rPr>
        <w:t> </w:t>
      </w:r>
      <w:r>
        <w:rPr>
          <w:color w:val="231F20"/>
        </w:rPr>
        <w:t>(EHE)</w:t>
      </w:r>
      <w:r>
        <w:rPr>
          <w:color w:val="231F20"/>
          <w:spacing w:val="-2"/>
        </w:rPr>
        <w:t> </w:t>
      </w:r>
      <w:r>
        <w:rPr>
          <w:color w:val="231F20"/>
        </w:rPr>
        <w:t>initiative.</w:t>
      </w:r>
      <w:r>
        <w:rPr>
          <w:color w:val="231F20"/>
          <w:spacing w:val="-52"/>
        </w:rPr>
        <w:t> </w:t>
      </w:r>
      <w:r>
        <w:rPr>
          <w:color w:val="231F20"/>
        </w:rPr>
        <w:t>Barriers include, but are not limited to, the following:</w:t>
      </w:r>
    </w:p>
    <w:p>
      <w:pPr>
        <w:pStyle w:val="ListParagraph"/>
        <w:numPr>
          <w:ilvl w:val="0"/>
          <w:numId w:val="4"/>
        </w:numPr>
        <w:tabs>
          <w:tab w:pos="879" w:val="left" w:leader="none"/>
          <w:tab w:pos="880" w:val="left" w:leader="none"/>
        </w:tabs>
        <w:spacing w:line="267" w:lineRule="exact" w:before="144" w:after="0"/>
        <w:ind w:left="879" w:right="0" w:hanging="361"/>
        <w:jc w:val="left"/>
        <w:rPr>
          <w:rFonts w:ascii="Symbol" w:hAnsi="Symbol"/>
          <w:color w:val="010202"/>
          <w:sz w:val="22"/>
        </w:rPr>
      </w:pPr>
      <w:r>
        <w:rPr>
          <w:color w:val="010202"/>
          <w:sz w:val="22"/>
        </w:rPr>
        <w:t>Stigma</w:t>
      </w:r>
      <w:r>
        <w:rPr>
          <w:color w:val="010202"/>
          <w:spacing w:val="-3"/>
          <w:sz w:val="22"/>
        </w:rPr>
        <w:t> </w:t>
      </w:r>
      <w:r>
        <w:rPr>
          <w:color w:val="010202"/>
          <w:sz w:val="22"/>
        </w:rPr>
        <w:t>(both</w:t>
      </w:r>
      <w:r>
        <w:rPr>
          <w:color w:val="010202"/>
          <w:spacing w:val="-1"/>
          <w:sz w:val="22"/>
        </w:rPr>
        <w:t> </w:t>
      </w:r>
      <w:r>
        <w:rPr>
          <w:color w:val="010202"/>
          <w:sz w:val="22"/>
        </w:rPr>
        <w:t>of</w:t>
      </w:r>
      <w:r>
        <w:rPr>
          <w:color w:val="010202"/>
          <w:spacing w:val="-2"/>
          <w:sz w:val="22"/>
        </w:rPr>
        <w:t> </w:t>
      </w:r>
      <w:r>
        <w:rPr>
          <w:color w:val="010202"/>
          <w:sz w:val="22"/>
        </w:rPr>
        <w:t>HIV</w:t>
      </w:r>
      <w:r>
        <w:rPr>
          <w:color w:val="010202"/>
          <w:spacing w:val="-5"/>
          <w:sz w:val="22"/>
        </w:rPr>
        <w:t> </w:t>
      </w:r>
      <w:r>
        <w:rPr>
          <w:color w:val="010202"/>
          <w:sz w:val="22"/>
        </w:rPr>
        <w:t>and</w:t>
      </w:r>
      <w:r>
        <w:rPr>
          <w:color w:val="010202"/>
          <w:spacing w:val="-2"/>
          <w:sz w:val="22"/>
        </w:rPr>
        <w:t> </w:t>
      </w:r>
      <w:r>
        <w:rPr>
          <w:color w:val="010202"/>
          <w:sz w:val="22"/>
        </w:rPr>
        <w:t>of</w:t>
      </w:r>
      <w:r>
        <w:rPr>
          <w:color w:val="010202"/>
          <w:spacing w:val="-1"/>
          <w:sz w:val="22"/>
        </w:rPr>
        <w:t> </w:t>
      </w:r>
      <w:r>
        <w:rPr>
          <w:color w:val="010202"/>
          <w:sz w:val="22"/>
        </w:rPr>
        <w:t>taking</w:t>
      </w:r>
      <w:r>
        <w:rPr>
          <w:color w:val="010202"/>
          <w:spacing w:val="-2"/>
          <w:sz w:val="22"/>
        </w:rPr>
        <w:t> </w:t>
      </w:r>
      <w:r>
        <w:rPr>
          <w:color w:val="010202"/>
          <w:sz w:val="22"/>
        </w:rPr>
        <w:t>PrEP)</w:t>
      </w:r>
    </w:p>
    <w:p>
      <w:pPr>
        <w:pStyle w:val="ListParagraph"/>
        <w:numPr>
          <w:ilvl w:val="0"/>
          <w:numId w:val="4"/>
        </w:numPr>
        <w:tabs>
          <w:tab w:pos="879" w:val="left" w:leader="none"/>
          <w:tab w:pos="880" w:val="left" w:leader="none"/>
        </w:tabs>
        <w:spacing w:line="249" w:lineRule="auto" w:before="0" w:after="0"/>
        <w:ind w:left="879" w:right="847" w:hanging="360"/>
        <w:jc w:val="left"/>
        <w:rPr>
          <w:rFonts w:ascii="Symbol" w:hAnsi="Symbol"/>
          <w:color w:val="010202"/>
          <w:sz w:val="22"/>
        </w:rPr>
      </w:pPr>
      <w:r>
        <w:rPr>
          <w:color w:val="010202"/>
          <w:sz w:val="22"/>
        </w:rPr>
        <w:t>Low</w:t>
      </w:r>
      <w:r>
        <w:rPr>
          <w:color w:val="010202"/>
          <w:spacing w:val="-2"/>
          <w:sz w:val="22"/>
        </w:rPr>
        <w:t> </w:t>
      </w:r>
      <w:r>
        <w:rPr>
          <w:color w:val="010202"/>
          <w:sz w:val="22"/>
        </w:rPr>
        <w:t>awareness</w:t>
      </w:r>
      <w:r>
        <w:rPr>
          <w:color w:val="010202"/>
          <w:spacing w:val="-2"/>
          <w:sz w:val="22"/>
        </w:rPr>
        <w:t> </w:t>
      </w:r>
      <w:r>
        <w:rPr>
          <w:color w:val="010202"/>
          <w:sz w:val="22"/>
        </w:rPr>
        <w:t>of</w:t>
      </w:r>
      <w:r>
        <w:rPr>
          <w:color w:val="010202"/>
          <w:spacing w:val="-2"/>
          <w:sz w:val="22"/>
        </w:rPr>
        <w:t> </w:t>
      </w:r>
      <w:r>
        <w:rPr>
          <w:color w:val="010202"/>
          <w:sz w:val="22"/>
        </w:rPr>
        <w:t>the</w:t>
      </w:r>
      <w:r>
        <w:rPr>
          <w:color w:val="010202"/>
          <w:spacing w:val="-2"/>
          <w:sz w:val="22"/>
        </w:rPr>
        <w:t> </w:t>
      </w:r>
      <w:r>
        <w:rPr>
          <w:color w:val="010202"/>
          <w:sz w:val="22"/>
        </w:rPr>
        <w:t>existence</w:t>
      </w:r>
      <w:r>
        <w:rPr>
          <w:color w:val="010202"/>
          <w:spacing w:val="-2"/>
          <w:sz w:val="22"/>
        </w:rPr>
        <w:t> </w:t>
      </w:r>
      <w:r>
        <w:rPr>
          <w:color w:val="010202"/>
          <w:sz w:val="22"/>
        </w:rPr>
        <w:t>of</w:t>
      </w:r>
      <w:r>
        <w:rPr>
          <w:color w:val="010202"/>
          <w:spacing w:val="-2"/>
          <w:sz w:val="22"/>
        </w:rPr>
        <w:t> </w:t>
      </w:r>
      <w:r>
        <w:rPr>
          <w:color w:val="010202"/>
          <w:sz w:val="22"/>
        </w:rPr>
        <w:t>PrEP</w:t>
      </w:r>
      <w:r>
        <w:rPr>
          <w:color w:val="010202"/>
          <w:spacing w:val="-11"/>
          <w:sz w:val="22"/>
        </w:rPr>
        <w:t> </w:t>
      </w:r>
      <w:r>
        <w:rPr>
          <w:color w:val="010202"/>
          <w:sz w:val="22"/>
        </w:rPr>
        <w:t>among</w:t>
      </w:r>
      <w:r>
        <w:rPr>
          <w:color w:val="010202"/>
          <w:spacing w:val="-52"/>
          <w:sz w:val="22"/>
        </w:rPr>
        <w:t> </w:t>
      </w:r>
      <w:r>
        <w:rPr>
          <w:color w:val="010202"/>
          <w:sz w:val="22"/>
        </w:rPr>
        <w:t>eligible</w:t>
      </w:r>
      <w:r>
        <w:rPr>
          <w:color w:val="010202"/>
          <w:spacing w:val="-1"/>
          <w:sz w:val="22"/>
        </w:rPr>
        <w:t> </w:t>
      </w:r>
      <w:r>
        <w:rPr>
          <w:color w:val="010202"/>
          <w:sz w:val="22"/>
        </w:rPr>
        <w:t>PrEP</w:t>
      </w:r>
      <w:r>
        <w:rPr>
          <w:color w:val="010202"/>
          <w:spacing w:val="-9"/>
          <w:sz w:val="22"/>
        </w:rPr>
        <w:t> </w:t>
      </w:r>
      <w:r>
        <w:rPr>
          <w:color w:val="010202"/>
          <w:sz w:val="22"/>
        </w:rPr>
        <w:t>users</w:t>
      </w:r>
    </w:p>
    <w:p>
      <w:pPr>
        <w:pStyle w:val="ListParagraph"/>
        <w:numPr>
          <w:ilvl w:val="0"/>
          <w:numId w:val="4"/>
        </w:numPr>
        <w:tabs>
          <w:tab w:pos="879" w:val="left" w:leader="none"/>
          <w:tab w:pos="880" w:val="left" w:leader="none"/>
        </w:tabs>
        <w:spacing w:line="251" w:lineRule="exact" w:before="0" w:after="0"/>
        <w:ind w:left="879" w:right="0" w:hanging="361"/>
        <w:jc w:val="left"/>
        <w:rPr>
          <w:rFonts w:ascii="Symbol" w:hAnsi="Symbol"/>
          <w:color w:val="010202"/>
          <w:sz w:val="22"/>
        </w:rPr>
      </w:pPr>
      <w:r>
        <w:rPr>
          <w:color w:val="010202"/>
          <w:sz w:val="22"/>
        </w:rPr>
        <w:t>Low</w:t>
      </w:r>
      <w:r>
        <w:rPr>
          <w:color w:val="010202"/>
          <w:spacing w:val="-1"/>
          <w:sz w:val="22"/>
        </w:rPr>
        <w:t> </w:t>
      </w:r>
      <w:r>
        <w:rPr>
          <w:color w:val="010202"/>
          <w:sz w:val="22"/>
        </w:rPr>
        <w:t>perception of</w:t>
      </w:r>
      <w:r>
        <w:rPr>
          <w:color w:val="010202"/>
          <w:spacing w:val="-1"/>
          <w:sz w:val="22"/>
        </w:rPr>
        <w:t> </w:t>
      </w:r>
      <w:r>
        <w:rPr>
          <w:color w:val="010202"/>
          <w:sz w:val="22"/>
        </w:rPr>
        <w:t>risk of</w:t>
      </w:r>
      <w:r>
        <w:rPr>
          <w:color w:val="010202"/>
          <w:spacing w:val="-1"/>
          <w:sz w:val="22"/>
        </w:rPr>
        <w:t> </w:t>
      </w:r>
      <w:r>
        <w:rPr>
          <w:color w:val="010202"/>
          <w:sz w:val="22"/>
        </w:rPr>
        <w:t>getting HIV</w:t>
      </w:r>
    </w:p>
    <w:p>
      <w:pPr>
        <w:pStyle w:val="ListParagraph"/>
        <w:numPr>
          <w:ilvl w:val="0"/>
          <w:numId w:val="4"/>
        </w:numPr>
        <w:tabs>
          <w:tab w:pos="879" w:val="left" w:leader="none"/>
          <w:tab w:pos="880" w:val="left" w:leader="none"/>
        </w:tabs>
        <w:spacing w:line="264" w:lineRule="exact" w:before="0" w:after="0"/>
        <w:ind w:left="879" w:right="0" w:hanging="361"/>
        <w:jc w:val="left"/>
        <w:rPr>
          <w:rFonts w:ascii="Symbol" w:hAnsi="Symbol"/>
          <w:color w:val="010202"/>
          <w:sz w:val="22"/>
        </w:rPr>
      </w:pPr>
      <w:r>
        <w:rPr>
          <w:color w:val="010202"/>
          <w:sz w:val="22"/>
        </w:rPr>
        <w:t>Concern</w:t>
      </w:r>
      <w:r>
        <w:rPr>
          <w:color w:val="010202"/>
          <w:spacing w:val="-2"/>
          <w:sz w:val="22"/>
        </w:rPr>
        <w:t> </w:t>
      </w:r>
      <w:r>
        <w:rPr>
          <w:color w:val="010202"/>
          <w:sz w:val="22"/>
        </w:rPr>
        <w:t>about</w:t>
      </w:r>
      <w:r>
        <w:rPr>
          <w:color w:val="010202"/>
          <w:spacing w:val="-2"/>
          <w:sz w:val="22"/>
        </w:rPr>
        <w:t> </w:t>
      </w:r>
      <w:r>
        <w:rPr>
          <w:color w:val="010202"/>
          <w:sz w:val="22"/>
        </w:rPr>
        <w:t>possible</w:t>
      </w:r>
      <w:r>
        <w:rPr>
          <w:color w:val="010202"/>
          <w:spacing w:val="-1"/>
          <w:sz w:val="22"/>
        </w:rPr>
        <w:t> </w:t>
      </w:r>
      <w:r>
        <w:rPr>
          <w:color w:val="010202"/>
          <w:sz w:val="22"/>
        </w:rPr>
        <w:t>side</w:t>
      </w:r>
      <w:r>
        <w:rPr>
          <w:color w:val="010202"/>
          <w:spacing w:val="-2"/>
          <w:sz w:val="22"/>
        </w:rPr>
        <w:t> </w:t>
      </w:r>
      <w:r>
        <w:rPr>
          <w:color w:val="010202"/>
          <w:sz w:val="22"/>
        </w:rPr>
        <w:t>effects</w:t>
      </w:r>
    </w:p>
    <w:p>
      <w:pPr>
        <w:pStyle w:val="ListParagraph"/>
        <w:numPr>
          <w:ilvl w:val="0"/>
          <w:numId w:val="4"/>
        </w:numPr>
        <w:tabs>
          <w:tab w:pos="879" w:val="left" w:leader="none"/>
          <w:tab w:pos="880" w:val="left" w:leader="none"/>
        </w:tabs>
        <w:spacing w:line="264" w:lineRule="exact" w:before="0" w:after="0"/>
        <w:ind w:left="879" w:right="0" w:hanging="361"/>
        <w:jc w:val="left"/>
        <w:rPr>
          <w:rFonts w:ascii="Symbol" w:hAnsi="Symbol"/>
          <w:color w:val="010202"/>
          <w:sz w:val="22"/>
        </w:rPr>
      </w:pPr>
      <w:r>
        <w:rPr>
          <w:color w:val="010202"/>
          <w:sz w:val="22"/>
        </w:rPr>
        <w:t>Lack</w:t>
      </w:r>
      <w:r>
        <w:rPr>
          <w:color w:val="010202"/>
          <w:spacing w:val="-3"/>
          <w:sz w:val="22"/>
        </w:rPr>
        <w:t> </w:t>
      </w:r>
      <w:r>
        <w:rPr>
          <w:color w:val="010202"/>
          <w:sz w:val="22"/>
        </w:rPr>
        <w:t>of</w:t>
      </w:r>
      <w:r>
        <w:rPr>
          <w:color w:val="010202"/>
          <w:spacing w:val="-3"/>
          <w:sz w:val="22"/>
        </w:rPr>
        <w:t> </w:t>
      </w:r>
      <w:r>
        <w:rPr>
          <w:color w:val="010202"/>
          <w:sz w:val="22"/>
        </w:rPr>
        <w:t>social</w:t>
      </w:r>
      <w:r>
        <w:rPr>
          <w:color w:val="010202"/>
          <w:spacing w:val="-4"/>
          <w:sz w:val="22"/>
        </w:rPr>
        <w:t> </w:t>
      </w:r>
      <w:r>
        <w:rPr>
          <w:color w:val="010202"/>
          <w:sz w:val="22"/>
        </w:rPr>
        <w:t>support</w:t>
      </w:r>
    </w:p>
    <w:p>
      <w:pPr>
        <w:pStyle w:val="ListParagraph"/>
        <w:numPr>
          <w:ilvl w:val="0"/>
          <w:numId w:val="4"/>
        </w:numPr>
        <w:tabs>
          <w:tab w:pos="879" w:val="left" w:leader="none"/>
          <w:tab w:pos="880" w:val="left" w:leader="none"/>
        </w:tabs>
        <w:spacing w:line="264" w:lineRule="exact" w:before="0" w:after="0"/>
        <w:ind w:left="879" w:right="0" w:hanging="361"/>
        <w:jc w:val="left"/>
        <w:rPr>
          <w:rFonts w:ascii="Symbol" w:hAnsi="Symbol"/>
          <w:color w:val="010202"/>
          <w:sz w:val="22"/>
        </w:rPr>
      </w:pPr>
      <w:r>
        <w:rPr>
          <w:color w:val="010202"/>
          <w:sz w:val="22"/>
        </w:rPr>
        <w:t>Perceived</w:t>
      </w:r>
      <w:r>
        <w:rPr>
          <w:color w:val="010202"/>
          <w:spacing w:val="-3"/>
          <w:sz w:val="22"/>
        </w:rPr>
        <w:t> </w:t>
      </w:r>
      <w:r>
        <w:rPr>
          <w:color w:val="010202"/>
          <w:sz w:val="22"/>
        </w:rPr>
        <w:t>and</w:t>
      </w:r>
      <w:r>
        <w:rPr>
          <w:color w:val="010202"/>
          <w:spacing w:val="-2"/>
          <w:sz w:val="22"/>
        </w:rPr>
        <w:t> </w:t>
      </w:r>
      <w:r>
        <w:rPr>
          <w:color w:val="010202"/>
          <w:sz w:val="22"/>
        </w:rPr>
        <w:t>actual</w:t>
      </w:r>
      <w:r>
        <w:rPr>
          <w:color w:val="010202"/>
          <w:spacing w:val="-2"/>
          <w:sz w:val="22"/>
        </w:rPr>
        <w:t> </w:t>
      </w:r>
      <w:r>
        <w:rPr>
          <w:color w:val="010202"/>
          <w:sz w:val="22"/>
        </w:rPr>
        <w:t>cost</w:t>
      </w:r>
    </w:p>
    <w:p>
      <w:pPr>
        <w:pStyle w:val="ListParagraph"/>
        <w:numPr>
          <w:ilvl w:val="0"/>
          <w:numId w:val="4"/>
        </w:numPr>
        <w:tabs>
          <w:tab w:pos="879" w:val="left" w:leader="none"/>
          <w:tab w:pos="880" w:val="left" w:leader="none"/>
        </w:tabs>
        <w:spacing w:line="264" w:lineRule="exact" w:before="0" w:after="0"/>
        <w:ind w:left="879" w:right="0" w:hanging="361"/>
        <w:jc w:val="left"/>
        <w:rPr>
          <w:rFonts w:ascii="Symbol" w:hAnsi="Symbol"/>
          <w:color w:val="010202"/>
          <w:sz w:val="22"/>
        </w:rPr>
      </w:pPr>
      <w:r>
        <w:rPr>
          <w:color w:val="010202"/>
          <w:sz w:val="22"/>
        </w:rPr>
        <w:t>Difficulty</w:t>
      </w:r>
      <w:r>
        <w:rPr>
          <w:color w:val="010202"/>
          <w:spacing w:val="-8"/>
          <w:sz w:val="22"/>
        </w:rPr>
        <w:t> </w:t>
      </w:r>
      <w:r>
        <w:rPr>
          <w:color w:val="010202"/>
          <w:sz w:val="22"/>
        </w:rPr>
        <w:t>following</w:t>
      </w:r>
      <w:r>
        <w:rPr>
          <w:color w:val="010202"/>
          <w:spacing w:val="-6"/>
          <w:sz w:val="22"/>
        </w:rPr>
        <w:t> </w:t>
      </w:r>
      <w:r>
        <w:rPr>
          <w:color w:val="010202"/>
          <w:sz w:val="22"/>
        </w:rPr>
        <w:t>the</w:t>
      </w:r>
      <w:r>
        <w:rPr>
          <w:color w:val="010202"/>
          <w:spacing w:val="-7"/>
          <w:sz w:val="22"/>
        </w:rPr>
        <w:t> </w:t>
      </w:r>
      <w:r>
        <w:rPr>
          <w:color w:val="010202"/>
          <w:sz w:val="22"/>
        </w:rPr>
        <w:t>daily</w:t>
      </w:r>
      <w:r>
        <w:rPr>
          <w:color w:val="010202"/>
          <w:spacing w:val="-6"/>
          <w:sz w:val="22"/>
        </w:rPr>
        <w:t> </w:t>
      </w:r>
      <w:r>
        <w:rPr>
          <w:color w:val="010202"/>
          <w:sz w:val="22"/>
        </w:rPr>
        <w:t>regimen</w:t>
      </w:r>
      <w:r>
        <w:rPr>
          <w:color w:val="010202"/>
          <w:sz w:val="22"/>
          <w:vertAlign w:val="superscript"/>
        </w:rPr>
        <w:t>10</w:t>
      </w:r>
    </w:p>
    <w:p>
      <w:pPr>
        <w:pStyle w:val="ListParagraph"/>
        <w:numPr>
          <w:ilvl w:val="0"/>
          <w:numId w:val="4"/>
        </w:numPr>
        <w:tabs>
          <w:tab w:pos="879" w:val="left" w:leader="none"/>
          <w:tab w:pos="881" w:val="left" w:leader="none"/>
        </w:tabs>
        <w:spacing w:line="249" w:lineRule="auto" w:before="0" w:after="0"/>
        <w:ind w:left="880" w:right="919" w:hanging="360"/>
        <w:jc w:val="left"/>
        <w:rPr>
          <w:rFonts w:ascii="Symbol" w:hAnsi="Symbol"/>
          <w:color w:val="010202"/>
          <w:sz w:val="22"/>
        </w:rPr>
      </w:pPr>
      <w:r>
        <w:rPr>
          <w:color w:val="010202"/>
          <w:sz w:val="22"/>
        </w:rPr>
        <w:t>Health insurance coverage, or health insurance</w:t>
      </w:r>
      <w:r>
        <w:rPr>
          <w:color w:val="010202"/>
          <w:spacing w:val="-52"/>
          <w:sz w:val="22"/>
        </w:rPr>
        <w:t> </w:t>
      </w:r>
      <w:r>
        <w:rPr>
          <w:color w:val="010202"/>
          <w:sz w:val="22"/>
        </w:rPr>
        <w:t>that does not cover laboratory and clinical</w:t>
      </w:r>
      <w:r>
        <w:rPr>
          <w:color w:val="010202"/>
          <w:spacing w:val="1"/>
          <w:sz w:val="22"/>
        </w:rPr>
        <w:t> </w:t>
      </w:r>
      <w:r>
        <w:rPr>
          <w:color w:val="010202"/>
          <w:sz w:val="22"/>
        </w:rPr>
        <w:t>visits</w:t>
      </w:r>
      <w:r>
        <w:rPr>
          <w:color w:val="010202"/>
          <w:sz w:val="22"/>
          <w:vertAlign w:val="superscript"/>
        </w:rPr>
        <w:t>11-13</w:t>
      </w:r>
    </w:p>
    <w:p>
      <w:pPr>
        <w:pStyle w:val="ListParagraph"/>
        <w:numPr>
          <w:ilvl w:val="0"/>
          <w:numId w:val="4"/>
        </w:numPr>
        <w:tabs>
          <w:tab w:pos="879" w:val="left" w:leader="none"/>
          <w:tab w:pos="880" w:val="left" w:leader="none"/>
        </w:tabs>
        <w:spacing w:line="255" w:lineRule="exact" w:before="0" w:after="0"/>
        <w:ind w:left="879" w:right="0" w:hanging="360"/>
        <w:jc w:val="left"/>
        <w:rPr>
          <w:rFonts w:ascii="Symbol" w:hAnsi="Symbol"/>
          <w:color w:val="010202"/>
          <w:sz w:val="22"/>
        </w:rPr>
      </w:pPr>
      <w:r>
        <w:rPr>
          <w:color w:val="010202"/>
          <w:sz w:val="22"/>
        </w:rPr>
        <w:t>Limited access to care (e.g., transportation,</w:t>
      </w:r>
    </w:p>
    <w:p>
      <w:pPr>
        <w:pStyle w:val="BodyText"/>
        <w:spacing w:before="5"/>
        <w:ind w:left="879"/>
      </w:pPr>
      <w:r>
        <w:rPr>
          <w:color w:val="010202"/>
        </w:rPr>
        <w:t>hours</w:t>
      </w:r>
      <w:r>
        <w:rPr>
          <w:color w:val="010202"/>
          <w:spacing w:val="-3"/>
        </w:rPr>
        <w:t> </w:t>
      </w:r>
      <w:r>
        <w:rPr>
          <w:color w:val="010202"/>
        </w:rPr>
        <w:t>of</w:t>
      </w:r>
      <w:r>
        <w:rPr>
          <w:color w:val="010202"/>
          <w:spacing w:val="-3"/>
        </w:rPr>
        <w:t> </w:t>
      </w:r>
      <w:r>
        <w:rPr>
          <w:color w:val="010202"/>
        </w:rPr>
        <w:t>services)</w:t>
      </w:r>
    </w:p>
    <w:p>
      <w:pPr>
        <w:pStyle w:val="BodyText"/>
        <w:spacing w:before="207"/>
        <w:ind w:left="159"/>
      </w:pPr>
      <w:r>
        <w:rPr>
          <w:color w:val="231F20"/>
          <w:spacing w:val="-1"/>
        </w:rPr>
        <w:t>Mental</w:t>
      </w:r>
      <w:r>
        <w:rPr>
          <w:color w:val="231F20"/>
          <w:spacing w:val="-13"/>
        </w:rPr>
        <w:t> </w:t>
      </w:r>
      <w:r>
        <w:rPr>
          <w:color w:val="231F20"/>
          <w:spacing w:val="-1"/>
        </w:rPr>
        <w:t>illness</w:t>
      </w:r>
      <w:r>
        <w:rPr>
          <w:color w:val="231F20"/>
          <w:spacing w:val="-12"/>
        </w:rPr>
        <w:t> </w:t>
      </w:r>
      <w:r>
        <w:rPr>
          <w:color w:val="231F20"/>
          <w:spacing w:val="-1"/>
        </w:rPr>
        <w:t>and/or</w:t>
      </w:r>
      <w:r>
        <w:rPr>
          <w:color w:val="231F20"/>
          <w:spacing w:val="-12"/>
        </w:rPr>
        <w:t> </w:t>
      </w:r>
      <w:r>
        <w:rPr>
          <w:color w:val="231F20"/>
          <w:spacing w:val="-1"/>
        </w:rPr>
        <w:t>SUD</w:t>
      </w:r>
      <w:r>
        <w:rPr>
          <w:color w:val="231F20"/>
          <w:spacing w:val="-12"/>
        </w:rPr>
        <w:t> </w:t>
      </w:r>
      <w:r>
        <w:rPr>
          <w:color w:val="231F20"/>
        </w:rPr>
        <w:t>may</w:t>
      </w:r>
      <w:r>
        <w:rPr>
          <w:color w:val="231F20"/>
          <w:spacing w:val="-12"/>
        </w:rPr>
        <w:t> </w:t>
      </w:r>
      <w:r>
        <w:rPr>
          <w:color w:val="231F20"/>
        </w:rPr>
        <w:t>compound</w:t>
      </w:r>
      <w:r>
        <w:rPr>
          <w:color w:val="231F20"/>
          <w:spacing w:val="-12"/>
        </w:rPr>
        <w:t> </w:t>
      </w:r>
      <w:r>
        <w:rPr>
          <w:color w:val="231F20"/>
        </w:rPr>
        <w:t>these</w:t>
      </w:r>
      <w:r>
        <w:rPr>
          <w:color w:val="231F20"/>
          <w:spacing w:val="-11"/>
        </w:rPr>
        <w:t> </w:t>
      </w:r>
      <w:r>
        <w:rPr>
          <w:color w:val="231F20"/>
        </w:rPr>
        <w:t>barriers.</w:t>
      </w:r>
    </w:p>
    <w:p>
      <w:pPr>
        <w:pStyle w:val="BodyText"/>
        <w:spacing w:line="266" w:lineRule="auto" w:before="207"/>
        <w:ind w:left="159" w:right="1015"/>
      </w:pPr>
      <w:r>
        <w:rPr>
          <w:color w:val="231F20"/>
          <w:spacing w:val="-2"/>
        </w:rPr>
        <w:t>Since the effectiveness of PrEP as a biomedical</w:t>
      </w:r>
      <w:r>
        <w:rPr>
          <w:color w:val="231F20"/>
          <w:spacing w:val="-1"/>
        </w:rPr>
        <w:t> intervention</w:t>
      </w:r>
      <w:r>
        <w:rPr>
          <w:color w:val="231F20"/>
          <w:spacing w:val="-13"/>
        </w:rPr>
        <w:t> </w:t>
      </w:r>
      <w:r>
        <w:rPr>
          <w:color w:val="231F20"/>
          <w:spacing w:val="-1"/>
        </w:rPr>
        <w:t>has</w:t>
      </w:r>
      <w:r>
        <w:rPr>
          <w:color w:val="231F20"/>
          <w:spacing w:val="-13"/>
        </w:rPr>
        <w:t> </w:t>
      </w:r>
      <w:r>
        <w:rPr>
          <w:color w:val="231F20"/>
          <w:spacing w:val="-1"/>
        </w:rPr>
        <w:t>been</w:t>
      </w:r>
      <w:r>
        <w:rPr>
          <w:color w:val="231F20"/>
          <w:spacing w:val="-13"/>
        </w:rPr>
        <w:t> </w:t>
      </w:r>
      <w:r>
        <w:rPr>
          <w:color w:val="231F20"/>
          <w:spacing w:val="-1"/>
        </w:rPr>
        <w:t>established,</w:t>
      </w:r>
      <w:r>
        <w:rPr>
          <w:color w:val="231F20"/>
          <w:spacing w:val="-12"/>
        </w:rPr>
        <w:t> </w:t>
      </w:r>
      <w:r>
        <w:rPr>
          <w:color w:val="231F20"/>
        </w:rPr>
        <w:t>this</w:t>
      </w:r>
      <w:r>
        <w:rPr>
          <w:color w:val="231F20"/>
          <w:spacing w:val="-13"/>
        </w:rPr>
        <w:t> </w:t>
      </w:r>
      <w:r>
        <w:rPr>
          <w:color w:val="231F20"/>
        </w:rPr>
        <w:t>evidence</w:t>
      </w:r>
      <w:r>
        <w:rPr>
          <w:color w:val="231F20"/>
          <w:spacing w:val="-13"/>
        </w:rPr>
        <w:t> </w:t>
      </w:r>
      <w:r>
        <w:rPr>
          <w:color w:val="231F20"/>
        </w:rPr>
        <w:t>review</w:t>
      </w:r>
      <w:r>
        <w:rPr>
          <w:color w:val="231F20"/>
          <w:spacing w:val="-52"/>
        </w:rPr>
        <w:t> </w:t>
      </w:r>
      <w:r>
        <w:rPr>
          <w:color w:val="231F20"/>
          <w:spacing w:val="-1"/>
        </w:rPr>
        <w:t>examines</w:t>
      </w:r>
      <w:r>
        <w:rPr>
          <w:color w:val="231F20"/>
          <w:spacing w:val="-12"/>
        </w:rPr>
        <w:t> </w:t>
      </w:r>
      <w:r>
        <w:rPr>
          <w:color w:val="231F20"/>
          <w:spacing w:val="-1"/>
        </w:rPr>
        <w:t>psychosocial</w:t>
      </w:r>
      <w:r>
        <w:rPr>
          <w:color w:val="231F20"/>
          <w:spacing w:val="-11"/>
        </w:rPr>
        <w:t> </w:t>
      </w:r>
      <w:r>
        <w:rPr>
          <w:color w:val="231F20"/>
          <w:spacing w:val="-1"/>
        </w:rPr>
        <w:t>supports</w:t>
      </w:r>
      <w:r>
        <w:rPr>
          <w:color w:val="231F20"/>
          <w:spacing w:val="-12"/>
        </w:rPr>
        <w:t> </w:t>
      </w:r>
      <w:r>
        <w:rPr>
          <w:color w:val="231F20"/>
          <w:spacing w:val="-1"/>
        </w:rPr>
        <w:t>to</w:t>
      </w:r>
      <w:r>
        <w:rPr>
          <w:color w:val="231F20"/>
          <w:spacing w:val="-11"/>
        </w:rPr>
        <w:t> </w:t>
      </w:r>
      <w:r>
        <w:rPr>
          <w:color w:val="231F20"/>
          <w:spacing w:val="-1"/>
        </w:rPr>
        <w:t>increase</w:t>
      </w:r>
      <w:r>
        <w:rPr>
          <w:color w:val="231F20"/>
          <w:spacing w:val="-11"/>
        </w:rPr>
        <w:t> </w:t>
      </w:r>
      <w:r>
        <w:rPr>
          <w:color w:val="231F20"/>
          <w:spacing w:val="-1"/>
        </w:rPr>
        <w:t>uptake</w:t>
      </w:r>
      <w:r>
        <w:rPr>
          <w:color w:val="231F20"/>
          <w:spacing w:val="-12"/>
        </w:rPr>
        <w:t> </w:t>
      </w:r>
      <w:r>
        <w:rPr>
          <w:color w:val="231F20"/>
        </w:rPr>
        <w:t>and</w:t>
      </w:r>
      <w:r>
        <w:rPr>
          <w:color w:val="231F20"/>
          <w:spacing w:val="-52"/>
        </w:rPr>
        <w:t> </w:t>
      </w:r>
      <w:r>
        <w:rPr>
          <w:color w:val="231F20"/>
          <w:spacing w:val="-2"/>
        </w:rPr>
        <w:t>adherence to PrEP. These psychosocial </w:t>
      </w:r>
      <w:r>
        <w:rPr>
          <w:color w:val="231F20"/>
          <w:spacing w:val="-1"/>
        </w:rPr>
        <w:t>interventions</w:t>
      </w:r>
      <w:r>
        <w:rPr>
          <w:color w:val="231F20"/>
        </w:rPr>
        <w:t> include</w:t>
      </w:r>
      <w:r>
        <w:rPr>
          <w:color w:val="231F20"/>
          <w:spacing w:val="-5"/>
        </w:rPr>
        <w:t> </w:t>
      </w:r>
      <w:r>
        <w:rPr>
          <w:color w:val="231F20"/>
        </w:rPr>
        <w:t>the</w:t>
      </w:r>
      <w:r>
        <w:rPr>
          <w:color w:val="231F20"/>
          <w:spacing w:val="-5"/>
        </w:rPr>
        <w:t> </w:t>
      </w:r>
      <w:r>
        <w:rPr>
          <w:color w:val="231F20"/>
        </w:rPr>
        <w:t>following:</w:t>
      </w:r>
    </w:p>
    <w:p>
      <w:pPr>
        <w:pStyle w:val="ListParagraph"/>
        <w:numPr>
          <w:ilvl w:val="0"/>
          <w:numId w:val="4"/>
        </w:numPr>
        <w:tabs>
          <w:tab w:pos="879" w:val="left" w:leader="none"/>
          <w:tab w:pos="880" w:val="left" w:leader="none"/>
        </w:tabs>
        <w:spacing w:line="249" w:lineRule="auto" w:before="144" w:after="0"/>
        <w:ind w:left="879" w:right="821" w:hanging="360"/>
        <w:jc w:val="left"/>
        <w:rPr>
          <w:rFonts w:ascii="Symbol" w:hAnsi="Symbol"/>
          <w:color w:val="010202"/>
          <w:sz w:val="22"/>
        </w:rPr>
      </w:pPr>
      <w:r>
        <w:rPr>
          <w:i/>
          <w:color w:val="010202"/>
          <w:sz w:val="22"/>
        </w:rPr>
        <w:t>PrEP Mate: </w:t>
      </w:r>
      <w:r>
        <w:rPr>
          <w:color w:val="010202"/>
          <w:sz w:val="22"/>
        </w:rPr>
        <w:t>A bidirectional text-messaging</w:t>
      </w:r>
      <w:r>
        <w:rPr>
          <w:color w:val="010202"/>
          <w:spacing w:val="1"/>
          <w:sz w:val="22"/>
        </w:rPr>
        <w:t> </w:t>
      </w:r>
      <w:r>
        <w:rPr>
          <w:color w:val="010202"/>
          <w:sz w:val="22"/>
        </w:rPr>
        <w:t>program, grounded in the information,</w:t>
      </w:r>
      <w:r>
        <w:rPr>
          <w:color w:val="010202"/>
          <w:spacing w:val="1"/>
          <w:sz w:val="22"/>
        </w:rPr>
        <w:t> </w:t>
      </w:r>
      <w:r>
        <w:rPr>
          <w:color w:val="010202"/>
          <w:sz w:val="22"/>
        </w:rPr>
        <w:t>motivation, and behavioral (IMB) theory of</w:t>
      </w:r>
      <w:r>
        <w:rPr>
          <w:color w:val="010202"/>
          <w:spacing w:val="1"/>
          <w:sz w:val="22"/>
        </w:rPr>
        <w:t> </w:t>
      </w:r>
      <w:r>
        <w:rPr>
          <w:color w:val="010202"/>
          <w:sz w:val="22"/>
        </w:rPr>
        <w:t>behavior change, involving daily text reminders</w:t>
      </w:r>
      <w:r>
        <w:rPr>
          <w:color w:val="010202"/>
          <w:spacing w:val="-52"/>
          <w:sz w:val="22"/>
        </w:rPr>
        <w:t> </w:t>
      </w:r>
      <w:r>
        <w:rPr>
          <w:color w:val="010202"/>
          <w:sz w:val="22"/>
        </w:rPr>
        <w:t>to</w:t>
      </w:r>
      <w:r>
        <w:rPr>
          <w:color w:val="010202"/>
          <w:spacing w:val="-2"/>
          <w:sz w:val="22"/>
        </w:rPr>
        <w:t> </w:t>
      </w:r>
      <w:r>
        <w:rPr>
          <w:color w:val="010202"/>
          <w:sz w:val="22"/>
        </w:rPr>
        <w:t>take</w:t>
      </w:r>
      <w:r>
        <w:rPr>
          <w:color w:val="010202"/>
          <w:spacing w:val="-1"/>
          <w:sz w:val="22"/>
        </w:rPr>
        <w:t> </w:t>
      </w:r>
      <w:r>
        <w:rPr>
          <w:color w:val="010202"/>
          <w:sz w:val="22"/>
        </w:rPr>
        <w:t>PrEP</w:t>
      </w:r>
      <w:r>
        <w:rPr>
          <w:color w:val="010202"/>
          <w:spacing w:val="-10"/>
          <w:sz w:val="22"/>
        </w:rPr>
        <w:t> </w:t>
      </w:r>
      <w:r>
        <w:rPr>
          <w:color w:val="010202"/>
          <w:sz w:val="22"/>
        </w:rPr>
        <w:t>and</w:t>
      </w:r>
      <w:r>
        <w:rPr>
          <w:color w:val="010202"/>
          <w:spacing w:val="-2"/>
          <w:sz w:val="22"/>
        </w:rPr>
        <w:t> </w:t>
      </w:r>
      <w:r>
        <w:rPr>
          <w:color w:val="010202"/>
          <w:sz w:val="22"/>
        </w:rPr>
        <w:t>weekly</w:t>
      </w:r>
      <w:r>
        <w:rPr>
          <w:color w:val="010202"/>
          <w:spacing w:val="-2"/>
          <w:sz w:val="22"/>
        </w:rPr>
        <w:t> </w:t>
      </w:r>
      <w:r>
        <w:rPr>
          <w:color w:val="010202"/>
          <w:sz w:val="22"/>
        </w:rPr>
        <w:t>text</w:t>
      </w:r>
      <w:r>
        <w:rPr>
          <w:color w:val="010202"/>
          <w:spacing w:val="-1"/>
          <w:sz w:val="22"/>
        </w:rPr>
        <w:t> </w:t>
      </w:r>
      <w:r>
        <w:rPr>
          <w:color w:val="010202"/>
          <w:sz w:val="22"/>
        </w:rPr>
        <w:t>check-ins.</w:t>
      </w:r>
      <w:r>
        <w:rPr>
          <w:color w:val="010202"/>
          <w:sz w:val="22"/>
          <w:vertAlign w:val="superscript"/>
        </w:rPr>
        <w:t>18</w:t>
      </w:r>
    </w:p>
    <w:p>
      <w:pPr>
        <w:pStyle w:val="ListParagraph"/>
        <w:numPr>
          <w:ilvl w:val="0"/>
          <w:numId w:val="4"/>
        </w:numPr>
        <w:tabs>
          <w:tab w:pos="879" w:val="left" w:leader="none"/>
          <w:tab w:pos="881" w:val="left" w:leader="none"/>
        </w:tabs>
        <w:spacing w:line="266" w:lineRule="auto" w:before="93" w:after="0"/>
        <w:ind w:left="880" w:right="722" w:hanging="360"/>
        <w:jc w:val="left"/>
        <w:rPr>
          <w:rFonts w:ascii="Symbol" w:hAnsi="Symbol"/>
          <w:color w:val="231F20"/>
          <w:sz w:val="22"/>
        </w:rPr>
      </w:pPr>
      <w:r>
        <w:rPr>
          <w:i/>
          <w:color w:val="231F20"/>
          <w:spacing w:val="-5"/>
          <w:sz w:val="22"/>
        </w:rPr>
        <w:t>Bio-Behavioral Community </w:t>
      </w:r>
      <w:r>
        <w:rPr>
          <w:i/>
          <w:color w:val="231F20"/>
          <w:spacing w:val="-4"/>
          <w:sz w:val="22"/>
        </w:rPr>
        <w:t>Health Recovery</w:t>
      </w:r>
      <w:r>
        <w:rPr>
          <w:i/>
          <w:color w:val="231F20"/>
          <w:spacing w:val="-3"/>
          <w:sz w:val="22"/>
        </w:rPr>
        <w:t> </w:t>
      </w:r>
      <w:r>
        <w:rPr>
          <w:i/>
          <w:color w:val="231F20"/>
          <w:spacing w:val="-5"/>
          <w:sz w:val="22"/>
        </w:rPr>
        <w:t>Program</w:t>
      </w:r>
      <w:r>
        <w:rPr>
          <w:i/>
          <w:color w:val="231F20"/>
          <w:spacing w:val="-9"/>
          <w:sz w:val="22"/>
        </w:rPr>
        <w:t> </w:t>
      </w:r>
      <w:r>
        <w:rPr>
          <w:i/>
          <w:color w:val="231F20"/>
          <w:spacing w:val="-5"/>
          <w:sz w:val="22"/>
        </w:rPr>
        <w:t>(CHRP-BB):</w:t>
      </w:r>
      <w:r>
        <w:rPr>
          <w:i/>
          <w:color w:val="231F20"/>
          <w:spacing w:val="-21"/>
          <w:sz w:val="22"/>
        </w:rPr>
        <w:t> </w:t>
      </w:r>
      <w:r>
        <w:rPr>
          <w:color w:val="231F20"/>
          <w:spacing w:val="-4"/>
          <w:sz w:val="22"/>
        </w:rPr>
        <w:t>A</w:t>
      </w:r>
      <w:r>
        <w:rPr>
          <w:color w:val="231F20"/>
          <w:spacing w:val="-21"/>
          <w:sz w:val="22"/>
        </w:rPr>
        <w:t> </w:t>
      </w:r>
      <w:r>
        <w:rPr>
          <w:color w:val="231F20"/>
          <w:spacing w:val="-4"/>
          <w:sz w:val="22"/>
        </w:rPr>
        <w:t>weekly</w:t>
      </w:r>
      <w:r>
        <w:rPr>
          <w:color w:val="231F20"/>
          <w:spacing w:val="-9"/>
          <w:sz w:val="22"/>
        </w:rPr>
        <w:t> </w:t>
      </w:r>
      <w:r>
        <w:rPr>
          <w:color w:val="231F20"/>
          <w:spacing w:val="-4"/>
          <w:sz w:val="22"/>
        </w:rPr>
        <w:t>group</w:t>
      </w:r>
      <w:r>
        <w:rPr>
          <w:color w:val="231F20"/>
          <w:spacing w:val="-9"/>
          <w:sz w:val="22"/>
        </w:rPr>
        <w:t> </w:t>
      </w:r>
      <w:r>
        <w:rPr>
          <w:color w:val="231F20"/>
          <w:spacing w:val="-4"/>
          <w:sz w:val="22"/>
        </w:rPr>
        <w:t>therapy</w:t>
      </w:r>
      <w:r>
        <w:rPr>
          <w:color w:val="231F20"/>
          <w:spacing w:val="-9"/>
          <w:sz w:val="22"/>
        </w:rPr>
        <w:t> </w:t>
      </w:r>
      <w:r>
        <w:rPr>
          <w:color w:val="231F20"/>
          <w:spacing w:val="-4"/>
          <w:sz w:val="22"/>
        </w:rPr>
        <w:t>and</w:t>
      </w:r>
      <w:r>
        <w:rPr>
          <w:color w:val="231F20"/>
          <w:spacing w:val="-52"/>
          <w:sz w:val="22"/>
        </w:rPr>
        <w:t> </w:t>
      </w:r>
      <w:r>
        <w:rPr>
          <w:color w:val="231F20"/>
          <w:spacing w:val="-5"/>
          <w:sz w:val="22"/>
        </w:rPr>
        <w:t>text-message reminder intervention </w:t>
      </w:r>
      <w:r>
        <w:rPr>
          <w:color w:val="231F20"/>
          <w:spacing w:val="-4"/>
          <w:sz w:val="22"/>
        </w:rPr>
        <w:t>encouraging</w:t>
      </w:r>
      <w:r>
        <w:rPr>
          <w:color w:val="231F20"/>
          <w:spacing w:val="-3"/>
          <w:sz w:val="22"/>
        </w:rPr>
        <w:t> </w:t>
      </w:r>
      <w:r>
        <w:rPr>
          <w:color w:val="231F20"/>
          <w:spacing w:val="-5"/>
          <w:sz w:val="22"/>
        </w:rPr>
        <w:t>PrEP adherence and </w:t>
      </w:r>
      <w:r>
        <w:rPr>
          <w:color w:val="231F20"/>
          <w:spacing w:val="-4"/>
          <w:sz w:val="22"/>
        </w:rPr>
        <w:t>teaching health management</w:t>
      </w:r>
      <w:r>
        <w:rPr>
          <w:color w:val="231F20"/>
          <w:spacing w:val="-3"/>
          <w:sz w:val="22"/>
        </w:rPr>
        <w:t> skills for people who are vulnerable to HIV</w:t>
      </w:r>
      <w:r>
        <w:rPr>
          <w:color w:val="231F20"/>
          <w:spacing w:val="-2"/>
          <w:sz w:val="22"/>
        </w:rPr>
        <w:t> </w:t>
      </w:r>
      <w:r>
        <w:rPr>
          <w:color w:val="231F20"/>
          <w:spacing w:val="-5"/>
          <w:sz w:val="22"/>
        </w:rPr>
        <w:t>(through</w:t>
      </w:r>
      <w:r>
        <w:rPr>
          <w:color w:val="231F20"/>
          <w:spacing w:val="-9"/>
          <w:sz w:val="22"/>
        </w:rPr>
        <w:t> </w:t>
      </w:r>
      <w:r>
        <w:rPr>
          <w:color w:val="231F20"/>
          <w:spacing w:val="-5"/>
          <w:sz w:val="22"/>
        </w:rPr>
        <w:t>injection</w:t>
      </w:r>
      <w:r>
        <w:rPr>
          <w:color w:val="231F20"/>
          <w:spacing w:val="-9"/>
          <w:sz w:val="22"/>
        </w:rPr>
        <w:t> </w:t>
      </w:r>
      <w:r>
        <w:rPr>
          <w:color w:val="231F20"/>
          <w:spacing w:val="-5"/>
          <w:sz w:val="22"/>
        </w:rPr>
        <w:t>drug</w:t>
      </w:r>
      <w:r>
        <w:rPr>
          <w:color w:val="231F20"/>
          <w:spacing w:val="-9"/>
          <w:sz w:val="22"/>
        </w:rPr>
        <w:t> </w:t>
      </w:r>
      <w:r>
        <w:rPr>
          <w:color w:val="231F20"/>
          <w:spacing w:val="-5"/>
          <w:sz w:val="22"/>
        </w:rPr>
        <w:t>use</w:t>
      </w:r>
      <w:r>
        <w:rPr>
          <w:color w:val="231F20"/>
          <w:spacing w:val="-9"/>
          <w:sz w:val="22"/>
        </w:rPr>
        <w:t> </w:t>
      </w:r>
      <w:r>
        <w:rPr>
          <w:color w:val="231F20"/>
          <w:spacing w:val="-4"/>
          <w:sz w:val="22"/>
        </w:rPr>
        <w:t>or</w:t>
      </w:r>
      <w:r>
        <w:rPr>
          <w:color w:val="231F20"/>
          <w:spacing w:val="-9"/>
          <w:sz w:val="22"/>
        </w:rPr>
        <w:t> </w:t>
      </w:r>
      <w:r>
        <w:rPr>
          <w:color w:val="231F20"/>
          <w:spacing w:val="-4"/>
          <w:sz w:val="22"/>
        </w:rPr>
        <w:t>condomless</w:t>
      </w:r>
      <w:r>
        <w:rPr>
          <w:color w:val="231F20"/>
          <w:spacing w:val="-9"/>
          <w:sz w:val="22"/>
        </w:rPr>
        <w:t> </w:t>
      </w:r>
      <w:r>
        <w:rPr>
          <w:color w:val="231F20"/>
          <w:spacing w:val="-4"/>
          <w:sz w:val="22"/>
        </w:rPr>
        <w:t>sex).</w:t>
      </w:r>
      <w:r>
        <w:rPr>
          <w:color w:val="231F20"/>
          <w:spacing w:val="-4"/>
          <w:sz w:val="22"/>
          <w:vertAlign w:val="superscript"/>
        </w:rPr>
        <w:t>19</w:t>
      </w:r>
    </w:p>
    <w:p>
      <w:pPr>
        <w:pStyle w:val="ListParagraph"/>
        <w:numPr>
          <w:ilvl w:val="0"/>
          <w:numId w:val="4"/>
        </w:numPr>
        <w:tabs>
          <w:tab w:pos="879" w:val="left" w:leader="none"/>
          <w:tab w:pos="880" w:val="left" w:leader="none"/>
        </w:tabs>
        <w:spacing w:line="264" w:lineRule="auto" w:before="67" w:after="0"/>
        <w:ind w:left="879" w:right="761" w:hanging="360"/>
        <w:jc w:val="left"/>
        <w:rPr>
          <w:rFonts w:ascii="Symbol" w:hAnsi="Symbol"/>
          <w:color w:val="231F20"/>
          <w:sz w:val="22"/>
        </w:rPr>
      </w:pPr>
      <w:r>
        <w:rPr>
          <w:i/>
          <w:color w:val="231F20"/>
          <w:spacing w:val="-2"/>
          <w:sz w:val="22"/>
        </w:rPr>
        <w:t>Pharmacy-led PrEP (P-PrEP): </w:t>
      </w:r>
      <w:r>
        <w:rPr>
          <w:color w:val="231F20"/>
          <w:spacing w:val="-2"/>
          <w:sz w:val="22"/>
        </w:rPr>
        <w:t>An integrated</w:t>
      </w:r>
      <w:r>
        <w:rPr>
          <w:color w:val="231F20"/>
          <w:spacing w:val="-1"/>
          <w:sz w:val="22"/>
        </w:rPr>
        <w:t> care</w:t>
      </w:r>
      <w:r>
        <w:rPr>
          <w:color w:val="231F20"/>
          <w:spacing w:val="-12"/>
          <w:sz w:val="22"/>
        </w:rPr>
        <w:t> </w:t>
      </w:r>
      <w:r>
        <w:rPr>
          <w:color w:val="231F20"/>
          <w:spacing w:val="-1"/>
          <w:sz w:val="22"/>
        </w:rPr>
        <w:t>intervention</w:t>
      </w:r>
      <w:r>
        <w:rPr>
          <w:color w:val="231F20"/>
          <w:spacing w:val="-11"/>
          <w:sz w:val="22"/>
        </w:rPr>
        <w:t> </w:t>
      </w:r>
      <w:r>
        <w:rPr>
          <w:color w:val="231F20"/>
          <w:spacing w:val="-1"/>
          <w:sz w:val="22"/>
        </w:rPr>
        <w:t>in</w:t>
      </w:r>
      <w:r>
        <w:rPr>
          <w:color w:val="231F20"/>
          <w:spacing w:val="-12"/>
          <w:sz w:val="22"/>
        </w:rPr>
        <w:t> </w:t>
      </w:r>
      <w:r>
        <w:rPr>
          <w:color w:val="231F20"/>
          <w:spacing w:val="-1"/>
          <w:sz w:val="22"/>
        </w:rPr>
        <w:t>which</w:t>
      </w:r>
      <w:r>
        <w:rPr>
          <w:color w:val="231F20"/>
          <w:spacing w:val="-12"/>
          <w:sz w:val="22"/>
        </w:rPr>
        <w:t> </w:t>
      </w:r>
      <w:r>
        <w:rPr>
          <w:color w:val="231F20"/>
          <w:spacing w:val="-1"/>
          <w:sz w:val="22"/>
        </w:rPr>
        <w:t>an</w:t>
      </w:r>
      <w:r>
        <w:rPr>
          <w:color w:val="231F20"/>
          <w:spacing w:val="-11"/>
          <w:sz w:val="22"/>
        </w:rPr>
        <w:t> </w:t>
      </w:r>
      <w:r>
        <w:rPr>
          <w:color w:val="231F20"/>
          <w:spacing w:val="-1"/>
          <w:sz w:val="22"/>
        </w:rPr>
        <w:t>in-clinic</w:t>
      </w:r>
      <w:r>
        <w:rPr>
          <w:color w:val="231F20"/>
          <w:spacing w:val="-12"/>
          <w:sz w:val="22"/>
        </w:rPr>
        <w:t> </w:t>
      </w:r>
      <w:r>
        <w:rPr>
          <w:color w:val="231F20"/>
          <w:sz w:val="22"/>
        </w:rPr>
        <w:t>pharmacist</w:t>
      </w:r>
      <w:r>
        <w:rPr>
          <w:color w:val="231F20"/>
          <w:spacing w:val="-52"/>
          <w:sz w:val="22"/>
        </w:rPr>
        <w:t> </w:t>
      </w:r>
      <w:r>
        <w:rPr>
          <w:color w:val="231F20"/>
          <w:spacing w:val="-2"/>
          <w:sz w:val="22"/>
        </w:rPr>
        <w:t>consults with the client and prescribes </w:t>
      </w:r>
      <w:r>
        <w:rPr>
          <w:color w:val="231F20"/>
          <w:spacing w:val="-1"/>
          <w:sz w:val="22"/>
        </w:rPr>
        <w:t>PrEP the</w:t>
      </w:r>
      <w:r>
        <w:rPr>
          <w:color w:val="231F20"/>
          <w:sz w:val="22"/>
        </w:rPr>
        <w:t> </w:t>
      </w:r>
      <w:r>
        <w:rPr>
          <w:color w:val="231F20"/>
          <w:spacing w:val="-1"/>
          <w:sz w:val="22"/>
        </w:rPr>
        <w:t>same</w:t>
      </w:r>
      <w:r>
        <w:rPr>
          <w:color w:val="231F20"/>
          <w:spacing w:val="-13"/>
          <w:sz w:val="22"/>
        </w:rPr>
        <w:t> </w:t>
      </w:r>
      <w:r>
        <w:rPr>
          <w:color w:val="231F20"/>
          <w:spacing w:val="-1"/>
          <w:sz w:val="22"/>
        </w:rPr>
        <w:t>day</w:t>
      </w:r>
      <w:r>
        <w:rPr>
          <w:color w:val="231F20"/>
          <w:spacing w:val="-12"/>
          <w:sz w:val="22"/>
        </w:rPr>
        <w:t> </w:t>
      </w:r>
      <w:r>
        <w:rPr>
          <w:color w:val="231F20"/>
          <w:spacing w:val="-1"/>
          <w:sz w:val="22"/>
        </w:rPr>
        <w:t>that</w:t>
      </w:r>
      <w:r>
        <w:rPr>
          <w:color w:val="231F20"/>
          <w:spacing w:val="-11"/>
          <w:sz w:val="22"/>
        </w:rPr>
        <w:t> </w:t>
      </w:r>
      <w:r>
        <w:rPr>
          <w:color w:val="231F20"/>
          <w:spacing w:val="-1"/>
          <w:sz w:val="22"/>
        </w:rPr>
        <w:t>the</w:t>
      </w:r>
      <w:r>
        <w:rPr>
          <w:color w:val="231F20"/>
          <w:spacing w:val="-12"/>
          <w:sz w:val="22"/>
        </w:rPr>
        <w:t> </w:t>
      </w:r>
      <w:r>
        <w:rPr>
          <w:color w:val="231F20"/>
          <w:spacing w:val="-1"/>
          <w:sz w:val="22"/>
        </w:rPr>
        <w:t>client</w:t>
      </w:r>
      <w:r>
        <w:rPr>
          <w:color w:val="231F20"/>
          <w:spacing w:val="-11"/>
          <w:sz w:val="22"/>
        </w:rPr>
        <w:t> </w:t>
      </w:r>
      <w:r>
        <w:rPr>
          <w:color w:val="231F20"/>
          <w:spacing w:val="-1"/>
          <w:sz w:val="22"/>
        </w:rPr>
        <w:t>tests</w:t>
      </w:r>
      <w:r>
        <w:rPr>
          <w:color w:val="231F20"/>
          <w:spacing w:val="-12"/>
          <w:sz w:val="22"/>
        </w:rPr>
        <w:t> </w:t>
      </w:r>
      <w:r>
        <w:rPr>
          <w:color w:val="231F20"/>
          <w:spacing w:val="-1"/>
          <w:sz w:val="22"/>
        </w:rPr>
        <w:t>negative</w:t>
      </w:r>
      <w:r>
        <w:rPr>
          <w:color w:val="231F20"/>
          <w:spacing w:val="-11"/>
          <w:sz w:val="22"/>
        </w:rPr>
        <w:t> </w:t>
      </w:r>
      <w:r>
        <w:rPr>
          <w:color w:val="231F20"/>
          <w:sz w:val="22"/>
        </w:rPr>
        <w:t>for</w:t>
      </w:r>
      <w:r>
        <w:rPr>
          <w:color w:val="231F20"/>
          <w:spacing w:val="-12"/>
          <w:sz w:val="22"/>
        </w:rPr>
        <w:t> </w:t>
      </w:r>
      <w:r>
        <w:rPr>
          <w:color w:val="231F20"/>
          <w:sz w:val="22"/>
        </w:rPr>
        <w:t>HIV.</w:t>
      </w:r>
      <w:r>
        <w:rPr>
          <w:color w:val="231F20"/>
          <w:sz w:val="22"/>
          <w:vertAlign w:val="superscript"/>
        </w:rPr>
        <w:t>15</w:t>
      </w:r>
    </w:p>
    <w:p>
      <w:pPr>
        <w:spacing w:after="0" w:line="264" w:lineRule="auto"/>
        <w:jc w:val="left"/>
        <w:rPr>
          <w:rFonts w:ascii="Symbol" w:hAnsi="Symbol"/>
          <w:sz w:val="22"/>
        </w:rPr>
        <w:sectPr>
          <w:type w:val="continuous"/>
          <w:pgSz w:w="12240" w:h="15840"/>
          <w:pgMar w:header="0" w:footer="666" w:top="1500" w:bottom="0" w:left="560" w:right="0"/>
          <w:cols w:num="2" w:equalWidth="0">
            <w:col w:w="5162" w:space="598"/>
            <w:col w:w="5920"/>
          </w:cols>
        </w:sectPr>
      </w:pPr>
    </w:p>
    <w:p>
      <w:pPr>
        <w:pStyle w:val="BodyText"/>
        <w:rPr>
          <w:sz w:val="20"/>
        </w:rPr>
      </w:pPr>
    </w:p>
    <w:p>
      <w:pPr>
        <w:pStyle w:val="BodyText"/>
        <w:rPr>
          <w:sz w:val="25"/>
        </w:rPr>
      </w:pPr>
    </w:p>
    <w:p>
      <w:pPr>
        <w:spacing w:after="0"/>
        <w:rPr>
          <w:sz w:val="25"/>
        </w:rPr>
        <w:sectPr>
          <w:pgSz w:w="12240" w:h="15840"/>
          <w:pgMar w:header="0" w:footer="666" w:top="380" w:bottom="860" w:left="560" w:right="0"/>
        </w:sectPr>
      </w:pPr>
    </w:p>
    <w:p>
      <w:pPr>
        <w:pStyle w:val="Heading5"/>
        <w:spacing w:line="249" w:lineRule="auto" w:before="118"/>
        <w:ind w:right="29"/>
      </w:pPr>
      <w:bookmarkStart w:name="Typical Settings" w:id="41"/>
      <w:bookmarkEnd w:id="41"/>
      <w:r>
        <w:rPr>
          <w:i w:val="0"/>
        </w:rPr>
      </w:r>
      <w:bookmarkStart w:name="Demographic Groups" w:id="42"/>
      <w:bookmarkEnd w:id="42"/>
      <w:r>
        <w:rPr>
          <w:i w:val="0"/>
        </w:rPr>
      </w:r>
      <w:bookmarkStart w:name="Practitioner Types" w:id="43"/>
      <w:bookmarkEnd w:id="43"/>
      <w:r>
        <w:rPr>
          <w:i w:val="0"/>
        </w:rPr>
      </w:r>
      <w:bookmarkStart w:name="Intensity and Duration" w:id="44"/>
      <w:bookmarkEnd w:id="44"/>
      <w:r>
        <w:rPr>
          <w:i w:val="0"/>
        </w:rPr>
      </w:r>
      <w:bookmarkStart w:name="Syringe Services Programs (SSPs)" w:id="45"/>
      <w:bookmarkEnd w:id="45"/>
      <w:r>
        <w:rPr>
          <w:i w:val="0"/>
        </w:rPr>
      </w:r>
      <w:bookmarkStart w:name="Goal" w:id="46"/>
      <w:bookmarkEnd w:id="46"/>
      <w:r>
        <w:rPr>
          <w:i w:val="0"/>
        </w:rPr>
      </w:r>
      <w:r>
        <w:rPr>
          <w:i/>
          <w:color w:val="1C384B"/>
          <w:spacing w:val="-3"/>
        </w:rPr>
        <w:t>Outcomes Associated with Practices </w:t>
      </w:r>
      <w:r>
        <w:rPr>
          <w:i/>
          <w:color w:val="1C384B"/>
          <w:spacing w:val="-2"/>
        </w:rPr>
        <w:t>to Increase</w:t>
      </w:r>
      <w:r>
        <w:rPr>
          <w:i/>
          <w:color w:val="1C384B"/>
          <w:spacing w:val="-64"/>
        </w:rPr>
        <w:t> </w:t>
      </w:r>
      <w:r>
        <w:rPr>
          <w:color w:val="1C384B"/>
          <w:spacing w:val="-3"/>
        </w:rPr>
        <w:t>Uptake</w:t>
      </w:r>
      <w:r>
        <w:rPr>
          <w:color w:val="1C384B"/>
          <w:spacing w:val="-6"/>
        </w:rPr>
        <w:t> </w:t>
      </w:r>
      <w:r>
        <w:rPr>
          <w:color w:val="1C384B"/>
          <w:spacing w:val="-2"/>
        </w:rPr>
        <w:t>and</w:t>
      </w:r>
      <w:r>
        <w:rPr>
          <w:color w:val="1C384B"/>
          <w:spacing w:val="-6"/>
        </w:rPr>
        <w:t> </w:t>
      </w:r>
      <w:r>
        <w:rPr>
          <w:color w:val="1C384B"/>
          <w:spacing w:val="-2"/>
        </w:rPr>
        <w:t>Improve</w:t>
      </w:r>
      <w:r>
        <w:rPr>
          <w:color w:val="1C384B"/>
          <w:spacing w:val="-14"/>
        </w:rPr>
        <w:t> </w:t>
      </w:r>
      <w:r>
        <w:rPr>
          <w:color w:val="1C384B"/>
          <w:spacing w:val="-2"/>
        </w:rPr>
        <w:t>Adherence</w:t>
      </w:r>
      <w:r>
        <w:rPr>
          <w:color w:val="1C384B"/>
          <w:spacing w:val="-6"/>
        </w:rPr>
        <w:t> </w:t>
      </w:r>
      <w:r>
        <w:rPr>
          <w:color w:val="1C384B"/>
          <w:spacing w:val="-2"/>
        </w:rPr>
        <w:t>to</w:t>
      </w:r>
      <w:r>
        <w:rPr>
          <w:color w:val="1C384B"/>
          <w:spacing w:val="-5"/>
        </w:rPr>
        <w:t> </w:t>
      </w:r>
      <w:r>
        <w:rPr>
          <w:color w:val="1C384B"/>
          <w:spacing w:val="-2"/>
        </w:rPr>
        <w:t>PrEP</w:t>
      </w:r>
    </w:p>
    <w:p>
      <w:pPr>
        <w:pStyle w:val="BodyText"/>
        <w:rPr>
          <w:rFonts w:ascii="Arial"/>
          <w:i/>
          <w:sz w:val="10"/>
        </w:rPr>
      </w:pPr>
      <w:r>
        <w:rPr/>
        <w:pict>
          <v:group style="position:absolute;margin-left:36pt;margin-top:6.982135pt;width:252pt;height:52.3pt;mso-position-horizontal-relative:page;mso-position-vertical-relative:paragraph;z-index:-15707648;mso-wrap-distance-left:0;mso-wrap-distance-right:0" id="docshapegroup93" coordorigin="720,140" coordsize="5040,1046">
            <v:rect style="position:absolute;left:730;top:149;width:1170;height:1026" id="docshape94" filled="true" fillcolor="#ce384b" stroked="false">
              <v:fill type="solid"/>
            </v:rect>
            <v:rect style="position:absolute;left:720;top:139;width:1180;height:20" id="docshape95" filled="true" fillcolor="#231f20" stroked="false">
              <v:fill type="solid"/>
            </v:rect>
            <v:line style="position:absolute" from="730,1165" to="730,160" stroked="true" strokeweight="1pt" strokecolor="#231f20">
              <v:stroke dashstyle="solid"/>
            </v:line>
            <v:rect style="position:absolute;left:720;top:1165;width:1180;height:20" id="docshape96" filled="true" fillcolor="#231f20" stroked="false">
              <v:fill type="solid"/>
            </v:rect>
            <v:shape style="position:absolute;left:900;top:283;width:792;height:792" type="#_x0000_t75" id="docshape97" stroked="false">
              <v:imagedata r:id="rId148" o:title=""/>
            </v:shape>
            <v:shape style="position:absolute;left:1900;top:149;width:3850;height:1026" type="#_x0000_t202" id="docshape98" filled="true" fillcolor="#f7e4e6" stroked="true" strokeweight="1pt" strokecolor="#231f20">
              <v:textbox inset="0,0,0,0">
                <w:txbxContent>
                  <w:p>
                    <w:pPr>
                      <w:numPr>
                        <w:ilvl w:val="0"/>
                        <w:numId w:val="5"/>
                      </w:numPr>
                      <w:tabs>
                        <w:tab w:pos="429" w:val="left" w:leader="none"/>
                        <w:tab w:pos="430" w:val="left" w:leader="none"/>
                      </w:tabs>
                      <w:spacing w:line="247" w:lineRule="auto" w:before="14"/>
                      <w:ind w:left="430" w:right="88" w:hanging="360"/>
                      <w:jc w:val="left"/>
                      <w:rPr>
                        <w:rFonts w:ascii="Arial"/>
                        <w:color w:val="000000"/>
                        <w:sz w:val="11"/>
                      </w:rPr>
                    </w:pPr>
                    <w:r>
                      <w:rPr>
                        <w:rFonts w:ascii="Arial"/>
                        <w:color w:val="231F20"/>
                        <w:sz w:val="20"/>
                      </w:rPr>
                      <w:t>Increased</w:t>
                    </w:r>
                    <w:r>
                      <w:rPr>
                        <w:rFonts w:ascii="Arial"/>
                        <w:color w:val="231F20"/>
                        <w:spacing w:val="-2"/>
                        <w:sz w:val="20"/>
                      </w:rPr>
                      <w:t> </w:t>
                    </w:r>
                    <w:r>
                      <w:rPr>
                        <w:rFonts w:ascii="Arial"/>
                        <w:color w:val="231F20"/>
                        <w:sz w:val="20"/>
                      </w:rPr>
                      <w:t>PrEP</w:t>
                    </w:r>
                    <w:r>
                      <w:rPr>
                        <w:rFonts w:ascii="Arial"/>
                        <w:color w:val="231F20"/>
                        <w:spacing w:val="-5"/>
                        <w:sz w:val="20"/>
                      </w:rPr>
                      <w:t> </w:t>
                    </w:r>
                    <w:r>
                      <w:rPr>
                        <w:rFonts w:ascii="Arial"/>
                        <w:color w:val="231F20"/>
                        <w:sz w:val="20"/>
                      </w:rPr>
                      <w:t>uptake,</w:t>
                    </w:r>
                    <w:r>
                      <w:rPr>
                        <w:rFonts w:ascii="Arial"/>
                        <w:color w:val="231F20"/>
                        <w:spacing w:val="-3"/>
                        <w:sz w:val="20"/>
                      </w:rPr>
                      <w:t> </w:t>
                    </w:r>
                    <w:r>
                      <w:rPr>
                        <w:rFonts w:ascii="Arial"/>
                        <w:color w:val="231F20"/>
                        <w:sz w:val="20"/>
                      </w:rPr>
                      <w:t>sustained</w:t>
                    </w:r>
                    <w:r>
                      <w:rPr>
                        <w:rFonts w:ascii="Arial"/>
                        <w:color w:val="231F20"/>
                        <w:spacing w:val="-1"/>
                        <w:sz w:val="20"/>
                      </w:rPr>
                      <w:t> </w:t>
                    </w:r>
                    <w:r>
                      <w:rPr>
                        <w:rFonts w:ascii="Arial"/>
                        <w:color w:val="231F20"/>
                        <w:sz w:val="20"/>
                      </w:rPr>
                      <w:t>for</w:t>
                    </w:r>
                    <w:r>
                      <w:rPr>
                        <w:rFonts w:ascii="Arial"/>
                        <w:color w:val="231F20"/>
                        <w:spacing w:val="-53"/>
                        <w:sz w:val="20"/>
                      </w:rPr>
                      <w:t> </w:t>
                    </w:r>
                    <w:r>
                      <w:rPr>
                        <w:rFonts w:ascii="Arial"/>
                        <w:color w:val="231F20"/>
                        <w:sz w:val="20"/>
                      </w:rPr>
                      <w:t>up</w:t>
                    </w:r>
                    <w:r>
                      <w:rPr>
                        <w:rFonts w:ascii="Arial"/>
                        <w:color w:val="231F20"/>
                        <w:spacing w:val="-1"/>
                        <w:sz w:val="20"/>
                      </w:rPr>
                      <w:t> </w:t>
                    </w:r>
                    <w:r>
                      <w:rPr>
                        <w:rFonts w:ascii="Arial"/>
                        <w:color w:val="231F20"/>
                        <w:sz w:val="20"/>
                      </w:rPr>
                      <w:t>to 9</w:t>
                    </w:r>
                    <w:r>
                      <w:rPr>
                        <w:rFonts w:ascii="Arial"/>
                        <w:color w:val="231F20"/>
                        <w:spacing w:val="-1"/>
                        <w:sz w:val="20"/>
                      </w:rPr>
                      <w:t> </w:t>
                    </w:r>
                    <w:r>
                      <w:rPr>
                        <w:rFonts w:ascii="Arial"/>
                        <w:color w:val="231F20"/>
                        <w:sz w:val="20"/>
                      </w:rPr>
                      <w:t>months.</w:t>
                    </w:r>
                    <w:r>
                      <w:rPr>
                        <w:rFonts w:ascii="Arial"/>
                        <w:color w:val="231F20"/>
                        <w:position w:val="7"/>
                        <w:sz w:val="11"/>
                      </w:rPr>
                      <w:t>15-17</w:t>
                    </w:r>
                  </w:p>
                  <w:p>
                    <w:pPr>
                      <w:numPr>
                        <w:ilvl w:val="0"/>
                        <w:numId w:val="5"/>
                      </w:numPr>
                      <w:tabs>
                        <w:tab w:pos="429" w:val="left" w:leader="none"/>
                        <w:tab w:pos="431" w:val="left" w:leader="none"/>
                      </w:tabs>
                      <w:spacing w:line="247" w:lineRule="auto" w:before="0"/>
                      <w:ind w:left="430" w:right="409" w:hanging="360"/>
                      <w:jc w:val="left"/>
                      <w:rPr>
                        <w:rFonts w:ascii="Arial"/>
                        <w:color w:val="000000"/>
                        <w:sz w:val="11"/>
                      </w:rPr>
                    </w:pPr>
                    <w:r>
                      <w:rPr>
                        <w:rFonts w:ascii="Arial"/>
                        <w:color w:val="231F20"/>
                        <w:sz w:val="20"/>
                      </w:rPr>
                      <w:t>Increased PrEP adherence,</w:t>
                    </w:r>
                    <w:r>
                      <w:rPr>
                        <w:rFonts w:ascii="Arial"/>
                        <w:color w:val="231F20"/>
                        <w:spacing w:val="1"/>
                        <w:sz w:val="20"/>
                      </w:rPr>
                      <w:t> </w:t>
                    </w:r>
                    <w:r>
                      <w:rPr>
                        <w:rFonts w:ascii="Arial"/>
                        <w:color w:val="231F20"/>
                        <w:sz w:val="20"/>
                      </w:rPr>
                      <w:t>sustained</w:t>
                    </w:r>
                    <w:r>
                      <w:rPr>
                        <w:rFonts w:ascii="Arial"/>
                        <w:color w:val="231F20"/>
                        <w:spacing w:val="1"/>
                        <w:sz w:val="20"/>
                      </w:rPr>
                      <w:t> </w:t>
                    </w:r>
                    <w:r>
                      <w:rPr>
                        <w:rFonts w:ascii="Arial"/>
                        <w:color w:val="231F20"/>
                        <w:sz w:val="20"/>
                      </w:rPr>
                      <w:t>for</w:t>
                    </w:r>
                    <w:r>
                      <w:rPr>
                        <w:rFonts w:ascii="Arial"/>
                        <w:color w:val="231F20"/>
                        <w:spacing w:val="2"/>
                        <w:sz w:val="20"/>
                      </w:rPr>
                      <w:t> </w:t>
                    </w:r>
                    <w:r>
                      <w:rPr>
                        <w:rFonts w:ascii="Arial"/>
                        <w:color w:val="231F20"/>
                        <w:sz w:val="20"/>
                      </w:rPr>
                      <w:t>up</w:t>
                    </w:r>
                    <w:r>
                      <w:rPr>
                        <w:rFonts w:ascii="Arial"/>
                        <w:color w:val="231F20"/>
                        <w:spacing w:val="1"/>
                        <w:sz w:val="20"/>
                      </w:rPr>
                      <w:t> </w:t>
                    </w:r>
                    <w:r>
                      <w:rPr>
                        <w:rFonts w:ascii="Arial"/>
                        <w:color w:val="231F20"/>
                        <w:sz w:val="20"/>
                      </w:rPr>
                      <w:t>to</w:t>
                    </w:r>
                    <w:r>
                      <w:rPr>
                        <w:rFonts w:ascii="Arial"/>
                        <w:color w:val="231F20"/>
                        <w:spacing w:val="1"/>
                        <w:sz w:val="20"/>
                      </w:rPr>
                      <w:t> </w:t>
                    </w:r>
                    <w:r>
                      <w:rPr>
                        <w:rFonts w:ascii="Arial"/>
                        <w:color w:val="231F20"/>
                        <w:sz w:val="20"/>
                      </w:rPr>
                      <w:t>12</w:t>
                    </w:r>
                    <w:r>
                      <w:rPr>
                        <w:rFonts w:ascii="Arial"/>
                        <w:color w:val="231F20"/>
                        <w:spacing w:val="1"/>
                        <w:sz w:val="20"/>
                      </w:rPr>
                      <w:t> </w:t>
                    </w:r>
                    <w:r>
                      <w:rPr>
                        <w:rFonts w:ascii="Arial"/>
                        <w:color w:val="231F20"/>
                        <w:sz w:val="20"/>
                      </w:rPr>
                      <w:t>months.</w:t>
                    </w:r>
                    <w:r>
                      <w:rPr>
                        <w:rFonts w:ascii="Arial"/>
                        <w:color w:val="231F20"/>
                        <w:position w:val="7"/>
                        <w:sz w:val="11"/>
                      </w:rPr>
                      <w:t>15-19</w:t>
                    </w:r>
                  </w:p>
                </w:txbxContent>
              </v:textbox>
              <v:fill type="solid"/>
              <v:stroke dashstyle="solid"/>
              <w10:wrap type="none"/>
            </v:shape>
            <w10:wrap type="topAndBottom"/>
          </v:group>
        </w:pict>
      </w:r>
    </w:p>
    <w:p>
      <w:pPr>
        <w:spacing w:before="143"/>
        <w:ind w:left="160" w:right="0" w:firstLine="0"/>
        <w:jc w:val="left"/>
        <w:rPr>
          <w:rFonts w:ascii="Arial"/>
          <w:i/>
          <w:sz w:val="24"/>
        </w:rPr>
      </w:pPr>
      <w:r>
        <w:rPr>
          <w:rFonts w:ascii="Arial"/>
          <w:i/>
          <w:color w:val="1C384B"/>
          <w:sz w:val="24"/>
        </w:rPr>
        <w:t>Typical</w:t>
      </w:r>
      <w:r>
        <w:rPr>
          <w:rFonts w:ascii="Arial"/>
          <w:i/>
          <w:color w:val="1C384B"/>
          <w:spacing w:val="-9"/>
          <w:sz w:val="24"/>
        </w:rPr>
        <w:t> </w:t>
      </w:r>
      <w:r>
        <w:rPr>
          <w:rFonts w:ascii="Arial"/>
          <w:i/>
          <w:color w:val="1C384B"/>
          <w:sz w:val="24"/>
        </w:rPr>
        <w:t>Settings</w:t>
      </w:r>
    </w:p>
    <w:p>
      <w:pPr>
        <w:pStyle w:val="BodyText"/>
        <w:spacing w:line="266" w:lineRule="auto" w:before="183"/>
        <w:ind w:left="160" w:right="302"/>
      </w:pPr>
      <w:r>
        <w:rPr>
          <w:color w:val="231F20"/>
        </w:rPr>
        <w:t>Practitioners can implement practices designed to</w:t>
      </w:r>
      <w:r>
        <w:rPr>
          <w:color w:val="231F20"/>
          <w:spacing w:val="1"/>
        </w:rPr>
        <w:t> </w:t>
      </w:r>
      <w:r>
        <w:rPr>
          <w:color w:val="231F20"/>
          <w:spacing w:val="-2"/>
        </w:rPr>
        <w:t>increase PrEP uptake and adherence in diverse </w:t>
      </w:r>
      <w:r>
        <w:rPr>
          <w:color w:val="231F20"/>
          <w:spacing w:val="-1"/>
        </w:rPr>
        <w:t>mental</w:t>
      </w:r>
      <w:r>
        <w:rPr>
          <w:color w:val="231F20"/>
        </w:rPr>
        <w:t> </w:t>
      </w:r>
      <w:r>
        <w:rPr>
          <w:color w:val="231F20"/>
          <w:spacing w:val="-2"/>
        </w:rPr>
        <w:t>illness,</w:t>
      </w:r>
      <w:r>
        <w:rPr>
          <w:color w:val="231F20"/>
          <w:spacing w:val="-9"/>
        </w:rPr>
        <w:t> </w:t>
      </w:r>
      <w:r>
        <w:rPr>
          <w:color w:val="231F20"/>
          <w:spacing w:val="-2"/>
        </w:rPr>
        <w:t>SUD,</w:t>
      </w:r>
      <w:r>
        <w:rPr>
          <w:color w:val="231F20"/>
          <w:spacing w:val="-10"/>
        </w:rPr>
        <w:t> </w:t>
      </w:r>
      <w:r>
        <w:rPr>
          <w:color w:val="231F20"/>
          <w:spacing w:val="-1"/>
        </w:rPr>
        <w:t>and</w:t>
      </w:r>
      <w:r>
        <w:rPr>
          <w:color w:val="231F20"/>
          <w:spacing w:val="-9"/>
        </w:rPr>
        <w:t> </w:t>
      </w:r>
      <w:r>
        <w:rPr>
          <w:color w:val="231F20"/>
          <w:spacing w:val="-1"/>
        </w:rPr>
        <w:t>HIV</w:t>
      </w:r>
      <w:r>
        <w:rPr>
          <w:color w:val="231F20"/>
          <w:spacing w:val="-12"/>
        </w:rPr>
        <w:t> </w:t>
      </w:r>
      <w:r>
        <w:rPr>
          <w:color w:val="231F20"/>
          <w:spacing w:val="-1"/>
        </w:rPr>
        <w:t>treatment</w:t>
      </w:r>
      <w:r>
        <w:rPr>
          <w:color w:val="231F20"/>
          <w:spacing w:val="-9"/>
        </w:rPr>
        <w:t> </w:t>
      </w:r>
      <w:r>
        <w:rPr>
          <w:color w:val="231F20"/>
          <w:spacing w:val="-1"/>
        </w:rPr>
        <w:t>settings,</w:t>
      </w:r>
      <w:r>
        <w:rPr>
          <w:color w:val="231F20"/>
          <w:spacing w:val="-10"/>
        </w:rPr>
        <w:t> </w:t>
      </w:r>
      <w:r>
        <w:rPr>
          <w:color w:val="231F20"/>
          <w:spacing w:val="-1"/>
        </w:rPr>
        <w:t>including</w:t>
      </w:r>
      <w:r>
        <w:rPr>
          <w:color w:val="231F20"/>
          <w:spacing w:val="-9"/>
        </w:rPr>
        <w:t> </w:t>
      </w:r>
      <w:r>
        <w:rPr>
          <w:color w:val="231F20"/>
          <w:spacing w:val="-1"/>
        </w:rPr>
        <w:t>the</w:t>
      </w:r>
      <w:r>
        <w:rPr>
          <w:color w:val="231F20"/>
          <w:spacing w:val="-52"/>
        </w:rPr>
        <w:t> </w:t>
      </w:r>
      <w:r>
        <w:rPr>
          <w:color w:val="231F20"/>
        </w:rPr>
        <w:t>following:</w:t>
      </w:r>
    </w:p>
    <w:p>
      <w:pPr>
        <w:pStyle w:val="ListParagraph"/>
        <w:numPr>
          <w:ilvl w:val="0"/>
          <w:numId w:val="4"/>
        </w:numPr>
        <w:tabs>
          <w:tab w:pos="879" w:val="left" w:leader="none"/>
          <w:tab w:pos="880" w:val="left" w:leader="none"/>
        </w:tabs>
        <w:spacing w:line="249" w:lineRule="auto" w:before="145" w:after="0"/>
        <w:ind w:left="879" w:right="767" w:hanging="360"/>
        <w:jc w:val="left"/>
        <w:rPr>
          <w:rFonts w:ascii="Symbol" w:hAnsi="Symbol"/>
          <w:color w:val="010202"/>
          <w:sz w:val="22"/>
        </w:rPr>
      </w:pPr>
      <w:r>
        <w:rPr>
          <w:color w:val="010202"/>
          <w:sz w:val="22"/>
        </w:rPr>
        <w:t>Safety net health clinics focused on HIV</w:t>
      </w:r>
      <w:r>
        <w:rPr>
          <w:color w:val="010202"/>
          <w:spacing w:val="-52"/>
          <w:sz w:val="22"/>
        </w:rPr>
        <w:t> </w:t>
      </w:r>
      <w:r>
        <w:rPr>
          <w:color w:val="010202"/>
          <w:sz w:val="22"/>
        </w:rPr>
        <w:t>prevention</w:t>
      </w:r>
      <w:r>
        <w:rPr>
          <w:color w:val="010202"/>
          <w:spacing w:val="-1"/>
          <w:sz w:val="22"/>
        </w:rPr>
        <w:t> </w:t>
      </w:r>
      <w:r>
        <w:rPr>
          <w:color w:val="010202"/>
          <w:sz w:val="22"/>
        </w:rPr>
        <w:t>and</w:t>
      </w:r>
      <w:r>
        <w:rPr>
          <w:color w:val="010202"/>
          <w:spacing w:val="-1"/>
          <w:sz w:val="22"/>
        </w:rPr>
        <w:t> </w:t>
      </w:r>
      <w:r>
        <w:rPr>
          <w:color w:val="010202"/>
          <w:sz w:val="22"/>
        </w:rPr>
        <w:t>treatment</w:t>
      </w:r>
      <w:r>
        <w:rPr>
          <w:color w:val="010202"/>
          <w:sz w:val="22"/>
          <w:vertAlign w:val="superscript"/>
        </w:rPr>
        <w:t>18</w:t>
      </w:r>
    </w:p>
    <w:p>
      <w:pPr>
        <w:pStyle w:val="ListParagraph"/>
        <w:numPr>
          <w:ilvl w:val="0"/>
          <w:numId w:val="4"/>
        </w:numPr>
        <w:tabs>
          <w:tab w:pos="879" w:val="left" w:leader="none"/>
          <w:tab w:pos="880" w:val="left" w:leader="none"/>
        </w:tabs>
        <w:spacing w:line="254" w:lineRule="exact" w:before="0" w:after="0"/>
        <w:ind w:left="879" w:right="0" w:hanging="360"/>
        <w:jc w:val="left"/>
        <w:rPr>
          <w:rFonts w:ascii="Symbol" w:hAnsi="Symbol"/>
          <w:color w:val="010202"/>
          <w:sz w:val="22"/>
        </w:rPr>
      </w:pPr>
      <w:r>
        <w:rPr>
          <w:color w:val="010202"/>
          <w:sz w:val="22"/>
        </w:rPr>
        <w:t>Mobile</w:t>
      </w:r>
      <w:r>
        <w:rPr>
          <w:color w:val="010202"/>
          <w:spacing w:val="-2"/>
          <w:sz w:val="22"/>
        </w:rPr>
        <w:t> </w:t>
      </w:r>
      <w:r>
        <w:rPr>
          <w:color w:val="010202"/>
          <w:sz w:val="22"/>
        </w:rPr>
        <w:t>application</w:t>
      </w:r>
      <w:r>
        <w:rPr>
          <w:color w:val="010202"/>
          <w:spacing w:val="-1"/>
          <w:sz w:val="22"/>
        </w:rPr>
        <w:t> </w:t>
      </w:r>
      <w:r>
        <w:rPr>
          <w:color w:val="010202"/>
          <w:sz w:val="22"/>
        </w:rPr>
        <w:t>that</w:t>
      </w:r>
      <w:r>
        <w:rPr>
          <w:color w:val="010202"/>
          <w:spacing w:val="-1"/>
          <w:sz w:val="22"/>
        </w:rPr>
        <w:t> </w:t>
      </w:r>
      <w:r>
        <w:rPr>
          <w:color w:val="010202"/>
          <w:sz w:val="22"/>
        </w:rPr>
        <w:t>extends the</w:t>
      </w:r>
      <w:r>
        <w:rPr>
          <w:color w:val="010202"/>
          <w:spacing w:val="-1"/>
          <w:sz w:val="22"/>
        </w:rPr>
        <w:t> </w:t>
      </w:r>
      <w:r>
        <w:rPr>
          <w:color w:val="010202"/>
          <w:sz w:val="22"/>
        </w:rPr>
        <w:t>reach</w:t>
      </w:r>
      <w:r>
        <w:rPr>
          <w:color w:val="010202"/>
          <w:spacing w:val="-1"/>
          <w:sz w:val="22"/>
        </w:rPr>
        <w:t> </w:t>
      </w:r>
      <w:r>
        <w:rPr>
          <w:color w:val="010202"/>
          <w:sz w:val="22"/>
        </w:rPr>
        <w:t>of</w:t>
      </w:r>
    </w:p>
    <w:p>
      <w:pPr>
        <w:pStyle w:val="BodyText"/>
        <w:spacing w:line="251" w:lineRule="exact" w:before="11"/>
        <w:ind w:left="879"/>
      </w:pPr>
      <w:r>
        <w:rPr>
          <w:color w:val="010202"/>
          <w:spacing w:val="-1"/>
        </w:rPr>
        <w:t>PrEP</w:t>
      </w:r>
      <w:r>
        <w:rPr>
          <w:color w:val="010202"/>
          <w:spacing w:val="-13"/>
        </w:rPr>
        <w:t> </w:t>
      </w:r>
      <w:r>
        <w:rPr>
          <w:color w:val="010202"/>
          <w:spacing w:val="-1"/>
        </w:rPr>
        <w:t>support</w:t>
      </w:r>
      <w:r>
        <w:rPr>
          <w:color w:val="010202"/>
          <w:spacing w:val="-1"/>
          <w:vertAlign w:val="superscript"/>
        </w:rPr>
        <w:t>18</w:t>
      </w:r>
    </w:p>
    <w:p>
      <w:pPr>
        <w:pStyle w:val="ListParagraph"/>
        <w:numPr>
          <w:ilvl w:val="0"/>
          <w:numId w:val="4"/>
        </w:numPr>
        <w:tabs>
          <w:tab w:pos="879" w:val="left" w:leader="none"/>
          <w:tab w:pos="880" w:val="left" w:leader="none"/>
        </w:tabs>
        <w:spacing w:line="264" w:lineRule="exact" w:before="0" w:after="0"/>
        <w:ind w:left="879" w:right="0" w:hanging="360"/>
        <w:jc w:val="left"/>
        <w:rPr>
          <w:rFonts w:ascii="Symbol" w:hAnsi="Symbol"/>
          <w:color w:val="010202"/>
          <w:sz w:val="22"/>
        </w:rPr>
      </w:pPr>
      <w:r>
        <w:rPr>
          <w:color w:val="010202"/>
          <w:sz w:val="22"/>
        </w:rPr>
        <w:t>Methadone</w:t>
      </w:r>
      <w:r>
        <w:rPr>
          <w:color w:val="010202"/>
          <w:spacing w:val="-8"/>
          <w:sz w:val="22"/>
        </w:rPr>
        <w:t> </w:t>
      </w:r>
      <w:r>
        <w:rPr>
          <w:color w:val="010202"/>
          <w:sz w:val="22"/>
        </w:rPr>
        <w:t>maintenance</w:t>
      </w:r>
      <w:r>
        <w:rPr>
          <w:color w:val="010202"/>
          <w:spacing w:val="-7"/>
          <w:sz w:val="22"/>
        </w:rPr>
        <w:t> </w:t>
      </w:r>
      <w:r>
        <w:rPr>
          <w:color w:val="010202"/>
          <w:sz w:val="22"/>
        </w:rPr>
        <w:t>clinics</w:t>
      </w:r>
      <w:r>
        <w:rPr>
          <w:color w:val="010202"/>
          <w:sz w:val="22"/>
          <w:vertAlign w:val="superscript"/>
        </w:rPr>
        <w:t>19</w:t>
      </w:r>
    </w:p>
    <w:p>
      <w:pPr>
        <w:pStyle w:val="ListParagraph"/>
        <w:numPr>
          <w:ilvl w:val="0"/>
          <w:numId w:val="4"/>
        </w:numPr>
        <w:tabs>
          <w:tab w:pos="879" w:val="left" w:leader="none"/>
          <w:tab w:pos="880" w:val="left" w:leader="none"/>
        </w:tabs>
        <w:spacing w:line="249" w:lineRule="auto" w:before="0" w:after="0"/>
        <w:ind w:left="879" w:right="737" w:hanging="360"/>
        <w:jc w:val="left"/>
        <w:rPr>
          <w:rFonts w:ascii="Symbol" w:hAnsi="Symbol"/>
          <w:color w:val="010202"/>
          <w:sz w:val="22"/>
        </w:rPr>
      </w:pPr>
      <w:r>
        <w:rPr>
          <w:color w:val="010202"/>
          <w:sz w:val="22"/>
        </w:rPr>
        <w:t>Non-clinical testing centers; pharmacies;</w:t>
      </w:r>
      <w:r>
        <w:rPr>
          <w:color w:val="010202"/>
          <w:spacing w:val="-52"/>
          <w:sz w:val="22"/>
        </w:rPr>
        <w:t> </w:t>
      </w:r>
      <w:r>
        <w:rPr>
          <w:color w:val="010202"/>
          <w:sz w:val="22"/>
        </w:rPr>
        <w:t>community</w:t>
      </w:r>
      <w:r>
        <w:rPr>
          <w:color w:val="010202"/>
          <w:spacing w:val="-2"/>
          <w:sz w:val="22"/>
        </w:rPr>
        <w:t> </w:t>
      </w:r>
      <w:r>
        <w:rPr>
          <w:color w:val="010202"/>
          <w:sz w:val="22"/>
        </w:rPr>
        <w:t>health</w:t>
      </w:r>
      <w:r>
        <w:rPr>
          <w:color w:val="010202"/>
          <w:spacing w:val="-2"/>
          <w:sz w:val="22"/>
        </w:rPr>
        <w:t> </w:t>
      </w:r>
      <w:r>
        <w:rPr>
          <w:color w:val="010202"/>
          <w:sz w:val="22"/>
        </w:rPr>
        <w:t>centers</w:t>
      </w:r>
      <w:r>
        <w:rPr>
          <w:color w:val="010202"/>
          <w:sz w:val="22"/>
          <w:vertAlign w:val="superscript"/>
        </w:rPr>
        <w:t>15-17</w:t>
      </w:r>
    </w:p>
    <w:p>
      <w:pPr>
        <w:pStyle w:val="BodyText"/>
        <w:spacing w:before="8"/>
        <w:rPr>
          <w:sz w:val="23"/>
        </w:rPr>
      </w:pPr>
      <w:r>
        <w:rPr/>
        <w:pict>
          <v:group style="position:absolute;margin-left:36pt;margin-top:14.855505pt;width:252pt;height:67.45pt;mso-position-horizontal-relative:page;mso-position-vertical-relative:paragraph;z-index:-15707136;mso-wrap-distance-left:0;mso-wrap-distance-right:0" id="docshapegroup99" coordorigin="720,297" coordsize="5040,1349">
            <v:shape style="position:absolute;left:720;top:297;width:5040;height:1349" id="docshape100" coordorigin="720,297" coordsize="5040,1349" path="m5670,297l810,297,775,304,746,323,727,352,720,387,720,1556,727,1591,746,1620,775,1639,810,1646,5670,1646,5705,1639,5734,1620,5753,1591,5760,1556,5760,387,5753,352,5734,323,5705,304,5670,297xe" filled="true" fillcolor="#f7e0e0" stroked="false">
              <v:path arrowok="t"/>
              <v:fill type="solid"/>
            </v:shape>
            <v:shape style="position:absolute;left:720;top:297;width:5040;height:1349" type="#_x0000_t202" id="docshape101" filled="false" stroked="false">
              <v:textbox inset="0,0,0,0">
                <w:txbxContent>
                  <w:p>
                    <w:pPr>
                      <w:spacing w:line="259" w:lineRule="auto" w:before="136"/>
                      <w:ind w:left="180" w:right="170" w:firstLine="0"/>
                      <w:jc w:val="left"/>
                      <w:rPr>
                        <w:rFonts w:ascii="Arial"/>
                        <w:sz w:val="12"/>
                      </w:rPr>
                    </w:pPr>
                    <w:r>
                      <w:rPr>
                        <w:rFonts w:ascii="Arial"/>
                        <w:color w:val="010202"/>
                        <w:sz w:val="21"/>
                      </w:rPr>
                      <w:t>Safety-net clinics provide care to individuals who</w:t>
                    </w:r>
                    <w:r>
                      <w:rPr>
                        <w:rFonts w:ascii="Arial"/>
                        <w:color w:val="010202"/>
                        <w:spacing w:val="1"/>
                        <w:sz w:val="21"/>
                      </w:rPr>
                      <w:t> </w:t>
                    </w:r>
                    <w:r>
                      <w:rPr>
                        <w:rFonts w:ascii="Arial"/>
                        <w:color w:val="010202"/>
                        <w:sz w:val="21"/>
                      </w:rPr>
                      <w:t>have limited or no access to health care (as a</w:t>
                    </w:r>
                    <w:r>
                      <w:rPr>
                        <w:rFonts w:ascii="Arial"/>
                        <w:color w:val="010202"/>
                        <w:spacing w:val="1"/>
                        <w:sz w:val="21"/>
                      </w:rPr>
                      <w:t> </w:t>
                    </w:r>
                    <w:r>
                      <w:rPr>
                        <w:rFonts w:ascii="Arial"/>
                        <w:color w:val="010202"/>
                        <w:sz w:val="21"/>
                      </w:rPr>
                      <w:t>result</w:t>
                    </w:r>
                    <w:r>
                      <w:rPr>
                        <w:rFonts w:ascii="Arial"/>
                        <w:color w:val="010202"/>
                        <w:spacing w:val="-2"/>
                        <w:sz w:val="21"/>
                      </w:rPr>
                      <w:t> </w:t>
                    </w:r>
                    <w:r>
                      <w:rPr>
                        <w:rFonts w:ascii="Arial"/>
                        <w:color w:val="010202"/>
                        <w:sz w:val="21"/>
                      </w:rPr>
                      <w:t>of</w:t>
                    </w:r>
                    <w:r>
                      <w:rPr>
                        <w:rFonts w:ascii="Arial"/>
                        <w:color w:val="010202"/>
                        <w:spacing w:val="-3"/>
                        <w:sz w:val="21"/>
                      </w:rPr>
                      <w:t> </w:t>
                    </w:r>
                    <w:r>
                      <w:rPr>
                        <w:rFonts w:ascii="Arial"/>
                        <w:color w:val="010202"/>
                        <w:sz w:val="21"/>
                      </w:rPr>
                      <w:t>financial</w:t>
                    </w:r>
                    <w:r>
                      <w:rPr>
                        <w:rFonts w:ascii="Arial"/>
                        <w:color w:val="010202"/>
                        <w:spacing w:val="-2"/>
                        <w:sz w:val="21"/>
                      </w:rPr>
                      <w:t> </w:t>
                    </w:r>
                    <w:r>
                      <w:rPr>
                        <w:rFonts w:ascii="Arial"/>
                        <w:color w:val="010202"/>
                        <w:sz w:val="21"/>
                      </w:rPr>
                      <w:t>circumstances,</w:t>
                    </w:r>
                    <w:r>
                      <w:rPr>
                        <w:rFonts w:ascii="Arial"/>
                        <w:color w:val="010202"/>
                        <w:spacing w:val="-1"/>
                        <w:sz w:val="21"/>
                      </w:rPr>
                      <w:t> </w:t>
                    </w:r>
                    <w:r>
                      <w:rPr>
                        <w:rFonts w:ascii="Arial"/>
                        <w:color w:val="010202"/>
                        <w:sz w:val="21"/>
                      </w:rPr>
                      <w:t>insurance</w:t>
                    </w:r>
                    <w:r>
                      <w:rPr>
                        <w:rFonts w:ascii="Arial"/>
                        <w:color w:val="010202"/>
                        <w:spacing w:val="-3"/>
                        <w:sz w:val="21"/>
                      </w:rPr>
                      <w:t> </w:t>
                    </w:r>
                    <w:r>
                      <w:rPr>
                        <w:rFonts w:ascii="Arial"/>
                        <w:color w:val="010202"/>
                        <w:sz w:val="21"/>
                      </w:rPr>
                      <w:t>status,</w:t>
                    </w:r>
                    <w:r>
                      <w:rPr>
                        <w:rFonts w:ascii="Arial"/>
                        <w:color w:val="010202"/>
                        <w:spacing w:val="-55"/>
                        <w:sz w:val="21"/>
                      </w:rPr>
                      <w:t> </w:t>
                    </w:r>
                    <w:r>
                      <w:rPr>
                        <w:rFonts w:ascii="Arial"/>
                        <w:color w:val="010202"/>
                        <w:sz w:val="21"/>
                      </w:rPr>
                      <w:t>or</w:t>
                    </w:r>
                    <w:r>
                      <w:rPr>
                        <w:rFonts w:ascii="Arial"/>
                        <w:color w:val="010202"/>
                        <w:spacing w:val="-2"/>
                        <w:sz w:val="21"/>
                      </w:rPr>
                      <w:t> </w:t>
                    </w:r>
                    <w:r>
                      <w:rPr>
                        <w:rFonts w:ascii="Arial"/>
                        <w:color w:val="010202"/>
                        <w:sz w:val="21"/>
                      </w:rPr>
                      <w:t>health</w:t>
                    </w:r>
                    <w:r>
                      <w:rPr>
                        <w:rFonts w:ascii="Arial"/>
                        <w:color w:val="010202"/>
                        <w:spacing w:val="-1"/>
                        <w:sz w:val="21"/>
                      </w:rPr>
                      <w:t> </w:t>
                    </w:r>
                    <w:r>
                      <w:rPr>
                        <w:rFonts w:ascii="Arial"/>
                        <w:color w:val="010202"/>
                        <w:sz w:val="21"/>
                      </w:rPr>
                      <w:t>conditions).</w:t>
                    </w:r>
                    <w:r>
                      <w:rPr>
                        <w:rFonts w:ascii="Arial"/>
                        <w:color w:val="010202"/>
                        <w:position w:val="7"/>
                        <w:sz w:val="12"/>
                      </w:rPr>
                      <w:t>20</w:t>
                    </w:r>
                  </w:p>
                </w:txbxContent>
              </v:textbox>
              <w10:wrap type="none"/>
            </v:shape>
            <w10:wrap type="topAndBottom"/>
          </v:group>
        </w:pict>
      </w:r>
    </w:p>
    <w:p>
      <w:pPr>
        <w:pStyle w:val="BodyText"/>
        <w:spacing w:before="11"/>
      </w:pPr>
    </w:p>
    <w:p>
      <w:pPr>
        <w:pStyle w:val="Heading5"/>
        <w:rPr>
          <w:i/>
        </w:rPr>
      </w:pPr>
      <w:r>
        <w:rPr>
          <w:i/>
          <w:color w:val="1C384B"/>
        </w:rPr>
        <w:t>Demographic</w:t>
      </w:r>
      <w:r>
        <w:rPr>
          <w:i/>
          <w:color w:val="1C384B"/>
          <w:spacing w:val="-6"/>
        </w:rPr>
        <w:t> </w:t>
      </w:r>
      <w:r>
        <w:rPr>
          <w:i/>
          <w:color w:val="1C384B"/>
        </w:rPr>
        <w:t>Groups</w:t>
      </w:r>
    </w:p>
    <w:p>
      <w:pPr>
        <w:pStyle w:val="BodyText"/>
        <w:spacing w:before="184"/>
        <w:ind w:left="160"/>
      </w:pPr>
      <w:r>
        <w:rPr>
          <w:color w:val="231F20"/>
          <w:spacing w:val="-5"/>
        </w:rPr>
        <w:t>Several</w:t>
      </w:r>
      <w:r>
        <w:rPr>
          <w:color w:val="231F20"/>
          <w:spacing w:val="-9"/>
        </w:rPr>
        <w:t> </w:t>
      </w:r>
      <w:r>
        <w:rPr>
          <w:color w:val="231F20"/>
          <w:spacing w:val="-5"/>
        </w:rPr>
        <w:t>categories</w:t>
      </w:r>
      <w:r>
        <w:rPr>
          <w:color w:val="231F20"/>
          <w:spacing w:val="-9"/>
        </w:rPr>
        <w:t> </w:t>
      </w:r>
      <w:r>
        <w:rPr>
          <w:color w:val="231F20"/>
          <w:spacing w:val="-5"/>
        </w:rPr>
        <w:t>of</w:t>
      </w:r>
      <w:r>
        <w:rPr>
          <w:color w:val="231F20"/>
          <w:spacing w:val="-8"/>
        </w:rPr>
        <w:t> </w:t>
      </w:r>
      <w:r>
        <w:rPr>
          <w:color w:val="231F20"/>
          <w:spacing w:val="-5"/>
        </w:rPr>
        <w:t>people</w:t>
      </w:r>
      <w:r>
        <w:rPr>
          <w:color w:val="231F20"/>
          <w:spacing w:val="-9"/>
        </w:rPr>
        <w:t> </w:t>
      </w:r>
      <w:r>
        <w:rPr>
          <w:color w:val="231F20"/>
          <w:spacing w:val="-4"/>
        </w:rPr>
        <w:t>can</w:t>
      </w:r>
      <w:r>
        <w:rPr>
          <w:color w:val="231F20"/>
          <w:spacing w:val="-8"/>
        </w:rPr>
        <w:t> </w:t>
      </w:r>
      <w:r>
        <w:rPr>
          <w:color w:val="231F20"/>
          <w:spacing w:val="-4"/>
        </w:rPr>
        <w:t>benefit</w:t>
      </w:r>
      <w:r>
        <w:rPr>
          <w:color w:val="231F20"/>
          <w:spacing w:val="-9"/>
        </w:rPr>
        <w:t> </w:t>
      </w:r>
      <w:r>
        <w:rPr>
          <w:color w:val="231F20"/>
          <w:spacing w:val="-4"/>
        </w:rPr>
        <w:t>from</w:t>
      </w:r>
      <w:r>
        <w:rPr>
          <w:color w:val="231F20"/>
          <w:spacing w:val="-8"/>
        </w:rPr>
        <w:t> </w:t>
      </w:r>
      <w:r>
        <w:rPr>
          <w:color w:val="231F20"/>
          <w:spacing w:val="-4"/>
        </w:rPr>
        <w:t>practices</w:t>
      </w:r>
    </w:p>
    <w:p>
      <w:pPr>
        <w:pStyle w:val="BodyText"/>
        <w:spacing w:before="27"/>
        <w:ind w:left="160"/>
      </w:pPr>
      <w:r>
        <w:rPr>
          <w:color w:val="231F20"/>
          <w:spacing w:val="-5"/>
        </w:rPr>
        <w:t>designed</w:t>
      </w:r>
      <w:r>
        <w:rPr>
          <w:color w:val="231F20"/>
          <w:spacing w:val="-9"/>
        </w:rPr>
        <w:t> </w:t>
      </w:r>
      <w:r>
        <w:rPr>
          <w:color w:val="231F20"/>
          <w:spacing w:val="-5"/>
        </w:rPr>
        <w:t>to</w:t>
      </w:r>
      <w:r>
        <w:rPr>
          <w:color w:val="231F20"/>
          <w:spacing w:val="-9"/>
        </w:rPr>
        <w:t> </w:t>
      </w:r>
      <w:r>
        <w:rPr>
          <w:color w:val="231F20"/>
          <w:spacing w:val="-5"/>
        </w:rPr>
        <w:t>increase</w:t>
      </w:r>
      <w:r>
        <w:rPr>
          <w:color w:val="231F20"/>
          <w:spacing w:val="-9"/>
        </w:rPr>
        <w:t> </w:t>
      </w:r>
      <w:r>
        <w:rPr>
          <w:color w:val="231F20"/>
          <w:spacing w:val="-4"/>
        </w:rPr>
        <w:t>PrEP</w:t>
      </w:r>
      <w:r>
        <w:rPr>
          <w:color w:val="231F20"/>
          <w:spacing w:val="-17"/>
        </w:rPr>
        <w:t> </w:t>
      </w:r>
      <w:r>
        <w:rPr>
          <w:color w:val="231F20"/>
          <w:spacing w:val="-4"/>
        </w:rPr>
        <w:t>uptake</w:t>
      </w:r>
      <w:r>
        <w:rPr>
          <w:color w:val="231F20"/>
          <w:spacing w:val="-8"/>
        </w:rPr>
        <w:t> </w:t>
      </w:r>
      <w:r>
        <w:rPr>
          <w:color w:val="231F20"/>
          <w:spacing w:val="-4"/>
        </w:rPr>
        <w:t>and</w:t>
      </w:r>
      <w:r>
        <w:rPr>
          <w:color w:val="231F20"/>
          <w:spacing w:val="-9"/>
        </w:rPr>
        <w:t> </w:t>
      </w:r>
      <w:r>
        <w:rPr>
          <w:color w:val="231F20"/>
          <w:spacing w:val="-4"/>
        </w:rPr>
        <w:t>adherence,</w:t>
      </w:r>
      <w:r>
        <w:rPr>
          <w:color w:val="231F20"/>
          <w:spacing w:val="-9"/>
        </w:rPr>
        <w:t> </w:t>
      </w:r>
      <w:r>
        <w:rPr>
          <w:color w:val="231F20"/>
          <w:spacing w:val="-4"/>
        </w:rPr>
        <w:t>including:</w:t>
      </w:r>
    </w:p>
    <w:p>
      <w:pPr>
        <w:pStyle w:val="ListParagraph"/>
        <w:numPr>
          <w:ilvl w:val="0"/>
          <w:numId w:val="4"/>
        </w:numPr>
        <w:tabs>
          <w:tab w:pos="879" w:val="left" w:leader="none"/>
          <w:tab w:pos="880" w:val="left" w:leader="none"/>
        </w:tabs>
        <w:spacing w:line="249" w:lineRule="auto" w:before="175" w:after="0"/>
        <w:ind w:left="879" w:right="75" w:hanging="360"/>
        <w:jc w:val="left"/>
        <w:rPr>
          <w:rFonts w:ascii="Symbol" w:hAnsi="Symbol"/>
          <w:color w:val="010202"/>
          <w:sz w:val="22"/>
        </w:rPr>
      </w:pPr>
      <w:r>
        <w:rPr>
          <w:color w:val="010202"/>
          <w:sz w:val="22"/>
        </w:rPr>
        <w:t>Young</w:t>
      </w:r>
      <w:r>
        <w:rPr>
          <w:color w:val="010202"/>
          <w:spacing w:val="-4"/>
          <w:sz w:val="22"/>
        </w:rPr>
        <w:t> </w:t>
      </w:r>
      <w:r>
        <w:rPr>
          <w:color w:val="010202"/>
          <w:sz w:val="22"/>
        </w:rPr>
        <w:t>men</w:t>
      </w:r>
      <w:r>
        <w:rPr>
          <w:color w:val="010202"/>
          <w:spacing w:val="-3"/>
          <w:sz w:val="22"/>
        </w:rPr>
        <w:t> </w:t>
      </w:r>
      <w:r>
        <w:rPr>
          <w:color w:val="010202"/>
          <w:sz w:val="22"/>
        </w:rPr>
        <w:t>(mean</w:t>
      </w:r>
      <w:r>
        <w:rPr>
          <w:color w:val="010202"/>
          <w:spacing w:val="-4"/>
          <w:sz w:val="22"/>
        </w:rPr>
        <w:t> </w:t>
      </w:r>
      <w:r>
        <w:rPr>
          <w:color w:val="010202"/>
          <w:sz w:val="22"/>
        </w:rPr>
        <w:t>age</w:t>
      </w:r>
      <w:r>
        <w:rPr>
          <w:color w:val="010202"/>
          <w:spacing w:val="-3"/>
          <w:sz w:val="22"/>
        </w:rPr>
        <w:t> </w:t>
      </w:r>
      <w:r>
        <w:rPr>
          <w:color w:val="010202"/>
          <w:sz w:val="22"/>
        </w:rPr>
        <w:t>of</w:t>
      </w:r>
      <w:r>
        <w:rPr>
          <w:color w:val="010202"/>
          <w:spacing w:val="-3"/>
          <w:sz w:val="22"/>
        </w:rPr>
        <w:t> </w:t>
      </w:r>
      <w:r>
        <w:rPr>
          <w:color w:val="010202"/>
          <w:sz w:val="22"/>
        </w:rPr>
        <w:t>24)</w:t>
      </w:r>
      <w:r>
        <w:rPr>
          <w:color w:val="010202"/>
          <w:spacing w:val="-4"/>
          <w:sz w:val="22"/>
        </w:rPr>
        <w:t> </w:t>
      </w:r>
      <w:r>
        <w:rPr>
          <w:color w:val="010202"/>
          <w:sz w:val="22"/>
        </w:rPr>
        <w:t>who</w:t>
      </w:r>
      <w:r>
        <w:rPr>
          <w:color w:val="010202"/>
          <w:spacing w:val="-4"/>
          <w:sz w:val="22"/>
        </w:rPr>
        <w:t> </w:t>
      </w:r>
      <w:r>
        <w:rPr>
          <w:color w:val="010202"/>
          <w:sz w:val="22"/>
        </w:rPr>
        <w:t>have</w:t>
      </w:r>
      <w:r>
        <w:rPr>
          <w:color w:val="010202"/>
          <w:spacing w:val="-3"/>
          <w:sz w:val="22"/>
        </w:rPr>
        <w:t> </w:t>
      </w:r>
      <w:r>
        <w:rPr>
          <w:color w:val="010202"/>
          <w:sz w:val="22"/>
        </w:rPr>
        <w:t>sex</w:t>
      </w:r>
      <w:r>
        <w:rPr>
          <w:color w:val="010202"/>
          <w:spacing w:val="-5"/>
          <w:sz w:val="22"/>
        </w:rPr>
        <w:t> </w:t>
      </w:r>
      <w:r>
        <w:rPr>
          <w:color w:val="010202"/>
          <w:sz w:val="22"/>
        </w:rPr>
        <w:t>with</w:t>
      </w:r>
      <w:r>
        <w:rPr>
          <w:color w:val="010202"/>
          <w:spacing w:val="-52"/>
          <w:sz w:val="22"/>
        </w:rPr>
        <w:t> </w:t>
      </w:r>
      <w:r>
        <w:rPr>
          <w:color w:val="010202"/>
          <w:sz w:val="22"/>
        </w:rPr>
        <w:t>men</w:t>
      </w:r>
      <w:r>
        <w:rPr>
          <w:color w:val="010202"/>
          <w:spacing w:val="-1"/>
          <w:sz w:val="22"/>
        </w:rPr>
        <w:t> </w:t>
      </w:r>
      <w:r>
        <w:rPr>
          <w:color w:val="010202"/>
          <w:sz w:val="22"/>
        </w:rPr>
        <w:t>(MSM)</w:t>
      </w:r>
      <w:r>
        <w:rPr>
          <w:color w:val="010202"/>
          <w:sz w:val="22"/>
          <w:vertAlign w:val="superscript"/>
        </w:rPr>
        <w:t>19</w:t>
      </w:r>
    </w:p>
    <w:p>
      <w:pPr>
        <w:pStyle w:val="ListParagraph"/>
        <w:numPr>
          <w:ilvl w:val="0"/>
          <w:numId w:val="4"/>
        </w:numPr>
        <w:tabs>
          <w:tab w:pos="879" w:val="left" w:leader="none"/>
          <w:tab w:pos="880" w:val="left" w:leader="none"/>
        </w:tabs>
        <w:spacing w:line="254" w:lineRule="exact" w:before="0" w:after="0"/>
        <w:ind w:left="879" w:right="0" w:hanging="361"/>
        <w:jc w:val="left"/>
        <w:rPr>
          <w:rFonts w:ascii="Symbol" w:hAnsi="Symbol"/>
          <w:color w:val="010202"/>
          <w:sz w:val="22"/>
        </w:rPr>
      </w:pPr>
      <w:r>
        <w:rPr>
          <w:color w:val="010202"/>
          <w:sz w:val="22"/>
        </w:rPr>
        <w:t>Individuals</w:t>
      </w:r>
      <w:r>
        <w:rPr>
          <w:color w:val="010202"/>
          <w:spacing w:val="-3"/>
          <w:sz w:val="22"/>
        </w:rPr>
        <w:t> </w:t>
      </w:r>
      <w:r>
        <w:rPr>
          <w:color w:val="010202"/>
          <w:sz w:val="22"/>
        </w:rPr>
        <w:t>who</w:t>
      </w:r>
      <w:r>
        <w:rPr>
          <w:color w:val="010202"/>
          <w:spacing w:val="-3"/>
          <w:sz w:val="22"/>
        </w:rPr>
        <w:t> </w:t>
      </w:r>
      <w:r>
        <w:rPr>
          <w:color w:val="010202"/>
          <w:sz w:val="22"/>
        </w:rPr>
        <w:t>reported</w:t>
      </w:r>
      <w:r>
        <w:rPr>
          <w:color w:val="010202"/>
          <w:spacing w:val="-3"/>
          <w:sz w:val="22"/>
        </w:rPr>
        <w:t> </w:t>
      </w:r>
      <w:r>
        <w:rPr>
          <w:color w:val="010202"/>
          <w:sz w:val="22"/>
        </w:rPr>
        <w:t>recreational</w:t>
      </w:r>
      <w:r>
        <w:rPr>
          <w:color w:val="010202"/>
          <w:spacing w:val="-2"/>
          <w:sz w:val="22"/>
        </w:rPr>
        <w:t> </w:t>
      </w:r>
      <w:r>
        <w:rPr>
          <w:color w:val="010202"/>
          <w:sz w:val="22"/>
        </w:rPr>
        <w:t>drug</w:t>
      </w:r>
      <w:r>
        <w:rPr>
          <w:color w:val="010202"/>
          <w:spacing w:val="-3"/>
          <w:sz w:val="22"/>
        </w:rPr>
        <w:t> </w:t>
      </w:r>
      <w:r>
        <w:rPr>
          <w:color w:val="010202"/>
          <w:sz w:val="22"/>
        </w:rPr>
        <w:t>use</w:t>
      </w:r>
      <w:r>
        <w:rPr>
          <w:color w:val="010202"/>
          <w:sz w:val="22"/>
          <w:vertAlign w:val="superscript"/>
        </w:rPr>
        <w:t>19</w:t>
      </w:r>
    </w:p>
    <w:p>
      <w:pPr>
        <w:pStyle w:val="ListParagraph"/>
        <w:numPr>
          <w:ilvl w:val="0"/>
          <w:numId w:val="4"/>
        </w:numPr>
        <w:tabs>
          <w:tab w:pos="879" w:val="left" w:leader="none"/>
          <w:tab w:pos="880" w:val="left" w:leader="none"/>
        </w:tabs>
        <w:spacing w:line="249" w:lineRule="auto" w:before="100" w:after="0"/>
        <w:ind w:left="879" w:right="1036" w:hanging="360"/>
        <w:jc w:val="left"/>
        <w:rPr>
          <w:rFonts w:ascii="Symbol" w:hAnsi="Symbol"/>
          <w:color w:val="010202"/>
          <w:sz w:val="22"/>
        </w:rPr>
      </w:pPr>
      <w:r>
        <w:rPr>
          <w:color w:val="010202"/>
          <w:sz w:val="22"/>
        </w:rPr>
        <w:br w:type="column"/>
      </w:r>
      <w:r>
        <w:rPr>
          <w:color w:val="010202"/>
          <w:sz w:val="22"/>
        </w:rPr>
        <w:t>Individuals who reported binge drinking over</w:t>
      </w:r>
      <w:r>
        <w:rPr>
          <w:color w:val="010202"/>
          <w:spacing w:val="-52"/>
          <w:sz w:val="22"/>
        </w:rPr>
        <w:t> </w:t>
      </w:r>
      <w:r>
        <w:rPr>
          <w:color w:val="010202"/>
          <w:sz w:val="22"/>
        </w:rPr>
        <w:t>the</w:t>
      </w:r>
      <w:r>
        <w:rPr>
          <w:color w:val="010202"/>
          <w:spacing w:val="-1"/>
          <w:sz w:val="22"/>
        </w:rPr>
        <w:t> </w:t>
      </w:r>
      <w:r>
        <w:rPr>
          <w:color w:val="010202"/>
          <w:sz w:val="22"/>
        </w:rPr>
        <w:t>past 3 months</w:t>
      </w:r>
      <w:r>
        <w:rPr>
          <w:color w:val="010202"/>
          <w:sz w:val="22"/>
          <w:vertAlign w:val="superscript"/>
        </w:rPr>
        <w:t>19</w:t>
      </w:r>
    </w:p>
    <w:p>
      <w:pPr>
        <w:pStyle w:val="ListParagraph"/>
        <w:numPr>
          <w:ilvl w:val="0"/>
          <w:numId w:val="4"/>
        </w:numPr>
        <w:tabs>
          <w:tab w:pos="879" w:val="left" w:leader="none"/>
          <w:tab w:pos="880" w:val="left" w:leader="none"/>
        </w:tabs>
        <w:spacing w:line="251" w:lineRule="exact" w:before="0" w:after="0"/>
        <w:ind w:left="879" w:right="0" w:hanging="360"/>
        <w:jc w:val="left"/>
        <w:rPr>
          <w:rFonts w:ascii="Symbol" w:hAnsi="Symbol"/>
          <w:color w:val="010202"/>
          <w:sz w:val="22"/>
        </w:rPr>
      </w:pPr>
      <w:r>
        <w:rPr>
          <w:color w:val="010202"/>
          <w:sz w:val="22"/>
        </w:rPr>
        <w:t>PWID</w:t>
      </w:r>
      <w:r>
        <w:rPr>
          <w:color w:val="010202"/>
          <w:sz w:val="22"/>
          <w:vertAlign w:val="superscript"/>
        </w:rPr>
        <w:t>19</w:t>
      </w:r>
    </w:p>
    <w:p>
      <w:pPr>
        <w:pStyle w:val="ListParagraph"/>
        <w:numPr>
          <w:ilvl w:val="0"/>
          <w:numId w:val="4"/>
        </w:numPr>
        <w:tabs>
          <w:tab w:pos="879" w:val="left" w:leader="none"/>
          <w:tab w:pos="880" w:val="left" w:leader="none"/>
        </w:tabs>
        <w:spacing w:line="267" w:lineRule="exact" w:before="0" w:after="0"/>
        <w:ind w:left="879" w:right="0" w:hanging="360"/>
        <w:jc w:val="left"/>
        <w:rPr>
          <w:rFonts w:ascii="Symbol" w:hAnsi="Symbol"/>
          <w:color w:val="010202"/>
          <w:sz w:val="22"/>
        </w:rPr>
      </w:pPr>
      <w:r>
        <w:rPr>
          <w:color w:val="010202"/>
          <w:sz w:val="22"/>
        </w:rPr>
        <w:t>People</w:t>
      </w:r>
      <w:r>
        <w:rPr>
          <w:color w:val="010202"/>
          <w:spacing w:val="-5"/>
          <w:sz w:val="22"/>
        </w:rPr>
        <w:t> </w:t>
      </w:r>
      <w:r>
        <w:rPr>
          <w:color w:val="010202"/>
          <w:sz w:val="22"/>
        </w:rPr>
        <w:t>who</w:t>
      </w:r>
      <w:r>
        <w:rPr>
          <w:color w:val="010202"/>
          <w:spacing w:val="-4"/>
          <w:sz w:val="22"/>
        </w:rPr>
        <w:t> </w:t>
      </w:r>
      <w:r>
        <w:rPr>
          <w:color w:val="010202"/>
          <w:sz w:val="22"/>
        </w:rPr>
        <w:t>test</w:t>
      </w:r>
      <w:r>
        <w:rPr>
          <w:color w:val="010202"/>
          <w:spacing w:val="-4"/>
          <w:sz w:val="22"/>
        </w:rPr>
        <w:t> </w:t>
      </w:r>
      <w:r>
        <w:rPr>
          <w:color w:val="010202"/>
          <w:sz w:val="22"/>
        </w:rPr>
        <w:t>negative</w:t>
      </w:r>
      <w:r>
        <w:rPr>
          <w:color w:val="010202"/>
          <w:spacing w:val="-4"/>
          <w:sz w:val="22"/>
        </w:rPr>
        <w:t> </w:t>
      </w:r>
      <w:r>
        <w:rPr>
          <w:color w:val="010202"/>
          <w:sz w:val="22"/>
        </w:rPr>
        <w:t>for</w:t>
      </w:r>
      <w:r>
        <w:rPr>
          <w:color w:val="010202"/>
          <w:spacing w:val="-3"/>
          <w:sz w:val="22"/>
        </w:rPr>
        <w:t> </w:t>
      </w:r>
      <w:r>
        <w:rPr>
          <w:color w:val="010202"/>
          <w:sz w:val="22"/>
        </w:rPr>
        <w:t>HIV</w:t>
      </w:r>
      <w:r>
        <w:rPr>
          <w:color w:val="010202"/>
          <w:sz w:val="22"/>
          <w:vertAlign w:val="superscript"/>
        </w:rPr>
        <w:t>17</w:t>
      </w:r>
    </w:p>
    <w:p>
      <w:pPr>
        <w:pStyle w:val="BodyText"/>
        <w:spacing w:line="266" w:lineRule="auto" w:before="206"/>
        <w:ind w:left="160" w:right="911"/>
        <w:jc w:val="both"/>
      </w:pPr>
      <w:r>
        <w:rPr>
          <w:color w:val="231F20"/>
          <w:spacing w:val="-2"/>
        </w:rPr>
        <w:t>PrEP should not be prescribed to people with HIV </w:t>
      </w:r>
      <w:r>
        <w:rPr>
          <w:color w:val="231F20"/>
          <w:spacing w:val="-1"/>
        </w:rPr>
        <w:t>(as it</w:t>
      </w:r>
      <w:r>
        <w:rPr>
          <w:color w:val="231F20"/>
          <w:spacing w:val="-52"/>
        </w:rPr>
        <w:t> </w:t>
      </w:r>
      <w:r>
        <w:rPr>
          <w:color w:val="231F20"/>
          <w:spacing w:val="-1"/>
        </w:rPr>
        <w:t>is</w:t>
      </w:r>
      <w:r>
        <w:rPr>
          <w:color w:val="231F20"/>
          <w:spacing w:val="-12"/>
        </w:rPr>
        <w:t> </w:t>
      </w:r>
      <w:r>
        <w:rPr>
          <w:color w:val="231F20"/>
          <w:spacing w:val="-1"/>
        </w:rPr>
        <w:t>an</w:t>
      </w:r>
      <w:r>
        <w:rPr>
          <w:color w:val="231F20"/>
          <w:spacing w:val="-11"/>
        </w:rPr>
        <w:t> </w:t>
      </w:r>
      <w:r>
        <w:rPr>
          <w:color w:val="231F20"/>
          <w:spacing w:val="-1"/>
        </w:rPr>
        <w:t>inappropriate</w:t>
      </w:r>
      <w:r>
        <w:rPr>
          <w:color w:val="231F20"/>
          <w:spacing w:val="-11"/>
        </w:rPr>
        <w:t> </w:t>
      </w:r>
      <w:r>
        <w:rPr>
          <w:color w:val="231F20"/>
          <w:spacing w:val="-1"/>
        </w:rPr>
        <w:t>medical</w:t>
      </w:r>
      <w:r>
        <w:rPr>
          <w:color w:val="231F20"/>
          <w:spacing w:val="-11"/>
        </w:rPr>
        <w:t> </w:t>
      </w:r>
      <w:r>
        <w:rPr>
          <w:color w:val="231F20"/>
          <w:spacing w:val="-1"/>
        </w:rPr>
        <w:t>intervention</w:t>
      </w:r>
      <w:r>
        <w:rPr>
          <w:color w:val="231F20"/>
          <w:spacing w:val="-11"/>
        </w:rPr>
        <w:t> </w:t>
      </w:r>
      <w:r>
        <w:rPr>
          <w:color w:val="231F20"/>
        </w:rPr>
        <w:t>for</w:t>
      </w:r>
      <w:r>
        <w:rPr>
          <w:color w:val="231F20"/>
          <w:spacing w:val="-11"/>
        </w:rPr>
        <w:t> </w:t>
      </w:r>
      <w:r>
        <w:rPr>
          <w:color w:val="231F20"/>
        </w:rPr>
        <w:t>HIV)</w:t>
      </w:r>
      <w:r>
        <w:rPr>
          <w:color w:val="231F20"/>
          <w:spacing w:val="-12"/>
        </w:rPr>
        <w:t> </w:t>
      </w:r>
      <w:r>
        <w:rPr>
          <w:color w:val="231F20"/>
        </w:rPr>
        <w:t>and/or</w:t>
      </w:r>
      <w:r>
        <w:rPr>
          <w:color w:val="231F20"/>
          <w:spacing w:val="-53"/>
        </w:rPr>
        <w:t> </w:t>
      </w:r>
      <w:r>
        <w:rPr>
          <w:color w:val="231F20"/>
        </w:rPr>
        <w:t>people</w:t>
      </w:r>
      <w:r>
        <w:rPr>
          <w:color w:val="231F20"/>
          <w:spacing w:val="-8"/>
        </w:rPr>
        <w:t> </w:t>
      </w:r>
      <w:r>
        <w:rPr>
          <w:color w:val="231F20"/>
        </w:rPr>
        <w:t>with</w:t>
      </w:r>
      <w:r>
        <w:rPr>
          <w:color w:val="231F20"/>
          <w:spacing w:val="-9"/>
        </w:rPr>
        <w:t> </w:t>
      </w:r>
      <w:r>
        <w:rPr>
          <w:color w:val="231F20"/>
        </w:rPr>
        <w:t>severe</w:t>
      </w:r>
      <w:r>
        <w:rPr>
          <w:color w:val="231F20"/>
          <w:spacing w:val="-8"/>
        </w:rPr>
        <w:t> </w:t>
      </w:r>
      <w:r>
        <w:rPr>
          <w:color w:val="231F20"/>
        </w:rPr>
        <w:t>renal</w:t>
      </w:r>
      <w:r>
        <w:rPr>
          <w:color w:val="231F20"/>
          <w:spacing w:val="-8"/>
        </w:rPr>
        <w:t> </w:t>
      </w:r>
      <w:r>
        <w:rPr>
          <w:color w:val="231F20"/>
        </w:rPr>
        <w:t>insufficiency.</w:t>
      </w:r>
      <w:r>
        <w:rPr>
          <w:color w:val="231F20"/>
          <w:vertAlign w:val="superscript"/>
        </w:rPr>
        <w:t>10</w:t>
      </w:r>
    </w:p>
    <w:p>
      <w:pPr>
        <w:pStyle w:val="Heading5"/>
        <w:spacing w:before="166"/>
        <w:jc w:val="both"/>
        <w:rPr>
          <w:i/>
        </w:rPr>
      </w:pPr>
      <w:r>
        <w:rPr>
          <w:i/>
          <w:color w:val="1C384B"/>
        </w:rPr>
        <w:t>Practitioner</w:t>
      </w:r>
      <w:r>
        <w:rPr>
          <w:i/>
          <w:color w:val="1C384B"/>
          <w:spacing w:val="-9"/>
        </w:rPr>
        <w:t> </w:t>
      </w:r>
      <w:r>
        <w:rPr>
          <w:i/>
          <w:color w:val="1C384B"/>
        </w:rPr>
        <w:t>Types</w:t>
      </w:r>
    </w:p>
    <w:p>
      <w:pPr>
        <w:pStyle w:val="BodyText"/>
        <w:spacing w:line="266" w:lineRule="auto" w:before="184"/>
        <w:ind w:left="160" w:right="1135"/>
        <w:jc w:val="both"/>
      </w:pPr>
      <w:r>
        <w:rPr>
          <w:color w:val="231F20"/>
          <w:spacing w:val="-2"/>
        </w:rPr>
        <w:t>A</w:t>
      </w:r>
      <w:r>
        <w:rPr>
          <w:color w:val="231F20"/>
          <w:spacing w:val="-16"/>
        </w:rPr>
        <w:t> </w:t>
      </w:r>
      <w:r>
        <w:rPr>
          <w:color w:val="231F20"/>
          <w:spacing w:val="-2"/>
        </w:rPr>
        <w:t>diverse</w:t>
      </w:r>
      <w:r>
        <w:rPr>
          <w:color w:val="231F20"/>
          <w:spacing w:val="-3"/>
        </w:rPr>
        <w:t> </w:t>
      </w:r>
      <w:r>
        <w:rPr>
          <w:color w:val="231F20"/>
          <w:spacing w:val="-2"/>
        </w:rPr>
        <w:t>range of</w:t>
      </w:r>
      <w:r>
        <w:rPr>
          <w:color w:val="231F20"/>
          <w:spacing w:val="-3"/>
        </w:rPr>
        <w:t> </w:t>
      </w:r>
      <w:r>
        <w:rPr>
          <w:color w:val="231F20"/>
          <w:spacing w:val="-2"/>
        </w:rPr>
        <w:t>behavioral health practitioners</w:t>
      </w:r>
      <w:r>
        <w:rPr>
          <w:color w:val="231F20"/>
          <w:spacing w:val="-3"/>
        </w:rPr>
        <w:t> </w:t>
      </w:r>
      <w:r>
        <w:rPr>
          <w:color w:val="231F20"/>
          <w:spacing w:val="-1"/>
        </w:rPr>
        <w:t>and</w:t>
      </w:r>
      <w:r>
        <w:rPr>
          <w:color w:val="231F20"/>
          <w:spacing w:val="-52"/>
        </w:rPr>
        <w:t> </w:t>
      </w:r>
      <w:r>
        <w:rPr>
          <w:color w:val="231F20"/>
          <w:spacing w:val="-1"/>
        </w:rPr>
        <w:t>clinical</w:t>
      </w:r>
      <w:r>
        <w:rPr>
          <w:color w:val="231F20"/>
          <w:spacing w:val="-12"/>
        </w:rPr>
        <w:t> </w:t>
      </w:r>
      <w:r>
        <w:rPr>
          <w:color w:val="231F20"/>
          <w:spacing w:val="-1"/>
        </w:rPr>
        <w:t>providers</w:t>
      </w:r>
      <w:r>
        <w:rPr>
          <w:color w:val="231F20"/>
          <w:spacing w:val="-12"/>
        </w:rPr>
        <w:t> </w:t>
      </w:r>
      <w:r>
        <w:rPr>
          <w:color w:val="231F20"/>
          <w:spacing w:val="-1"/>
        </w:rPr>
        <w:t>can</w:t>
      </w:r>
      <w:r>
        <w:rPr>
          <w:color w:val="231F20"/>
          <w:spacing w:val="-12"/>
        </w:rPr>
        <w:t> </w:t>
      </w:r>
      <w:r>
        <w:rPr>
          <w:color w:val="231F20"/>
          <w:spacing w:val="-1"/>
        </w:rPr>
        <w:t>implement</w:t>
      </w:r>
      <w:r>
        <w:rPr>
          <w:color w:val="231F20"/>
          <w:spacing w:val="-12"/>
        </w:rPr>
        <w:t> </w:t>
      </w:r>
      <w:r>
        <w:rPr>
          <w:color w:val="231F20"/>
          <w:spacing w:val="-1"/>
        </w:rPr>
        <w:t>practices</w:t>
      </w:r>
      <w:r>
        <w:rPr>
          <w:color w:val="231F20"/>
          <w:spacing w:val="-12"/>
        </w:rPr>
        <w:t> </w:t>
      </w:r>
      <w:r>
        <w:rPr>
          <w:color w:val="231F20"/>
          <w:spacing w:val="-1"/>
        </w:rPr>
        <w:t>to</w:t>
      </w:r>
      <w:r>
        <w:rPr>
          <w:color w:val="231F20"/>
          <w:spacing w:val="-12"/>
        </w:rPr>
        <w:t> </w:t>
      </w:r>
      <w:r>
        <w:rPr>
          <w:color w:val="231F20"/>
          <w:spacing w:val="-1"/>
        </w:rPr>
        <w:t>increase</w:t>
      </w:r>
      <w:r>
        <w:rPr>
          <w:color w:val="231F20"/>
          <w:spacing w:val="-53"/>
        </w:rPr>
        <w:t> </w:t>
      </w:r>
      <w:r>
        <w:rPr>
          <w:color w:val="231F20"/>
          <w:spacing w:val="-2"/>
        </w:rPr>
        <w:t>PrEP</w:t>
      </w:r>
      <w:r>
        <w:rPr>
          <w:color w:val="231F20"/>
          <w:spacing w:val="-13"/>
        </w:rPr>
        <w:t> </w:t>
      </w:r>
      <w:r>
        <w:rPr>
          <w:color w:val="231F20"/>
          <w:spacing w:val="-2"/>
        </w:rPr>
        <w:t>uptake</w:t>
      </w:r>
      <w:r>
        <w:rPr>
          <w:color w:val="231F20"/>
          <w:spacing w:val="-4"/>
        </w:rPr>
        <w:t> </w:t>
      </w:r>
      <w:r>
        <w:rPr>
          <w:color w:val="231F20"/>
          <w:spacing w:val="-2"/>
        </w:rPr>
        <w:t>and</w:t>
      </w:r>
      <w:r>
        <w:rPr>
          <w:color w:val="231F20"/>
          <w:spacing w:val="-4"/>
        </w:rPr>
        <w:t> </w:t>
      </w:r>
      <w:r>
        <w:rPr>
          <w:color w:val="231F20"/>
          <w:spacing w:val="-2"/>
        </w:rPr>
        <w:t>adherence,</w:t>
      </w:r>
      <w:r>
        <w:rPr>
          <w:color w:val="231F20"/>
          <w:spacing w:val="-4"/>
        </w:rPr>
        <w:t> </w:t>
      </w:r>
      <w:r>
        <w:rPr>
          <w:color w:val="231F20"/>
          <w:spacing w:val="-2"/>
        </w:rPr>
        <w:t>including:</w:t>
      </w:r>
    </w:p>
    <w:p>
      <w:pPr>
        <w:pStyle w:val="ListParagraph"/>
        <w:numPr>
          <w:ilvl w:val="0"/>
          <w:numId w:val="4"/>
        </w:numPr>
        <w:tabs>
          <w:tab w:pos="879" w:val="left" w:leader="none"/>
          <w:tab w:pos="880" w:val="left" w:leader="none"/>
        </w:tabs>
        <w:spacing w:line="267" w:lineRule="exact" w:before="146" w:after="0"/>
        <w:ind w:left="879" w:right="0" w:hanging="361"/>
        <w:jc w:val="left"/>
        <w:rPr>
          <w:rFonts w:ascii="Symbol" w:hAnsi="Symbol"/>
          <w:color w:val="010202"/>
          <w:sz w:val="22"/>
        </w:rPr>
      </w:pPr>
      <w:r>
        <w:rPr>
          <w:color w:val="010202"/>
          <w:sz w:val="22"/>
        </w:rPr>
        <w:t>Clinic</w:t>
      </w:r>
      <w:r>
        <w:rPr>
          <w:color w:val="010202"/>
          <w:spacing w:val="-5"/>
          <w:sz w:val="22"/>
        </w:rPr>
        <w:t> </w:t>
      </w:r>
      <w:r>
        <w:rPr>
          <w:color w:val="010202"/>
          <w:sz w:val="22"/>
        </w:rPr>
        <w:t>and</w:t>
      </w:r>
      <w:r>
        <w:rPr>
          <w:color w:val="010202"/>
          <w:spacing w:val="-5"/>
          <w:sz w:val="22"/>
        </w:rPr>
        <w:t> </w:t>
      </w:r>
      <w:r>
        <w:rPr>
          <w:color w:val="010202"/>
          <w:sz w:val="22"/>
        </w:rPr>
        <w:t>research</w:t>
      </w:r>
      <w:r>
        <w:rPr>
          <w:color w:val="010202"/>
          <w:spacing w:val="-5"/>
          <w:sz w:val="22"/>
        </w:rPr>
        <w:t> </w:t>
      </w:r>
      <w:r>
        <w:rPr>
          <w:color w:val="010202"/>
          <w:sz w:val="22"/>
        </w:rPr>
        <w:t>staff</w:t>
      </w:r>
      <w:r>
        <w:rPr>
          <w:color w:val="010202"/>
          <w:sz w:val="22"/>
          <w:vertAlign w:val="superscript"/>
        </w:rPr>
        <w:t>18</w:t>
      </w:r>
    </w:p>
    <w:p>
      <w:pPr>
        <w:pStyle w:val="ListParagraph"/>
        <w:numPr>
          <w:ilvl w:val="0"/>
          <w:numId w:val="4"/>
        </w:numPr>
        <w:tabs>
          <w:tab w:pos="879" w:val="left" w:leader="none"/>
          <w:tab w:pos="880" w:val="left" w:leader="none"/>
        </w:tabs>
        <w:spacing w:line="264" w:lineRule="exact" w:before="0" w:after="0"/>
        <w:ind w:left="879" w:right="0" w:hanging="360"/>
        <w:jc w:val="left"/>
        <w:rPr>
          <w:rFonts w:ascii="Symbol" w:hAnsi="Symbol"/>
          <w:color w:val="010202"/>
          <w:sz w:val="22"/>
        </w:rPr>
      </w:pPr>
      <w:r>
        <w:rPr>
          <w:color w:val="010202"/>
          <w:sz w:val="22"/>
        </w:rPr>
        <w:t>Graduate-level</w:t>
      </w:r>
      <w:r>
        <w:rPr>
          <w:color w:val="010202"/>
          <w:spacing w:val="-9"/>
          <w:sz w:val="22"/>
        </w:rPr>
        <w:t> </w:t>
      </w:r>
      <w:r>
        <w:rPr>
          <w:color w:val="010202"/>
          <w:sz w:val="22"/>
        </w:rPr>
        <w:t>trained</w:t>
      </w:r>
      <w:r>
        <w:rPr>
          <w:color w:val="010202"/>
          <w:spacing w:val="-8"/>
          <w:sz w:val="22"/>
        </w:rPr>
        <w:t> </w:t>
      </w:r>
      <w:r>
        <w:rPr>
          <w:color w:val="010202"/>
          <w:sz w:val="22"/>
        </w:rPr>
        <w:t>facilitators</w:t>
      </w:r>
      <w:r>
        <w:rPr>
          <w:color w:val="010202"/>
          <w:sz w:val="22"/>
          <w:vertAlign w:val="superscript"/>
        </w:rPr>
        <w:t>19</w:t>
      </w:r>
    </w:p>
    <w:p>
      <w:pPr>
        <w:pStyle w:val="ListParagraph"/>
        <w:numPr>
          <w:ilvl w:val="0"/>
          <w:numId w:val="4"/>
        </w:numPr>
        <w:tabs>
          <w:tab w:pos="879" w:val="left" w:leader="none"/>
          <w:tab w:pos="880" w:val="left" w:leader="none"/>
        </w:tabs>
        <w:spacing w:line="267" w:lineRule="exact" w:before="0" w:after="0"/>
        <w:ind w:left="879" w:right="0" w:hanging="360"/>
        <w:jc w:val="left"/>
        <w:rPr>
          <w:rFonts w:ascii="Symbol" w:hAnsi="Symbol"/>
          <w:color w:val="010202"/>
          <w:sz w:val="22"/>
        </w:rPr>
      </w:pPr>
      <w:r>
        <w:rPr>
          <w:color w:val="010202"/>
          <w:sz w:val="22"/>
        </w:rPr>
        <w:t>Pharmacists</w:t>
      </w:r>
      <w:r>
        <w:rPr>
          <w:color w:val="010202"/>
          <w:sz w:val="22"/>
          <w:vertAlign w:val="superscript"/>
        </w:rPr>
        <w:t>15-17</w:t>
      </w:r>
    </w:p>
    <w:p>
      <w:pPr>
        <w:pStyle w:val="Heading5"/>
        <w:spacing w:before="194"/>
        <w:jc w:val="both"/>
        <w:rPr>
          <w:i/>
        </w:rPr>
      </w:pPr>
      <w:r>
        <w:rPr>
          <w:i/>
          <w:color w:val="1C384B"/>
        </w:rPr>
        <w:t>Intensity</w:t>
      </w:r>
      <w:r>
        <w:rPr>
          <w:i/>
          <w:color w:val="1C384B"/>
          <w:spacing w:val="-4"/>
        </w:rPr>
        <w:t> </w:t>
      </w:r>
      <w:r>
        <w:rPr>
          <w:i/>
          <w:color w:val="1C384B"/>
        </w:rPr>
        <w:t>and</w:t>
      </w:r>
      <w:r>
        <w:rPr>
          <w:i/>
          <w:color w:val="1C384B"/>
          <w:spacing w:val="-4"/>
        </w:rPr>
        <w:t> </w:t>
      </w:r>
      <w:r>
        <w:rPr>
          <w:i/>
          <w:color w:val="1C384B"/>
        </w:rPr>
        <w:t>Duration</w:t>
      </w:r>
    </w:p>
    <w:p>
      <w:pPr>
        <w:pStyle w:val="BodyText"/>
        <w:spacing w:line="266" w:lineRule="auto" w:before="184"/>
        <w:ind w:left="160" w:right="1024"/>
      </w:pPr>
      <w:r>
        <w:rPr>
          <w:color w:val="231F20"/>
          <w:w w:val="95"/>
        </w:rPr>
        <w:t>While</w:t>
      </w:r>
      <w:r>
        <w:rPr>
          <w:color w:val="231F20"/>
          <w:spacing w:val="6"/>
          <w:w w:val="95"/>
        </w:rPr>
        <w:t> </w:t>
      </w:r>
      <w:r>
        <w:rPr>
          <w:color w:val="231F20"/>
          <w:w w:val="95"/>
        </w:rPr>
        <w:t>PrEP</w:t>
      </w:r>
      <w:r>
        <w:rPr>
          <w:color w:val="231F20"/>
          <w:spacing w:val="-5"/>
          <w:w w:val="95"/>
        </w:rPr>
        <w:t> </w:t>
      </w:r>
      <w:r>
        <w:rPr>
          <w:color w:val="231F20"/>
          <w:w w:val="95"/>
        </w:rPr>
        <w:t>can</w:t>
      </w:r>
      <w:r>
        <w:rPr>
          <w:color w:val="231F20"/>
          <w:spacing w:val="6"/>
          <w:w w:val="95"/>
        </w:rPr>
        <w:t> </w:t>
      </w:r>
      <w:r>
        <w:rPr>
          <w:color w:val="231F20"/>
          <w:w w:val="95"/>
        </w:rPr>
        <w:t>be</w:t>
      </w:r>
      <w:r>
        <w:rPr>
          <w:color w:val="231F20"/>
          <w:spacing w:val="7"/>
          <w:w w:val="95"/>
        </w:rPr>
        <w:t> </w:t>
      </w:r>
      <w:r>
        <w:rPr>
          <w:color w:val="231F20"/>
          <w:w w:val="95"/>
        </w:rPr>
        <w:t>taken</w:t>
      </w:r>
      <w:r>
        <w:rPr>
          <w:color w:val="231F20"/>
          <w:spacing w:val="6"/>
          <w:w w:val="95"/>
        </w:rPr>
        <w:t> </w:t>
      </w:r>
      <w:r>
        <w:rPr>
          <w:color w:val="231F20"/>
          <w:w w:val="95"/>
        </w:rPr>
        <w:t>indefinitely,</w:t>
      </w:r>
      <w:r>
        <w:rPr>
          <w:color w:val="231F20"/>
          <w:spacing w:val="6"/>
          <w:w w:val="95"/>
        </w:rPr>
        <w:t> </w:t>
      </w:r>
      <w:r>
        <w:rPr>
          <w:color w:val="231F20"/>
          <w:w w:val="95"/>
        </w:rPr>
        <w:t>intensity</w:t>
      </w:r>
      <w:r>
        <w:rPr>
          <w:color w:val="231F20"/>
          <w:spacing w:val="6"/>
          <w:w w:val="95"/>
        </w:rPr>
        <w:t> </w:t>
      </w:r>
      <w:r>
        <w:rPr>
          <w:color w:val="231F20"/>
          <w:w w:val="95"/>
        </w:rPr>
        <w:t>and</w:t>
      </w:r>
      <w:r>
        <w:rPr>
          <w:color w:val="231F20"/>
          <w:spacing w:val="1"/>
          <w:w w:val="95"/>
        </w:rPr>
        <w:t> </w:t>
      </w:r>
      <w:r>
        <w:rPr>
          <w:color w:val="231F20"/>
          <w:spacing w:val="-2"/>
        </w:rPr>
        <w:t>duration</w:t>
      </w:r>
      <w:r>
        <w:rPr>
          <w:color w:val="231F20"/>
          <w:spacing w:val="-4"/>
        </w:rPr>
        <w:t> </w:t>
      </w:r>
      <w:r>
        <w:rPr>
          <w:color w:val="231F20"/>
          <w:spacing w:val="-2"/>
        </w:rPr>
        <w:t>of</w:t>
      </w:r>
      <w:r>
        <w:rPr>
          <w:color w:val="231F20"/>
          <w:spacing w:val="-3"/>
        </w:rPr>
        <w:t> </w:t>
      </w:r>
      <w:r>
        <w:rPr>
          <w:color w:val="231F20"/>
          <w:spacing w:val="-2"/>
        </w:rPr>
        <w:t>individual</w:t>
      </w:r>
      <w:r>
        <w:rPr>
          <w:color w:val="231F20"/>
          <w:spacing w:val="-3"/>
        </w:rPr>
        <w:t> </w:t>
      </w:r>
      <w:r>
        <w:rPr>
          <w:color w:val="231F20"/>
          <w:spacing w:val="-2"/>
        </w:rPr>
        <w:t>practices</w:t>
      </w:r>
      <w:r>
        <w:rPr>
          <w:color w:val="231F20"/>
          <w:spacing w:val="-4"/>
        </w:rPr>
        <w:t> </w:t>
      </w:r>
      <w:r>
        <w:rPr>
          <w:color w:val="231F20"/>
          <w:spacing w:val="-2"/>
        </w:rPr>
        <w:t>to</w:t>
      </w:r>
      <w:r>
        <w:rPr>
          <w:color w:val="231F20"/>
          <w:spacing w:val="-3"/>
        </w:rPr>
        <w:t> </w:t>
      </w:r>
      <w:r>
        <w:rPr>
          <w:color w:val="231F20"/>
          <w:spacing w:val="-2"/>
        </w:rPr>
        <w:t>support</w:t>
      </w:r>
      <w:r>
        <w:rPr>
          <w:color w:val="231F20"/>
          <w:spacing w:val="-4"/>
        </w:rPr>
        <w:t> </w:t>
      </w:r>
      <w:r>
        <w:rPr>
          <w:color w:val="231F20"/>
          <w:spacing w:val="-2"/>
        </w:rPr>
        <w:t>PrEP</w:t>
      </w:r>
      <w:r>
        <w:rPr>
          <w:color w:val="231F20"/>
          <w:spacing w:val="-13"/>
        </w:rPr>
        <w:t> </w:t>
      </w:r>
      <w:r>
        <w:rPr>
          <w:color w:val="231F20"/>
          <w:spacing w:val="-2"/>
        </w:rPr>
        <w:t>uptake</w:t>
      </w:r>
      <w:r>
        <w:rPr>
          <w:color w:val="231F20"/>
          <w:spacing w:val="-52"/>
        </w:rPr>
        <w:t> </w:t>
      </w:r>
      <w:r>
        <w:rPr>
          <w:color w:val="231F20"/>
        </w:rPr>
        <w:t>and</w:t>
      </w:r>
      <w:r>
        <w:rPr>
          <w:color w:val="231F20"/>
          <w:spacing w:val="-10"/>
        </w:rPr>
        <w:t> </w:t>
      </w:r>
      <w:r>
        <w:rPr>
          <w:color w:val="231F20"/>
        </w:rPr>
        <w:t>adherence</w:t>
      </w:r>
      <w:r>
        <w:rPr>
          <w:color w:val="231F20"/>
          <w:spacing w:val="-10"/>
        </w:rPr>
        <w:t> </w:t>
      </w:r>
      <w:r>
        <w:rPr>
          <w:color w:val="231F20"/>
        </w:rPr>
        <w:t>vary</w:t>
      </w:r>
      <w:r>
        <w:rPr>
          <w:color w:val="231F20"/>
          <w:spacing w:val="-9"/>
        </w:rPr>
        <w:t> </w:t>
      </w:r>
      <w:r>
        <w:rPr>
          <w:color w:val="231F20"/>
        </w:rPr>
        <w:t>depending</w:t>
      </w:r>
      <w:r>
        <w:rPr>
          <w:color w:val="231F20"/>
          <w:spacing w:val="-10"/>
        </w:rPr>
        <w:t> </w:t>
      </w:r>
      <w:r>
        <w:rPr>
          <w:color w:val="231F20"/>
        </w:rPr>
        <w:t>on</w:t>
      </w:r>
      <w:r>
        <w:rPr>
          <w:color w:val="231F20"/>
          <w:spacing w:val="-9"/>
        </w:rPr>
        <w:t> </w:t>
      </w:r>
      <w:r>
        <w:rPr>
          <w:color w:val="231F20"/>
        </w:rPr>
        <w:t>the</w:t>
      </w:r>
      <w:r>
        <w:rPr>
          <w:color w:val="231F20"/>
          <w:spacing w:val="-10"/>
        </w:rPr>
        <w:t> </w:t>
      </w:r>
      <w:r>
        <w:rPr>
          <w:color w:val="231F20"/>
        </w:rPr>
        <w:t>intervention.</w:t>
      </w:r>
    </w:p>
    <w:p>
      <w:pPr>
        <w:pStyle w:val="ListParagraph"/>
        <w:numPr>
          <w:ilvl w:val="0"/>
          <w:numId w:val="4"/>
        </w:numPr>
        <w:tabs>
          <w:tab w:pos="879" w:val="left" w:leader="none"/>
          <w:tab w:pos="880" w:val="left" w:leader="none"/>
        </w:tabs>
        <w:spacing w:line="249" w:lineRule="auto" w:before="146" w:after="0"/>
        <w:ind w:left="879" w:right="882" w:hanging="360"/>
        <w:jc w:val="left"/>
        <w:rPr>
          <w:rFonts w:ascii="Symbol" w:hAnsi="Symbol"/>
          <w:color w:val="010202"/>
          <w:sz w:val="22"/>
        </w:rPr>
      </w:pPr>
      <w:r>
        <w:rPr>
          <w:color w:val="010202"/>
          <w:sz w:val="22"/>
        </w:rPr>
        <w:t>PrEPMate includes daily text reminders to take</w:t>
      </w:r>
      <w:r>
        <w:rPr>
          <w:color w:val="010202"/>
          <w:spacing w:val="-52"/>
          <w:sz w:val="22"/>
        </w:rPr>
        <w:t> </w:t>
      </w:r>
      <w:r>
        <w:rPr>
          <w:color w:val="010202"/>
          <w:sz w:val="22"/>
        </w:rPr>
        <w:t>PrEP and weekly check-in texts about PrEP</w:t>
      </w:r>
      <w:r>
        <w:rPr>
          <w:color w:val="010202"/>
          <w:spacing w:val="1"/>
          <w:sz w:val="22"/>
        </w:rPr>
        <w:t> </w:t>
      </w:r>
      <w:r>
        <w:rPr>
          <w:color w:val="010202"/>
          <w:sz w:val="22"/>
        </w:rPr>
        <w:t>adherence, side effects, and attitudes around</w:t>
      </w:r>
      <w:r>
        <w:rPr>
          <w:color w:val="010202"/>
          <w:spacing w:val="1"/>
          <w:sz w:val="22"/>
        </w:rPr>
        <w:t> </w:t>
      </w:r>
      <w:r>
        <w:rPr>
          <w:color w:val="010202"/>
          <w:sz w:val="22"/>
        </w:rPr>
        <w:t>PrEP</w:t>
      </w:r>
      <w:r>
        <w:rPr>
          <w:color w:val="010202"/>
          <w:spacing w:val="-10"/>
          <w:sz w:val="22"/>
        </w:rPr>
        <w:t> </w:t>
      </w:r>
      <w:r>
        <w:rPr>
          <w:color w:val="010202"/>
          <w:sz w:val="22"/>
        </w:rPr>
        <w:t>sent</w:t>
      </w:r>
      <w:r>
        <w:rPr>
          <w:color w:val="010202"/>
          <w:spacing w:val="-3"/>
          <w:sz w:val="22"/>
        </w:rPr>
        <w:t> </w:t>
      </w:r>
      <w:r>
        <w:rPr>
          <w:color w:val="010202"/>
          <w:sz w:val="22"/>
        </w:rPr>
        <w:t>from</w:t>
      </w:r>
      <w:r>
        <w:rPr>
          <w:color w:val="010202"/>
          <w:spacing w:val="-1"/>
          <w:sz w:val="22"/>
        </w:rPr>
        <w:t> </w:t>
      </w:r>
      <w:r>
        <w:rPr>
          <w:color w:val="010202"/>
          <w:sz w:val="22"/>
        </w:rPr>
        <w:t>clinicians</w:t>
      </w:r>
      <w:r>
        <w:rPr>
          <w:color w:val="010202"/>
          <w:sz w:val="22"/>
          <w:vertAlign w:val="superscript"/>
        </w:rPr>
        <w:t>18-19</w:t>
      </w:r>
    </w:p>
    <w:p>
      <w:pPr>
        <w:pStyle w:val="ListParagraph"/>
        <w:numPr>
          <w:ilvl w:val="0"/>
          <w:numId w:val="4"/>
        </w:numPr>
        <w:tabs>
          <w:tab w:pos="879" w:val="left" w:leader="none"/>
          <w:tab w:pos="880" w:val="left" w:leader="none"/>
        </w:tabs>
        <w:spacing w:line="256" w:lineRule="exact" w:before="0" w:after="0"/>
        <w:ind w:left="879" w:right="0" w:hanging="360"/>
        <w:jc w:val="left"/>
        <w:rPr>
          <w:rFonts w:ascii="Symbol" w:hAnsi="Symbol"/>
          <w:color w:val="010202"/>
          <w:sz w:val="22"/>
        </w:rPr>
      </w:pPr>
      <w:r>
        <w:rPr>
          <w:color w:val="010202"/>
          <w:sz w:val="22"/>
        </w:rPr>
        <w:t>CHRP-BB</w:t>
      </w:r>
      <w:r>
        <w:rPr>
          <w:color w:val="010202"/>
          <w:spacing w:val="-2"/>
          <w:sz w:val="22"/>
        </w:rPr>
        <w:t> </w:t>
      </w:r>
      <w:r>
        <w:rPr>
          <w:color w:val="010202"/>
          <w:sz w:val="22"/>
        </w:rPr>
        <w:t>includes</w:t>
      </w:r>
      <w:r>
        <w:rPr>
          <w:color w:val="010202"/>
          <w:spacing w:val="-1"/>
          <w:sz w:val="22"/>
        </w:rPr>
        <w:t> </w:t>
      </w:r>
      <w:r>
        <w:rPr>
          <w:color w:val="010202"/>
          <w:sz w:val="22"/>
        </w:rPr>
        <w:t>four</w:t>
      </w:r>
      <w:r>
        <w:rPr>
          <w:color w:val="010202"/>
          <w:spacing w:val="-1"/>
          <w:sz w:val="22"/>
        </w:rPr>
        <w:t> </w:t>
      </w:r>
      <w:r>
        <w:rPr>
          <w:color w:val="010202"/>
          <w:sz w:val="22"/>
        </w:rPr>
        <w:t>50-minute</w:t>
      </w:r>
      <w:r>
        <w:rPr>
          <w:color w:val="010202"/>
          <w:spacing w:val="-1"/>
          <w:sz w:val="22"/>
        </w:rPr>
        <w:t> </w:t>
      </w:r>
      <w:r>
        <w:rPr>
          <w:color w:val="010202"/>
          <w:sz w:val="22"/>
        </w:rPr>
        <w:t>weekly</w:t>
      </w:r>
    </w:p>
    <w:p>
      <w:pPr>
        <w:pStyle w:val="BodyText"/>
        <w:spacing w:line="249" w:lineRule="auto" w:before="10"/>
        <w:ind w:left="879" w:right="811"/>
      </w:pPr>
      <w:r>
        <w:rPr>
          <w:color w:val="010202"/>
        </w:rPr>
        <w:t>group</w:t>
      </w:r>
      <w:r>
        <w:rPr>
          <w:color w:val="010202"/>
          <w:spacing w:val="6"/>
        </w:rPr>
        <w:t> </w:t>
      </w:r>
      <w:r>
        <w:rPr>
          <w:color w:val="010202"/>
        </w:rPr>
        <w:t>meetings</w:t>
      </w:r>
      <w:r>
        <w:rPr>
          <w:color w:val="010202"/>
          <w:spacing w:val="7"/>
        </w:rPr>
        <w:t> </w:t>
      </w:r>
      <w:r>
        <w:rPr>
          <w:color w:val="010202"/>
        </w:rPr>
        <w:t>that</w:t>
      </w:r>
      <w:r>
        <w:rPr>
          <w:color w:val="010202"/>
          <w:spacing w:val="6"/>
        </w:rPr>
        <w:t> </w:t>
      </w:r>
      <w:r>
        <w:rPr>
          <w:color w:val="010202"/>
        </w:rPr>
        <w:t>address</w:t>
      </w:r>
      <w:r>
        <w:rPr>
          <w:color w:val="010202"/>
          <w:spacing w:val="7"/>
        </w:rPr>
        <w:t> </w:t>
      </w:r>
      <w:r>
        <w:rPr>
          <w:color w:val="010202"/>
        </w:rPr>
        <w:t>behaviors</w:t>
      </w:r>
      <w:r>
        <w:rPr>
          <w:color w:val="010202"/>
          <w:spacing w:val="6"/>
        </w:rPr>
        <w:t> </w:t>
      </w:r>
      <w:r>
        <w:rPr>
          <w:color w:val="010202"/>
        </w:rPr>
        <w:t>related</w:t>
      </w:r>
      <w:r>
        <w:rPr>
          <w:color w:val="010202"/>
          <w:spacing w:val="1"/>
        </w:rPr>
        <w:t> </w:t>
      </w:r>
      <w:r>
        <w:rPr>
          <w:color w:val="010202"/>
        </w:rPr>
        <w:t>to increased risk of getting HIV and increased</w:t>
      </w:r>
      <w:r>
        <w:rPr>
          <w:color w:val="010202"/>
          <w:spacing w:val="1"/>
        </w:rPr>
        <w:t> </w:t>
      </w:r>
      <w:r>
        <w:rPr>
          <w:color w:val="010202"/>
        </w:rPr>
        <w:t>PrEP</w:t>
      </w:r>
      <w:r>
        <w:rPr>
          <w:color w:val="010202"/>
          <w:spacing w:val="-11"/>
        </w:rPr>
        <w:t> </w:t>
      </w:r>
      <w:r>
        <w:rPr>
          <w:color w:val="010202"/>
        </w:rPr>
        <w:t>adherence</w:t>
      </w:r>
      <w:r>
        <w:rPr>
          <w:color w:val="010202"/>
          <w:spacing w:val="-2"/>
        </w:rPr>
        <w:t> </w:t>
      </w:r>
      <w:r>
        <w:rPr>
          <w:color w:val="010202"/>
        </w:rPr>
        <w:t>and</w:t>
      </w:r>
      <w:r>
        <w:rPr>
          <w:color w:val="010202"/>
          <w:spacing w:val="-2"/>
        </w:rPr>
        <w:t> </w:t>
      </w:r>
      <w:r>
        <w:rPr>
          <w:color w:val="010202"/>
        </w:rPr>
        <w:t>daily</w:t>
      </w:r>
      <w:r>
        <w:rPr>
          <w:color w:val="010202"/>
          <w:spacing w:val="-2"/>
        </w:rPr>
        <w:t> </w:t>
      </w:r>
      <w:r>
        <w:rPr>
          <w:color w:val="010202"/>
        </w:rPr>
        <w:t>text</w:t>
      </w:r>
      <w:r>
        <w:rPr>
          <w:color w:val="010202"/>
          <w:spacing w:val="-2"/>
        </w:rPr>
        <w:t> </w:t>
      </w:r>
      <w:r>
        <w:rPr>
          <w:color w:val="010202"/>
        </w:rPr>
        <w:t>reminders</w:t>
      </w:r>
      <w:r>
        <w:rPr>
          <w:color w:val="010202"/>
          <w:spacing w:val="-2"/>
        </w:rPr>
        <w:t> </w:t>
      </w:r>
      <w:r>
        <w:rPr>
          <w:color w:val="010202"/>
        </w:rPr>
        <w:t>to</w:t>
      </w:r>
      <w:r>
        <w:rPr>
          <w:color w:val="010202"/>
          <w:spacing w:val="-2"/>
        </w:rPr>
        <w:t> </w:t>
      </w:r>
      <w:r>
        <w:rPr>
          <w:color w:val="010202"/>
        </w:rPr>
        <w:t>take</w:t>
      </w:r>
      <w:r>
        <w:rPr>
          <w:color w:val="010202"/>
          <w:spacing w:val="-52"/>
        </w:rPr>
        <w:t> </w:t>
      </w:r>
      <w:r>
        <w:rPr>
          <w:color w:val="010202"/>
        </w:rPr>
        <w:t>PrEP</w:t>
      </w:r>
      <w:r>
        <w:rPr>
          <w:color w:val="010202"/>
          <w:vertAlign w:val="superscript"/>
        </w:rPr>
        <w:t>19</w:t>
      </w:r>
    </w:p>
    <w:p>
      <w:pPr>
        <w:pStyle w:val="ListParagraph"/>
        <w:numPr>
          <w:ilvl w:val="0"/>
          <w:numId w:val="4"/>
        </w:numPr>
        <w:tabs>
          <w:tab w:pos="880" w:val="left" w:leader="none"/>
        </w:tabs>
        <w:spacing w:line="249" w:lineRule="auto" w:before="0" w:after="0"/>
        <w:ind w:left="879" w:right="1023" w:hanging="360"/>
        <w:jc w:val="both"/>
        <w:rPr>
          <w:rFonts w:ascii="Symbol" w:hAnsi="Symbol"/>
          <w:color w:val="010202"/>
          <w:sz w:val="22"/>
        </w:rPr>
      </w:pPr>
      <w:r>
        <w:rPr>
          <w:color w:val="010202"/>
          <w:sz w:val="22"/>
        </w:rPr>
        <w:t>P-PrEP includes same-day PrEP referral by a</w:t>
      </w:r>
      <w:r>
        <w:rPr>
          <w:color w:val="010202"/>
          <w:spacing w:val="-52"/>
          <w:sz w:val="22"/>
        </w:rPr>
        <w:t> </w:t>
      </w:r>
      <w:r>
        <w:rPr>
          <w:color w:val="010202"/>
          <w:sz w:val="22"/>
        </w:rPr>
        <w:t>pharmacist and follow-up appointment with a</w:t>
      </w:r>
      <w:r>
        <w:rPr>
          <w:color w:val="010202"/>
          <w:spacing w:val="-52"/>
          <w:sz w:val="22"/>
        </w:rPr>
        <w:t> </w:t>
      </w:r>
      <w:r>
        <w:rPr>
          <w:color w:val="010202"/>
          <w:sz w:val="22"/>
        </w:rPr>
        <w:t>clinician</w:t>
      </w:r>
      <w:r>
        <w:rPr>
          <w:color w:val="010202"/>
          <w:spacing w:val="-1"/>
          <w:sz w:val="22"/>
        </w:rPr>
        <w:t> </w:t>
      </w:r>
      <w:r>
        <w:rPr>
          <w:color w:val="010202"/>
          <w:sz w:val="22"/>
        </w:rPr>
        <w:t>within</w:t>
      </w:r>
      <w:r>
        <w:rPr>
          <w:color w:val="010202"/>
          <w:spacing w:val="-2"/>
          <w:sz w:val="22"/>
        </w:rPr>
        <w:t> </w:t>
      </w:r>
      <w:r>
        <w:rPr>
          <w:color w:val="010202"/>
          <w:sz w:val="22"/>
        </w:rPr>
        <w:t>6 weeks</w:t>
      </w:r>
      <w:r>
        <w:rPr>
          <w:color w:val="010202"/>
          <w:sz w:val="22"/>
          <w:vertAlign w:val="superscript"/>
        </w:rPr>
        <w:t>17</w:t>
      </w:r>
    </w:p>
    <w:p>
      <w:pPr>
        <w:spacing w:after="0" w:line="249" w:lineRule="auto"/>
        <w:jc w:val="both"/>
        <w:rPr>
          <w:rFonts w:ascii="Symbol" w:hAnsi="Symbol"/>
          <w:sz w:val="22"/>
        </w:rPr>
        <w:sectPr>
          <w:type w:val="continuous"/>
          <w:pgSz w:w="12240" w:h="15840"/>
          <w:pgMar w:header="0" w:footer="666" w:top="1500" w:bottom="0" w:left="560" w:right="0"/>
          <w:cols w:num="2" w:equalWidth="0">
            <w:col w:w="5218" w:space="542"/>
            <w:col w:w="5920"/>
          </w:cols>
        </w:sectPr>
      </w:pPr>
    </w:p>
    <w:p>
      <w:pPr>
        <w:pStyle w:val="BodyText"/>
        <w:rPr>
          <w:sz w:val="20"/>
        </w:rPr>
      </w:pPr>
    </w:p>
    <w:p>
      <w:pPr>
        <w:pStyle w:val="BodyText"/>
        <w:spacing w:before="6"/>
        <w:rPr>
          <w:sz w:val="10"/>
        </w:rPr>
      </w:pPr>
    </w:p>
    <w:p>
      <w:pPr>
        <w:pStyle w:val="BodyText"/>
        <w:spacing w:line="20" w:lineRule="exact"/>
        <w:ind w:left="160"/>
        <w:rPr>
          <w:sz w:val="2"/>
        </w:rPr>
      </w:pPr>
      <w:r>
        <w:rPr>
          <w:sz w:val="2"/>
        </w:rPr>
        <w:pict>
          <v:group style="width:540pt;height:1pt;mso-position-horizontal-relative:char;mso-position-vertical-relative:line" id="docshapegroup102" coordorigin="0,0" coordsize="10800,20">
            <v:line style="position:absolute" from="0,10" to="10800,10" stroked="true" strokeweight="1pt" strokecolor="#1c384b">
              <v:stroke dashstyle="solid"/>
            </v:line>
          </v:group>
        </w:pict>
      </w:r>
      <w:r>
        <w:rPr>
          <w:sz w:val="2"/>
        </w:rPr>
      </w:r>
    </w:p>
    <w:p>
      <w:pPr>
        <w:pStyle w:val="BodyText"/>
        <w:spacing w:before="1"/>
        <w:rPr>
          <w:sz w:val="6"/>
        </w:rPr>
      </w:pPr>
    </w:p>
    <w:p>
      <w:pPr>
        <w:spacing w:after="0"/>
        <w:rPr>
          <w:sz w:val="6"/>
        </w:rPr>
        <w:sectPr>
          <w:type w:val="continuous"/>
          <w:pgSz w:w="12240" w:h="15840"/>
          <w:pgMar w:header="0" w:footer="666" w:top="1500" w:bottom="0" w:left="560" w:right="0"/>
        </w:sectPr>
      </w:pPr>
    </w:p>
    <w:p>
      <w:pPr>
        <w:spacing w:before="41"/>
        <w:ind w:left="160" w:right="0" w:firstLine="0"/>
        <w:jc w:val="left"/>
        <w:rPr>
          <w:rFonts w:ascii="Arial"/>
          <w:b/>
          <w:sz w:val="22"/>
        </w:rPr>
      </w:pPr>
      <w:r>
        <w:rPr>
          <w:rFonts w:ascii="Arial"/>
          <w:b/>
          <w:color w:val="CE384B"/>
          <w:sz w:val="22"/>
        </w:rPr>
        <w:t>Syringe Services Programs (SSPs)</w:t>
      </w:r>
    </w:p>
    <w:p>
      <w:pPr>
        <w:pStyle w:val="BodyText"/>
        <w:spacing w:before="7"/>
        <w:rPr>
          <w:rFonts w:ascii="Arial"/>
          <w:b/>
          <w:sz w:val="19"/>
        </w:rPr>
      </w:pPr>
      <w:r>
        <w:rPr/>
        <w:drawing>
          <wp:anchor distT="0" distB="0" distL="0" distR="0" allowOverlap="1" layoutInCell="1" locked="0" behindDoc="0" simplePos="0" relativeHeight="44">
            <wp:simplePos x="0" y="0"/>
            <wp:positionH relativeFrom="page">
              <wp:posOffset>479291</wp:posOffset>
            </wp:positionH>
            <wp:positionV relativeFrom="paragraph">
              <wp:posOffset>158611</wp:posOffset>
            </wp:positionV>
            <wp:extent cx="2964406" cy="336804"/>
            <wp:effectExtent l="0" t="0" r="0" b="0"/>
            <wp:wrapTopAndBottom/>
            <wp:docPr id="29" name="image19.jpeg"/>
            <wp:cNvGraphicFramePr>
              <a:graphicFrameLocks noChangeAspect="1"/>
            </wp:cNvGraphicFramePr>
            <a:graphic>
              <a:graphicData uri="http://schemas.openxmlformats.org/drawingml/2006/picture">
                <pic:pic>
                  <pic:nvPicPr>
                    <pic:cNvPr id="30" name="image19.jpeg"/>
                    <pic:cNvPicPr/>
                  </pic:nvPicPr>
                  <pic:blipFill>
                    <a:blip r:embed="rId149" cstate="print"/>
                    <a:stretch>
                      <a:fillRect/>
                    </a:stretch>
                  </pic:blipFill>
                  <pic:spPr>
                    <a:xfrm>
                      <a:off x="0" y="0"/>
                      <a:ext cx="2964406" cy="336804"/>
                    </a:xfrm>
                    <a:prstGeom prst="rect">
                      <a:avLst/>
                    </a:prstGeom>
                  </pic:spPr>
                </pic:pic>
              </a:graphicData>
            </a:graphic>
          </wp:anchor>
        </w:drawing>
      </w:r>
    </w:p>
    <w:p>
      <w:pPr>
        <w:pStyle w:val="Heading5"/>
        <w:spacing w:before="190"/>
        <w:rPr>
          <w:i/>
        </w:rPr>
      </w:pPr>
      <w:r>
        <w:rPr>
          <w:i/>
          <w:color w:val="1C384B"/>
        </w:rPr>
        <w:t>Goal</w:t>
      </w:r>
    </w:p>
    <w:p>
      <w:pPr>
        <w:pStyle w:val="BodyText"/>
        <w:spacing w:line="266" w:lineRule="auto" w:before="184"/>
        <w:ind w:left="160" w:right="30"/>
      </w:pPr>
      <w:r>
        <w:rPr>
          <w:color w:val="231F20"/>
          <w:spacing w:val="-1"/>
        </w:rPr>
        <w:t>SSPs</w:t>
      </w:r>
      <w:r>
        <w:rPr>
          <w:color w:val="231F20"/>
          <w:spacing w:val="-13"/>
        </w:rPr>
        <w:t> </w:t>
      </w:r>
      <w:r>
        <w:rPr>
          <w:color w:val="231F20"/>
          <w:spacing w:val="-1"/>
        </w:rPr>
        <w:t>reduce</w:t>
      </w:r>
      <w:r>
        <w:rPr>
          <w:color w:val="231F20"/>
          <w:spacing w:val="-11"/>
        </w:rPr>
        <w:t> </w:t>
      </w:r>
      <w:r>
        <w:rPr>
          <w:color w:val="231F20"/>
          <w:spacing w:val="-1"/>
        </w:rPr>
        <w:t>the</w:t>
      </w:r>
      <w:r>
        <w:rPr>
          <w:color w:val="231F20"/>
          <w:spacing w:val="-12"/>
        </w:rPr>
        <w:t> </w:t>
      </w:r>
      <w:r>
        <w:rPr>
          <w:color w:val="231F20"/>
          <w:spacing w:val="-1"/>
        </w:rPr>
        <w:t>risk</w:t>
      </w:r>
      <w:r>
        <w:rPr>
          <w:color w:val="231F20"/>
          <w:spacing w:val="-11"/>
        </w:rPr>
        <w:t> </w:t>
      </w:r>
      <w:r>
        <w:rPr>
          <w:color w:val="231F20"/>
          <w:spacing w:val="-1"/>
        </w:rPr>
        <w:t>of</w:t>
      </w:r>
      <w:r>
        <w:rPr>
          <w:color w:val="231F20"/>
          <w:spacing w:val="-12"/>
        </w:rPr>
        <w:t> </w:t>
      </w:r>
      <w:r>
        <w:rPr>
          <w:color w:val="231F20"/>
          <w:spacing w:val="-1"/>
        </w:rPr>
        <w:t>infectious</w:t>
      </w:r>
      <w:r>
        <w:rPr>
          <w:color w:val="231F20"/>
          <w:spacing w:val="-12"/>
        </w:rPr>
        <w:t> </w:t>
      </w:r>
      <w:r>
        <w:rPr>
          <w:color w:val="231F20"/>
        </w:rPr>
        <w:t>disease</w:t>
      </w:r>
      <w:r>
        <w:rPr>
          <w:color w:val="231F20"/>
          <w:spacing w:val="-11"/>
        </w:rPr>
        <w:t> </w:t>
      </w:r>
      <w:r>
        <w:rPr>
          <w:color w:val="231F20"/>
        </w:rPr>
        <w:t>associated</w:t>
      </w:r>
      <w:r>
        <w:rPr>
          <w:color w:val="231F20"/>
          <w:spacing w:val="-12"/>
        </w:rPr>
        <w:t> </w:t>
      </w:r>
      <w:r>
        <w:rPr>
          <w:color w:val="231F20"/>
        </w:rPr>
        <w:t>with</w:t>
      </w:r>
      <w:r>
        <w:rPr>
          <w:color w:val="231F20"/>
          <w:spacing w:val="-52"/>
        </w:rPr>
        <w:t> </w:t>
      </w:r>
      <w:r>
        <w:rPr>
          <w:color w:val="231F20"/>
          <w:spacing w:val="-1"/>
        </w:rPr>
        <w:t>injection</w:t>
      </w:r>
      <w:r>
        <w:rPr>
          <w:color w:val="231F20"/>
          <w:spacing w:val="-12"/>
        </w:rPr>
        <w:t> </w:t>
      </w:r>
      <w:r>
        <w:rPr>
          <w:color w:val="231F20"/>
          <w:spacing w:val="-1"/>
        </w:rPr>
        <w:t>drug</w:t>
      </w:r>
      <w:r>
        <w:rPr>
          <w:color w:val="231F20"/>
          <w:spacing w:val="-12"/>
        </w:rPr>
        <w:t> </w:t>
      </w:r>
      <w:r>
        <w:rPr>
          <w:color w:val="231F20"/>
          <w:spacing w:val="-1"/>
        </w:rPr>
        <w:t>use</w:t>
      </w:r>
      <w:r>
        <w:rPr>
          <w:color w:val="231F20"/>
          <w:spacing w:val="-12"/>
        </w:rPr>
        <w:t> </w:t>
      </w:r>
      <w:r>
        <w:rPr>
          <w:color w:val="231F20"/>
          <w:spacing w:val="-1"/>
        </w:rPr>
        <w:t>through</w:t>
      </w:r>
      <w:r>
        <w:rPr>
          <w:color w:val="231F20"/>
          <w:spacing w:val="-11"/>
        </w:rPr>
        <w:t> </w:t>
      </w:r>
      <w:r>
        <w:rPr>
          <w:color w:val="231F20"/>
          <w:spacing w:val="-1"/>
        </w:rPr>
        <w:t>preventive</w:t>
      </w:r>
      <w:r>
        <w:rPr>
          <w:color w:val="231F20"/>
          <w:spacing w:val="-12"/>
        </w:rPr>
        <w:t> </w:t>
      </w:r>
      <w:r>
        <w:rPr>
          <w:color w:val="231F20"/>
          <w:spacing w:val="-1"/>
        </w:rPr>
        <w:t>services,</w:t>
      </w:r>
      <w:r>
        <w:rPr>
          <w:color w:val="231F20"/>
          <w:spacing w:val="-12"/>
        </w:rPr>
        <w:t> </w:t>
      </w:r>
      <w:r>
        <w:rPr>
          <w:color w:val="231F20"/>
        </w:rPr>
        <w:t>including</w:t>
      </w:r>
      <w:r>
        <w:rPr>
          <w:color w:val="231F20"/>
          <w:spacing w:val="1"/>
        </w:rPr>
        <w:t> </w:t>
      </w:r>
      <w:r>
        <w:rPr>
          <w:color w:val="231F20"/>
          <w:spacing w:val="-1"/>
        </w:rPr>
        <w:t>provision </w:t>
      </w:r>
      <w:r>
        <w:rPr>
          <w:color w:val="231F20"/>
        </w:rPr>
        <w:t>of sterile syringes, injection drug equipment,</w:t>
      </w:r>
      <w:r>
        <w:rPr>
          <w:color w:val="231F20"/>
          <w:spacing w:val="1"/>
        </w:rPr>
        <w:t> </w:t>
      </w:r>
      <w:r>
        <w:rPr>
          <w:color w:val="231F20"/>
        </w:rPr>
        <w:t>and</w:t>
      </w:r>
      <w:r>
        <w:rPr>
          <w:color w:val="231F20"/>
          <w:spacing w:val="-12"/>
        </w:rPr>
        <w:t> </w:t>
      </w:r>
      <w:r>
        <w:rPr>
          <w:color w:val="231F20"/>
        </w:rPr>
        <w:t>harm</w:t>
      </w:r>
      <w:r>
        <w:rPr>
          <w:color w:val="231F20"/>
          <w:spacing w:val="-11"/>
        </w:rPr>
        <w:t> </w:t>
      </w:r>
      <w:r>
        <w:rPr>
          <w:color w:val="231F20"/>
        </w:rPr>
        <w:t>reduction</w:t>
      </w:r>
      <w:r>
        <w:rPr>
          <w:color w:val="231F20"/>
          <w:spacing w:val="-11"/>
        </w:rPr>
        <w:t> </w:t>
      </w:r>
      <w:r>
        <w:rPr>
          <w:color w:val="231F20"/>
        </w:rPr>
        <w:t>education,</w:t>
      </w:r>
      <w:r>
        <w:rPr>
          <w:color w:val="231F20"/>
          <w:spacing w:val="-12"/>
        </w:rPr>
        <w:t> </w:t>
      </w:r>
      <w:r>
        <w:rPr>
          <w:color w:val="231F20"/>
        </w:rPr>
        <w:t>as</w:t>
      </w:r>
      <w:r>
        <w:rPr>
          <w:color w:val="231F20"/>
          <w:spacing w:val="-11"/>
        </w:rPr>
        <w:t> </w:t>
      </w:r>
      <w:r>
        <w:rPr>
          <w:color w:val="231F20"/>
        </w:rPr>
        <w:t>well</w:t>
      </w:r>
      <w:r>
        <w:rPr>
          <w:color w:val="231F20"/>
          <w:spacing w:val="-12"/>
        </w:rPr>
        <w:t> </w:t>
      </w:r>
      <w:r>
        <w:rPr>
          <w:color w:val="231F20"/>
        </w:rPr>
        <w:t>as</w:t>
      </w:r>
      <w:r>
        <w:rPr>
          <w:color w:val="231F20"/>
          <w:spacing w:val="-11"/>
        </w:rPr>
        <w:t> </w:t>
      </w:r>
      <w:r>
        <w:rPr>
          <w:color w:val="231F20"/>
        </w:rPr>
        <w:t>linkage</w:t>
      </w:r>
      <w:r>
        <w:rPr>
          <w:color w:val="231F20"/>
          <w:spacing w:val="-11"/>
        </w:rPr>
        <w:t> </w:t>
      </w:r>
      <w:r>
        <w:rPr>
          <w:color w:val="231F20"/>
        </w:rPr>
        <w:t>to</w:t>
      </w:r>
      <w:r>
        <w:rPr>
          <w:color w:val="231F20"/>
          <w:spacing w:val="-12"/>
        </w:rPr>
        <w:t> </w:t>
      </w:r>
      <w:r>
        <w:rPr>
          <w:color w:val="231F20"/>
        </w:rPr>
        <w:t>HIV</w:t>
      </w:r>
      <w:r>
        <w:rPr>
          <w:color w:val="231F20"/>
          <w:spacing w:val="1"/>
        </w:rPr>
        <w:t> </w:t>
      </w:r>
      <w:r>
        <w:rPr>
          <w:color w:val="231F20"/>
        </w:rPr>
        <w:t>and</w:t>
      </w:r>
      <w:r>
        <w:rPr>
          <w:color w:val="231F20"/>
          <w:spacing w:val="-8"/>
        </w:rPr>
        <w:t> </w:t>
      </w:r>
      <w:r>
        <w:rPr>
          <w:color w:val="231F20"/>
        </w:rPr>
        <w:t>mental</w:t>
      </w:r>
      <w:r>
        <w:rPr>
          <w:color w:val="231F20"/>
          <w:spacing w:val="-8"/>
        </w:rPr>
        <w:t> </w:t>
      </w:r>
      <w:r>
        <w:rPr>
          <w:color w:val="231F20"/>
        </w:rPr>
        <w:t>illness</w:t>
      </w:r>
      <w:r>
        <w:rPr>
          <w:color w:val="231F20"/>
          <w:spacing w:val="-8"/>
        </w:rPr>
        <w:t> </w:t>
      </w:r>
      <w:r>
        <w:rPr>
          <w:color w:val="231F20"/>
        </w:rPr>
        <w:t>and/or</w:t>
      </w:r>
      <w:r>
        <w:rPr>
          <w:color w:val="231F20"/>
          <w:spacing w:val="-8"/>
        </w:rPr>
        <w:t> </w:t>
      </w:r>
      <w:r>
        <w:rPr>
          <w:color w:val="231F20"/>
        </w:rPr>
        <w:t>SUD</w:t>
      </w:r>
      <w:r>
        <w:rPr>
          <w:color w:val="231F20"/>
          <w:spacing w:val="-9"/>
        </w:rPr>
        <w:t> </w:t>
      </w:r>
      <w:r>
        <w:rPr>
          <w:color w:val="231F20"/>
        </w:rPr>
        <w:t>treatment.</w:t>
      </w:r>
      <w:r>
        <w:rPr>
          <w:color w:val="231F20"/>
          <w:vertAlign w:val="superscript"/>
        </w:rPr>
        <w:t>21-23</w:t>
      </w:r>
    </w:p>
    <w:p>
      <w:pPr>
        <w:pStyle w:val="BodyText"/>
        <w:spacing w:before="176"/>
        <w:ind w:left="159"/>
      </w:pPr>
      <w:r>
        <w:rPr>
          <w:color w:val="231F20"/>
        </w:rPr>
        <w:t>Decades</w:t>
      </w:r>
      <w:r>
        <w:rPr>
          <w:color w:val="231F20"/>
          <w:spacing w:val="-4"/>
        </w:rPr>
        <w:t> </w:t>
      </w:r>
      <w:r>
        <w:rPr>
          <w:color w:val="231F20"/>
        </w:rPr>
        <w:t>of</w:t>
      </w:r>
      <w:r>
        <w:rPr>
          <w:color w:val="231F20"/>
          <w:spacing w:val="-2"/>
        </w:rPr>
        <w:t> </w:t>
      </w:r>
      <w:r>
        <w:rPr>
          <w:color w:val="231F20"/>
        </w:rPr>
        <w:t>research</w:t>
      </w:r>
      <w:r>
        <w:rPr>
          <w:color w:val="231F20"/>
          <w:spacing w:val="-3"/>
        </w:rPr>
        <w:t> </w:t>
      </w:r>
      <w:r>
        <w:rPr>
          <w:color w:val="231F20"/>
        </w:rPr>
        <w:t>demonstrate</w:t>
      </w:r>
      <w:r>
        <w:rPr>
          <w:color w:val="231F20"/>
          <w:spacing w:val="-2"/>
        </w:rPr>
        <w:t> </w:t>
      </w:r>
      <w:r>
        <w:rPr>
          <w:color w:val="231F20"/>
        </w:rPr>
        <w:t>the</w:t>
      </w:r>
      <w:r>
        <w:rPr>
          <w:color w:val="231F20"/>
          <w:spacing w:val="-3"/>
        </w:rPr>
        <w:t> </w:t>
      </w:r>
      <w:r>
        <w:rPr>
          <w:color w:val="231F20"/>
        </w:rPr>
        <w:t>efficacy</w:t>
      </w:r>
      <w:r>
        <w:rPr>
          <w:color w:val="231F20"/>
          <w:spacing w:val="-2"/>
        </w:rPr>
        <w:t> </w:t>
      </w:r>
      <w:r>
        <w:rPr>
          <w:color w:val="231F20"/>
        </w:rPr>
        <w:t>and</w:t>
      </w:r>
    </w:p>
    <w:p>
      <w:pPr>
        <w:pStyle w:val="BodyText"/>
        <w:spacing w:before="27"/>
        <w:ind w:left="159"/>
      </w:pPr>
      <w:r>
        <w:rPr>
          <w:color w:val="231F20"/>
        </w:rPr>
        <w:t>importance</w:t>
      </w:r>
      <w:r>
        <w:rPr>
          <w:color w:val="231F20"/>
          <w:spacing w:val="-1"/>
        </w:rPr>
        <w:t> </w:t>
      </w:r>
      <w:r>
        <w:rPr>
          <w:color w:val="231F20"/>
        </w:rPr>
        <w:t>of SSPs</w:t>
      </w:r>
      <w:r>
        <w:rPr>
          <w:color w:val="231F20"/>
          <w:spacing w:val="-2"/>
        </w:rPr>
        <w:t> </w:t>
      </w:r>
      <w:r>
        <w:rPr>
          <w:color w:val="231F20"/>
        </w:rPr>
        <w:t>in reducing the</w:t>
      </w:r>
      <w:r>
        <w:rPr>
          <w:color w:val="231F20"/>
          <w:spacing w:val="-1"/>
        </w:rPr>
        <w:t> </w:t>
      </w:r>
      <w:r>
        <w:rPr>
          <w:color w:val="231F20"/>
        </w:rPr>
        <w:t>transmission of</w:t>
      </w:r>
    </w:p>
    <w:p>
      <w:pPr>
        <w:pStyle w:val="BodyText"/>
        <w:spacing w:line="266" w:lineRule="auto" w:before="34"/>
        <w:ind w:left="159" w:right="798"/>
      </w:pPr>
      <w:r>
        <w:rPr/>
        <w:br w:type="column"/>
      </w:r>
      <w:r>
        <w:rPr>
          <w:color w:val="231F20"/>
        </w:rPr>
        <w:t>infectious diseases, including HIV and hepatitis C virus</w:t>
      </w:r>
      <w:r>
        <w:rPr>
          <w:color w:val="231F20"/>
          <w:spacing w:val="-52"/>
        </w:rPr>
        <w:t> </w:t>
      </w:r>
      <w:r>
        <w:rPr>
          <w:color w:val="231F20"/>
        </w:rPr>
        <w:t>(HCV).</w:t>
      </w:r>
      <w:r>
        <w:rPr>
          <w:color w:val="231F20"/>
          <w:vertAlign w:val="superscript"/>
        </w:rPr>
        <w:t>24</w:t>
      </w:r>
      <w:r>
        <w:rPr>
          <w:color w:val="231F20"/>
          <w:spacing w:val="-3"/>
          <w:vertAlign w:val="baseline"/>
        </w:rPr>
        <w:t> </w:t>
      </w:r>
      <w:r>
        <w:rPr>
          <w:color w:val="231F20"/>
          <w:vertAlign w:val="baseline"/>
        </w:rPr>
        <w:t>Due</w:t>
      </w:r>
      <w:r>
        <w:rPr>
          <w:color w:val="231F20"/>
          <w:spacing w:val="-2"/>
          <w:vertAlign w:val="baseline"/>
        </w:rPr>
        <w:t> </w:t>
      </w:r>
      <w:r>
        <w:rPr>
          <w:color w:val="231F20"/>
          <w:vertAlign w:val="baseline"/>
        </w:rPr>
        <w:t>to</w:t>
      </w:r>
      <w:r>
        <w:rPr>
          <w:color w:val="231F20"/>
          <w:spacing w:val="-2"/>
          <w:vertAlign w:val="baseline"/>
        </w:rPr>
        <w:t> </w:t>
      </w:r>
      <w:r>
        <w:rPr>
          <w:color w:val="231F20"/>
          <w:vertAlign w:val="baseline"/>
        </w:rPr>
        <w:t>concerns</w:t>
      </w:r>
      <w:r>
        <w:rPr>
          <w:color w:val="231F20"/>
          <w:spacing w:val="-3"/>
          <w:vertAlign w:val="baseline"/>
        </w:rPr>
        <w:t> </w:t>
      </w:r>
      <w:r>
        <w:rPr>
          <w:color w:val="231F20"/>
          <w:vertAlign w:val="baseline"/>
        </w:rPr>
        <w:t>raised</w:t>
      </w:r>
      <w:r>
        <w:rPr>
          <w:color w:val="231F20"/>
          <w:spacing w:val="-2"/>
          <w:vertAlign w:val="baseline"/>
        </w:rPr>
        <w:t> </w:t>
      </w:r>
      <w:r>
        <w:rPr>
          <w:color w:val="231F20"/>
          <w:vertAlign w:val="baseline"/>
        </w:rPr>
        <w:t>in</w:t>
      </w:r>
      <w:r>
        <w:rPr>
          <w:color w:val="231F20"/>
          <w:spacing w:val="-2"/>
          <w:vertAlign w:val="baseline"/>
        </w:rPr>
        <w:t> </w:t>
      </w:r>
      <w:r>
        <w:rPr>
          <w:color w:val="231F20"/>
          <w:vertAlign w:val="baseline"/>
        </w:rPr>
        <w:t>the</w:t>
      </w:r>
      <w:r>
        <w:rPr>
          <w:color w:val="231F20"/>
          <w:spacing w:val="-2"/>
          <w:vertAlign w:val="baseline"/>
        </w:rPr>
        <w:t> </w:t>
      </w:r>
      <w:r>
        <w:rPr>
          <w:color w:val="231F20"/>
          <w:vertAlign w:val="baseline"/>
        </w:rPr>
        <w:t>mid-1990s</w:t>
      </w:r>
      <w:r>
        <w:rPr>
          <w:color w:val="231F20"/>
          <w:spacing w:val="-2"/>
          <w:vertAlign w:val="baseline"/>
        </w:rPr>
        <w:t> </w:t>
      </w:r>
      <w:r>
        <w:rPr>
          <w:color w:val="231F20"/>
          <w:vertAlign w:val="baseline"/>
        </w:rPr>
        <w:t>about</w:t>
      </w:r>
      <w:r>
        <w:rPr>
          <w:color w:val="231F20"/>
          <w:spacing w:val="-52"/>
          <w:vertAlign w:val="baseline"/>
        </w:rPr>
        <w:t> </w:t>
      </w:r>
      <w:r>
        <w:rPr>
          <w:color w:val="231F20"/>
          <w:vertAlign w:val="baseline"/>
        </w:rPr>
        <w:t>the ethics of experimental design in SSP research,</w:t>
      </w:r>
      <w:r>
        <w:rPr>
          <w:color w:val="231F20"/>
          <w:vertAlign w:val="superscript"/>
        </w:rPr>
        <w:t>1-3</w:t>
      </w:r>
      <w:r>
        <w:rPr>
          <w:color w:val="231F20"/>
          <w:spacing w:val="1"/>
          <w:vertAlign w:val="baseline"/>
        </w:rPr>
        <w:t> </w:t>
      </w:r>
      <w:r>
        <w:rPr>
          <w:color w:val="231F20"/>
          <w:vertAlign w:val="baseline"/>
        </w:rPr>
        <w:t>researchers have had to rely on longitudinal and</w:t>
      </w:r>
      <w:r>
        <w:rPr>
          <w:color w:val="231F20"/>
          <w:spacing w:val="1"/>
          <w:vertAlign w:val="baseline"/>
        </w:rPr>
        <w:t> </w:t>
      </w:r>
      <w:r>
        <w:rPr>
          <w:color w:val="231F20"/>
          <w:vertAlign w:val="baseline"/>
        </w:rPr>
        <w:t>epidemiological approaches to understand the impact of</w:t>
      </w:r>
      <w:r>
        <w:rPr>
          <w:color w:val="231F20"/>
          <w:spacing w:val="-52"/>
          <w:vertAlign w:val="baseline"/>
        </w:rPr>
        <w:t> </w:t>
      </w:r>
      <w:r>
        <w:rPr>
          <w:color w:val="231F20"/>
          <w:vertAlign w:val="baseline"/>
        </w:rPr>
        <w:t>regular use of an SSP on reductions in harm associated</w:t>
      </w:r>
      <w:r>
        <w:rPr>
          <w:color w:val="231F20"/>
          <w:spacing w:val="1"/>
          <w:vertAlign w:val="baseline"/>
        </w:rPr>
        <w:t> </w:t>
      </w:r>
      <w:r>
        <w:rPr>
          <w:color w:val="231F20"/>
          <w:vertAlign w:val="baseline"/>
        </w:rPr>
        <w:t>with injection drug use, substance use frequency and</w:t>
      </w:r>
      <w:r>
        <w:rPr>
          <w:color w:val="231F20"/>
          <w:spacing w:val="1"/>
          <w:vertAlign w:val="baseline"/>
        </w:rPr>
        <w:t> </w:t>
      </w:r>
      <w:r>
        <w:rPr>
          <w:color w:val="231F20"/>
          <w:vertAlign w:val="baseline"/>
        </w:rPr>
        <w:t>treatment</w:t>
      </w:r>
      <w:r>
        <w:rPr>
          <w:color w:val="231F20"/>
          <w:spacing w:val="-2"/>
          <w:vertAlign w:val="baseline"/>
        </w:rPr>
        <w:t> </w:t>
      </w:r>
      <w:r>
        <w:rPr>
          <w:color w:val="231F20"/>
          <w:vertAlign w:val="baseline"/>
        </w:rPr>
        <w:t>enrollment,</w:t>
      </w:r>
      <w:r>
        <w:rPr>
          <w:color w:val="231F20"/>
          <w:spacing w:val="-1"/>
          <w:vertAlign w:val="baseline"/>
        </w:rPr>
        <w:t> </w:t>
      </w:r>
      <w:r>
        <w:rPr>
          <w:color w:val="231F20"/>
          <w:vertAlign w:val="baseline"/>
        </w:rPr>
        <w:t>and</w:t>
      </w:r>
      <w:r>
        <w:rPr>
          <w:color w:val="231F20"/>
          <w:spacing w:val="-1"/>
          <w:vertAlign w:val="baseline"/>
        </w:rPr>
        <w:t> </w:t>
      </w:r>
      <w:r>
        <w:rPr>
          <w:color w:val="231F20"/>
          <w:vertAlign w:val="baseline"/>
        </w:rPr>
        <w:t>HIV</w:t>
      </w:r>
      <w:r>
        <w:rPr>
          <w:color w:val="231F20"/>
          <w:spacing w:val="-6"/>
          <w:vertAlign w:val="baseline"/>
        </w:rPr>
        <w:t> </w:t>
      </w:r>
      <w:r>
        <w:rPr>
          <w:color w:val="231F20"/>
          <w:vertAlign w:val="baseline"/>
        </w:rPr>
        <w:t>incidence</w:t>
      </w:r>
      <w:r>
        <w:rPr>
          <w:color w:val="231F20"/>
          <w:spacing w:val="-1"/>
          <w:vertAlign w:val="baseline"/>
        </w:rPr>
        <w:t> </w:t>
      </w:r>
      <w:r>
        <w:rPr>
          <w:color w:val="231F20"/>
          <w:vertAlign w:val="baseline"/>
        </w:rPr>
        <w:t>among</w:t>
      </w:r>
      <w:r>
        <w:rPr>
          <w:color w:val="231F20"/>
          <w:spacing w:val="-1"/>
          <w:vertAlign w:val="baseline"/>
        </w:rPr>
        <w:t> </w:t>
      </w:r>
      <w:r>
        <w:rPr>
          <w:color w:val="231F20"/>
          <w:vertAlign w:val="baseline"/>
        </w:rPr>
        <w:t>PWID.</w:t>
      </w:r>
    </w:p>
    <w:p>
      <w:pPr>
        <w:pStyle w:val="BodyText"/>
        <w:spacing w:line="266" w:lineRule="auto" w:before="174"/>
        <w:ind w:left="159" w:right="733"/>
      </w:pPr>
      <w:r>
        <w:rPr>
          <w:color w:val="231F20"/>
        </w:rPr>
        <w:t>SSPs have been shown to reduce HIV and HCV</w:t>
      </w:r>
      <w:r>
        <w:rPr>
          <w:color w:val="231F20"/>
          <w:spacing w:val="1"/>
        </w:rPr>
        <w:t> </w:t>
      </w:r>
      <w:r>
        <w:rPr>
          <w:color w:val="231F20"/>
        </w:rPr>
        <w:t>incidence by approximately 50 percent and are a key</w:t>
      </w:r>
      <w:r>
        <w:rPr>
          <w:color w:val="231F20"/>
          <w:spacing w:val="1"/>
        </w:rPr>
        <w:t> </w:t>
      </w:r>
      <w:r>
        <w:rPr>
          <w:color w:val="231F20"/>
          <w:w w:val="95"/>
        </w:rPr>
        <w:t>practice</w:t>
      </w:r>
      <w:r>
        <w:rPr>
          <w:color w:val="231F20"/>
          <w:spacing w:val="29"/>
          <w:w w:val="95"/>
        </w:rPr>
        <w:t> </w:t>
      </w:r>
      <w:r>
        <w:rPr>
          <w:color w:val="231F20"/>
          <w:w w:val="95"/>
        </w:rPr>
        <w:t>identified</w:t>
      </w:r>
      <w:r>
        <w:rPr>
          <w:color w:val="231F20"/>
          <w:spacing w:val="30"/>
          <w:w w:val="95"/>
        </w:rPr>
        <w:t> </w:t>
      </w:r>
      <w:r>
        <w:rPr>
          <w:color w:val="231F20"/>
          <w:w w:val="95"/>
        </w:rPr>
        <w:t>in</w:t>
      </w:r>
      <w:r>
        <w:rPr>
          <w:color w:val="231F20"/>
          <w:spacing w:val="29"/>
          <w:w w:val="95"/>
        </w:rPr>
        <w:t> </w:t>
      </w:r>
      <w:r>
        <w:rPr>
          <w:color w:val="231F20"/>
          <w:w w:val="95"/>
        </w:rPr>
        <w:t>the</w:t>
      </w:r>
      <w:r>
        <w:rPr>
          <w:color w:val="231F20"/>
          <w:spacing w:val="30"/>
          <w:w w:val="95"/>
        </w:rPr>
        <w:t> </w:t>
      </w:r>
      <w:r>
        <w:rPr>
          <w:color w:val="231F20"/>
          <w:w w:val="95"/>
        </w:rPr>
        <w:t>EHE</w:t>
      </w:r>
      <w:r>
        <w:rPr>
          <w:color w:val="231F20"/>
          <w:spacing w:val="29"/>
          <w:w w:val="95"/>
        </w:rPr>
        <w:t> </w:t>
      </w:r>
      <w:r>
        <w:rPr>
          <w:color w:val="231F20"/>
          <w:w w:val="95"/>
        </w:rPr>
        <w:t>initiative.</w:t>
      </w:r>
      <w:r>
        <w:rPr>
          <w:color w:val="231F20"/>
          <w:w w:val="95"/>
          <w:vertAlign w:val="superscript"/>
        </w:rPr>
        <w:t>25-26</w:t>
      </w:r>
      <w:r>
        <w:rPr>
          <w:color w:val="231F20"/>
          <w:spacing w:val="11"/>
          <w:w w:val="95"/>
          <w:vertAlign w:val="baseline"/>
        </w:rPr>
        <w:t> </w:t>
      </w:r>
      <w:r>
        <w:rPr>
          <w:color w:val="231F20"/>
          <w:w w:val="95"/>
          <w:vertAlign w:val="baseline"/>
        </w:rPr>
        <w:t>Additionally,</w:t>
      </w:r>
      <w:r>
        <w:rPr>
          <w:color w:val="231F20"/>
          <w:spacing w:val="-50"/>
          <w:w w:val="95"/>
          <w:vertAlign w:val="baseline"/>
        </w:rPr>
        <w:t> </w:t>
      </w:r>
      <w:r>
        <w:rPr>
          <w:color w:val="231F20"/>
          <w:vertAlign w:val="baseline"/>
        </w:rPr>
        <w:t>SSPs have been effective in engaging hard to reach</w:t>
      </w:r>
      <w:r>
        <w:rPr>
          <w:color w:val="231F20"/>
          <w:spacing w:val="1"/>
          <w:vertAlign w:val="baseline"/>
        </w:rPr>
        <w:t> </w:t>
      </w:r>
      <w:r>
        <w:rPr>
          <w:color w:val="231F20"/>
          <w:vertAlign w:val="baseline"/>
        </w:rPr>
        <w:t>populations,</w:t>
      </w:r>
      <w:r>
        <w:rPr>
          <w:color w:val="231F20"/>
          <w:spacing w:val="-1"/>
          <w:vertAlign w:val="baseline"/>
        </w:rPr>
        <w:t> </w:t>
      </w:r>
      <w:r>
        <w:rPr>
          <w:color w:val="231F20"/>
          <w:vertAlign w:val="baseline"/>
        </w:rPr>
        <w:t>as SSPs</w:t>
      </w:r>
      <w:r>
        <w:rPr>
          <w:color w:val="231F20"/>
          <w:spacing w:val="-1"/>
          <w:vertAlign w:val="baseline"/>
        </w:rPr>
        <w:t> </w:t>
      </w:r>
      <w:r>
        <w:rPr>
          <w:color w:val="231F20"/>
          <w:vertAlign w:val="baseline"/>
        </w:rPr>
        <w:t>reduce typical</w:t>
      </w:r>
      <w:r>
        <w:rPr>
          <w:color w:val="231F20"/>
          <w:spacing w:val="-1"/>
          <w:vertAlign w:val="baseline"/>
        </w:rPr>
        <w:t> </w:t>
      </w:r>
      <w:r>
        <w:rPr>
          <w:color w:val="231F20"/>
          <w:vertAlign w:val="baseline"/>
        </w:rPr>
        <w:t>barriers to entry</w:t>
      </w:r>
    </w:p>
    <w:p>
      <w:pPr>
        <w:spacing w:after="0" w:line="266" w:lineRule="auto"/>
        <w:sectPr>
          <w:type w:val="continuous"/>
          <w:pgSz w:w="12240" w:h="15840"/>
          <w:pgMar w:header="0" w:footer="666" w:top="1500" w:bottom="0" w:left="560" w:right="0"/>
          <w:cols w:num="2" w:equalWidth="0">
            <w:col w:w="5146" w:space="614"/>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BodyText"/>
        <w:spacing w:line="266" w:lineRule="auto" w:before="91"/>
        <w:ind w:left="159" w:right="183"/>
      </w:pPr>
      <w:bookmarkStart w:name="Outcomes Associated with SSPs" w:id="47"/>
      <w:bookmarkEnd w:id="47"/>
      <w:r>
        <w:rPr/>
      </w:r>
      <w:bookmarkStart w:name="Typical Settings" w:id="48"/>
      <w:bookmarkEnd w:id="48"/>
      <w:r>
        <w:rPr/>
      </w:r>
      <w:bookmarkStart w:name="Demographic Groups" w:id="49"/>
      <w:bookmarkEnd w:id="49"/>
      <w:r>
        <w:rPr/>
      </w:r>
      <w:bookmarkStart w:name="Practitioner Types" w:id="50"/>
      <w:bookmarkEnd w:id="50"/>
      <w:r>
        <w:rPr/>
      </w:r>
      <w:bookmarkStart w:name="Intensity and Duration" w:id="51"/>
      <w:bookmarkEnd w:id="51"/>
      <w:r>
        <w:rPr/>
      </w:r>
      <w:r>
        <w:rPr>
          <w:color w:val="231F20"/>
        </w:rPr>
        <w:t>(e.g., clients do not need insurance coverage, pre-</w:t>
      </w:r>
      <w:r>
        <w:rPr>
          <w:color w:val="231F20"/>
          <w:spacing w:val="1"/>
        </w:rPr>
        <w:t> </w:t>
      </w:r>
      <w:r>
        <w:rPr>
          <w:color w:val="231F20"/>
        </w:rPr>
        <w:t>scheduled appointments, referrals)</w:t>
      </w:r>
      <w:r>
        <w:rPr>
          <w:color w:val="231F20"/>
          <w:vertAlign w:val="superscript"/>
        </w:rPr>
        <w:t>7</w:t>
      </w:r>
      <w:r>
        <w:rPr>
          <w:color w:val="231F20"/>
          <w:vertAlign w:val="baseline"/>
        </w:rPr>
        <w:t> and can adjust</w:t>
      </w:r>
      <w:r>
        <w:rPr>
          <w:color w:val="231F20"/>
          <w:spacing w:val="1"/>
          <w:vertAlign w:val="baseline"/>
        </w:rPr>
        <w:t> </w:t>
      </w:r>
      <w:r>
        <w:rPr>
          <w:color w:val="231F20"/>
          <w:vertAlign w:val="baseline"/>
        </w:rPr>
        <w:t>delivery</w:t>
      </w:r>
      <w:r>
        <w:rPr>
          <w:color w:val="231F20"/>
          <w:spacing w:val="-4"/>
          <w:vertAlign w:val="baseline"/>
        </w:rPr>
        <w:t> </w:t>
      </w:r>
      <w:r>
        <w:rPr>
          <w:color w:val="231F20"/>
          <w:vertAlign w:val="baseline"/>
        </w:rPr>
        <w:t>venues</w:t>
      </w:r>
      <w:r>
        <w:rPr>
          <w:color w:val="231F20"/>
          <w:spacing w:val="-4"/>
          <w:vertAlign w:val="baseline"/>
        </w:rPr>
        <w:t> </w:t>
      </w:r>
      <w:r>
        <w:rPr>
          <w:color w:val="231F20"/>
          <w:vertAlign w:val="baseline"/>
        </w:rPr>
        <w:t>to</w:t>
      </w:r>
      <w:r>
        <w:rPr>
          <w:color w:val="231F20"/>
          <w:spacing w:val="-4"/>
          <w:vertAlign w:val="baseline"/>
        </w:rPr>
        <w:t> </w:t>
      </w:r>
      <w:r>
        <w:rPr>
          <w:color w:val="231F20"/>
          <w:vertAlign w:val="baseline"/>
        </w:rPr>
        <w:t>meet</w:t>
      </w:r>
      <w:r>
        <w:rPr>
          <w:color w:val="231F20"/>
          <w:spacing w:val="-4"/>
          <w:vertAlign w:val="baseline"/>
        </w:rPr>
        <w:t> </w:t>
      </w:r>
      <w:r>
        <w:rPr>
          <w:color w:val="231F20"/>
          <w:vertAlign w:val="baseline"/>
        </w:rPr>
        <w:t>community</w:t>
      </w:r>
      <w:r>
        <w:rPr>
          <w:color w:val="231F20"/>
          <w:spacing w:val="-4"/>
          <w:vertAlign w:val="baseline"/>
        </w:rPr>
        <w:t> </w:t>
      </w:r>
      <w:r>
        <w:rPr>
          <w:color w:val="231F20"/>
          <w:vertAlign w:val="baseline"/>
        </w:rPr>
        <w:t>needs</w:t>
      </w:r>
      <w:r>
        <w:rPr>
          <w:color w:val="231F20"/>
          <w:spacing w:val="-3"/>
          <w:vertAlign w:val="baseline"/>
        </w:rPr>
        <w:t> </w:t>
      </w:r>
      <w:r>
        <w:rPr>
          <w:color w:val="231F20"/>
          <w:vertAlign w:val="baseline"/>
        </w:rPr>
        <w:t>(e.g.,</w:t>
      </w:r>
      <w:r>
        <w:rPr>
          <w:color w:val="231F20"/>
          <w:spacing w:val="-4"/>
          <w:vertAlign w:val="baseline"/>
        </w:rPr>
        <w:t> </w:t>
      </w:r>
      <w:r>
        <w:rPr>
          <w:color w:val="231F20"/>
          <w:vertAlign w:val="baseline"/>
        </w:rPr>
        <w:t>fixed-</w:t>
      </w:r>
      <w:r>
        <w:rPr>
          <w:color w:val="231F20"/>
          <w:spacing w:val="-52"/>
          <w:vertAlign w:val="baseline"/>
        </w:rPr>
        <w:t> </w:t>
      </w:r>
      <w:r>
        <w:rPr>
          <w:color w:val="231F20"/>
          <w:vertAlign w:val="baseline"/>
        </w:rPr>
        <w:t>site</w:t>
      </w:r>
      <w:r>
        <w:rPr>
          <w:color w:val="231F20"/>
          <w:spacing w:val="-4"/>
          <w:vertAlign w:val="baseline"/>
        </w:rPr>
        <w:t> </w:t>
      </w:r>
      <w:r>
        <w:rPr>
          <w:color w:val="231F20"/>
          <w:vertAlign w:val="baseline"/>
        </w:rPr>
        <w:t>or</w:t>
      </w:r>
      <w:r>
        <w:rPr>
          <w:color w:val="231F20"/>
          <w:spacing w:val="-2"/>
          <w:vertAlign w:val="baseline"/>
        </w:rPr>
        <w:t> </w:t>
      </w:r>
      <w:r>
        <w:rPr>
          <w:color w:val="231F20"/>
          <w:vertAlign w:val="baseline"/>
        </w:rPr>
        <w:t>mobile</w:t>
      </w:r>
      <w:r>
        <w:rPr>
          <w:color w:val="231F20"/>
          <w:spacing w:val="-2"/>
          <w:vertAlign w:val="baseline"/>
        </w:rPr>
        <w:t> </w:t>
      </w:r>
      <w:r>
        <w:rPr>
          <w:color w:val="231F20"/>
          <w:vertAlign w:val="baseline"/>
        </w:rPr>
        <w:t>exchange</w:t>
      </w:r>
      <w:r>
        <w:rPr>
          <w:color w:val="231F20"/>
          <w:spacing w:val="-2"/>
          <w:vertAlign w:val="baseline"/>
        </w:rPr>
        <w:t> </w:t>
      </w:r>
      <w:r>
        <w:rPr>
          <w:color w:val="231F20"/>
          <w:vertAlign w:val="baseline"/>
        </w:rPr>
        <w:t>vans).</w:t>
      </w:r>
      <w:r>
        <w:rPr>
          <w:color w:val="231F20"/>
          <w:vertAlign w:val="superscript"/>
        </w:rPr>
        <w:t>28</w:t>
      </w:r>
      <w:r>
        <w:rPr>
          <w:color w:val="231F20"/>
          <w:spacing w:val="-2"/>
          <w:vertAlign w:val="baseline"/>
        </w:rPr>
        <w:t> </w:t>
      </w:r>
      <w:r>
        <w:rPr>
          <w:color w:val="231F20"/>
          <w:vertAlign w:val="baseline"/>
        </w:rPr>
        <w:t>SSPs</w:t>
      </w:r>
      <w:r>
        <w:rPr>
          <w:color w:val="231F20"/>
          <w:spacing w:val="-4"/>
          <w:vertAlign w:val="baseline"/>
        </w:rPr>
        <w:t> </w:t>
      </w:r>
      <w:r>
        <w:rPr>
          <w:color w:val="231F20"/>
          <w:vertAlign w:val="baseline"/>
        </w:rPr>
        <w:t>are</w:t>
      </w:r>
      <w:r>
        <w:rPr>
          <w:color w:val="231F20"/>
          <w:spacing w:val="-2"/>
          <w:vertAlign w:val="baseline"/>
        </w:rPr>
        <w:t> </w:t>
      </w:r>
      <w:r>
        <w:rPr>
          <w:color w:val="231F20"/>
          <w:vertAlign w:val="baseline"/>
        </w:rPr>
        <w:t>also</w:t>
      </w:r>
      <w:r>
        <w:rPr>
          <w:color w:val="231F20"/>
          <w:spacing w:val="-2"/>
          <w:vertAlign w:val="baseline"/>
        </w:rPr>
        <w:t> </w:t>
      </w:r>
      <w:r>
        <w:rPr>
          <w:color w:val="231F20"/>
          <w:vertAlign w:val="baseline"/>
        </w:rPr>
        <w:t>a</w:t>
      </w:r>
      <w:r>
        <w:rPr>
          <w:color w:val="231F20"/>
          <w:spacing w:val="-2"/>
          <w:vertAlign w:val="baseline"/>
        </w:rPr>
        <w:t> </w:t>
      </w:r>
      <w:r>
        <w:rPr>
          <w:color w:val="231F20"/>
          <w:vertAlign w:val="baseline"/>
        </w:rPr>
        <w:t>prime</w:t>
      </w:r>
      <w:r>
        <w:rPr>
          <w:color w:val="231F20"/>
          <w:spacing w:val="-52"/>
          <w:vertAlign w:val="baseline"/>
        </w:rPr>
        <w:t> </w:t>
      </w:r>
      <w:r>
        <w:rPr>
          <w:color w:val="231F20"/>
          <w:vertAlign w:val="baseline"/>
        </w:rPr>
        <w:t>setting for implementing combined interventions,</w:t>
      </w:r>
      <w:r>
        <w:rPr>
          <w:color w:val="231F20"/>
          <w:spacing w:val="1"/>
          <w:vertAlign w:val="baseline"/>
        </w:rPr>
        <w:t> </w:t>
      </w:r>
      <w:r>
        <w:rPr>
          <w:color w:val="231F20"/>
          <w:vertAlign w:val="baseline"/>
        </w:rPr>
        <w:t>including</w:t>
      </w:r>
      <w:r>
        <w:rPr>
          <w:color w:val="231F20"/>
          <w:spacing w:val="-2"/>
          <w:vertAlign w:val="baseline"/>
        </w:rPr>
        <w:t> </w:t>
      </w:r>
      <w:r>
        <w:rPr>
          <w:color w:val="231F20"/>
          <w:vertAlign w:val="baseline"/>
        </w:rPr>
        <w:t>medication</w:t>
      </w:r>
      <w:r>
        <w:rPr>
          <w:color w:val="231F20"/>
          <w:spacing w:val="-2"/>
          <w:vertAlign w:val="baseline"/>
        </w:rPr>
        <w:t> </w:t>
      </w:r>
      <w:r>
        <w:rPr>
          <w:color w:val="231F20"/>
          <w:vertAlign w:val="baseline"/>
        </w:rPr>
        <w:t>for</w:t>
      </w:r>
      <w:r>
        <w:rPr>
          <w:color w:val="231F20"/>
          <w:spacing w:val="-1"/>
          <w:vertAlign w:val="baseline"/>
        </w:rPr>
        <w:t> </w:t>
      </w:r>
      <w:r>
        <w:rPr>
          <w:color w:val="231F20"/>
          <w:vertAlign w:val="baseline"/>
        </w:rPr>
        <w:t>opioid</w:t>
      </w:r>
      <w:r>
        <w:rPr>
          <w:color w:val="231F20"/>
          <w:spacing w:val="-2"/>
          <w:vertAlign w:val="baseline"/>
        </w:rPr>
        <w:t> </w:t>
      </w:r>
      <w:r>
        <w:rPr>
          <w:color w:val="231F20"/>
          <w:vertAlign w:val="baseline"/>
        </w:rPr>
        <w:t>use</w:t>
      </w:r>
      <w:r>
        <w:rPr>
          <w:color w:val="231F20"/>
          <w:spacing w:val="-1"/>
          <w:vertAlign w:val="baseline"/>
        </w:rPr>
        <w:t> </w:t>
      </w:r>
      <w:r>
        <w:rPr>
          <w:color w:val="231F20"/>
          <w:vertAlign w:val="baseline"/>
        </w:rPr>
        <w:t>disorder.</w:t>
      </w:r>
      <w:r>
        <w:rPr>
          <w:color w:val="231F20"/>
          <w:vertAlign w:val="superscript"/>
        </w:rPr>
        <w:t>29</w:t>
      </w:r>
    </w:p>
    <w:p>
      <w:pPr>
        <w:pStyle w:val="Heading5"/>
        <w:spacing w:before="163"/>
        <w:rPr>
          <w:i/>
        </w:rPr>
      </w:pPr>
      <w:r>
        <w:rPr>
          <w:i/>
          <w:color w:val="1C384B"/>
        </w:rPr>
        <w:t>Outcomes</w:t>
      </w:r>
      <w:r>
        <w:rPr>
          <w:i/>
          <w:color w:val="1C384B"/>
          <w:spacing w:val="-10"/>
        </w:rPr>
        <w:t> </w:t>
      </w:r>
      <w:r>
        <w:rPr>
          <w:i/>
          <w:color w:val="1C384B"/>
        </w:rPr>
        <w:t>Associated</w:t>
      </w:r>
      <w:r>
        <w:rPr>
          <w:i/>
          <w:color w:val="1C384B"/>
          <w:spacing w:val="-1"/>
        </w:rPr>
        <w:t> </w:t>
      </w:r>
      <w:r>
        <w:rPr>
          <w:i/>
          <w:color w:val="1C384B"/>
        </w:rPr>
        <w:t>with</w:t>
      </w:r>
      <w:r>
        <w:rPr>
          <w:i/>
          <w:color w:val="1C384B"/>
          <w:spacing w:val="-2"/>
        </w:rPr>
        <w:t> </w:t>
      </w:r>
      <w:r>
        <w:rPr>
          <w:i/>
          <w:color w:val="1C384B"/>
        </w:rPr>
        <w:t>SSPs</w:t>
      </w:r>
    </w:p>
    <w:p>
      <w:pPr>
        <w:pStyle w:val="BodyText"/>
        <w:spacing w:before="5"/>
        <w:rPr>
          <w:rFonts w:ascii="Arial"/>
          <w:i/>
          <w:sz w:val="16"/>
        </w:rPr>
      </w:pPr>
    </w:p>
    <w:tbl>
      <w:tblPr>
        <w:tblW w:w="0" w:type="auto"/>
        <w:jc w:val="left"/>
        <w:tblInd w:w="18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22"/>
        <w:gridCol w:w="3998"/>
      </w:tblGrid>
      <w:tr>
        <w:trPr>
          <w:trHeight w:val="3285" w:hRule="atLeast"/>
        </w:trPr>
        <w:tc>
          <w:tcPr>
            <w:tcW w:w="1022" w:type="dxa"/>
            <w:shd w:val="clear" w:color="auto" w:fill="CE384B"/>
          </w:tcPr>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spacing w:before="7" w:after="1"/>
              <w:rPr>
                <w:i/>
                <w:sz w:val="11"/>
              </w:rPr>
            </w:pPr>
          </w:p>
          <w:p>
            <w:pPr>
              <w:pStyle w:val="TableParagraph"/>
              <w:ind w:left="128"/>
              <w:rPr>
                <w:sz w:val="20"/>
              </w:rPr>
            </w:pPr>
            <w:r>
              <w:rPr>
                <w:sz w:val="20"/>
              </w:rPr>
              <w:drawing>
                <wp:inline distT="0" distB="0" distL="0" distR="0">
                  <wp:extent cx="507111" cy="507110"/>
                  <wp:effectExtent l="0" t="0" r="0" b="0"/>
                  <wp:docPr id="31" name="image18.png"/>
                  <wp:cNvGraphicFramePr>
                    <a:graphicFrameLocks noChangeAspect="1"/>
                  </wp:cNvGraphicFramePr>
                  <a:graphic>
                    <a:graphicData uri="http://schemas.openxmlformats.org/drawingml/2006/picture">
                      <pic:pic>
                        <pic:nvPicPr>
                          <pic:cNvPr id="32" name="image18.png"/>
                          <pic:cNvPicPr/>
                        </pic:nvPicPr>
                        <pic:blipFill>
                          <a:blip r:embed="rId148" cstate="print"/>
                          <a:stretch>
                            <a:fillRect/>
                          </a:stretch>
                        </pic:blipFill>
                        <pic:spPr>
                          <a:xfrm>
                            <a:off x="0" y="0"/>
                            <a:ext cx="507111" cy="507110"/>
                          </a:xfrm>
                          <a:prstGeom prst="rect">
                            <a:avLst/>
                          </a:prstGeom>
                        </pic:spPr>
                      </pic:pic>
                    </a:graphicData>
                  </a:graphic>
                </wp:inline>
              </w:drawing>
            </w:r>
            <w:r>
              <w:rPr>
                <w:sz w:val="20"/>
              </w:rPr>
            </w:r>
          </w:p>
        </w:tc>
        <w:tc>
          <w:tcPr>
            <w:tcW w:w="3998" w:type="dxa"/>
            <w:shd w:val="clear" w:color="auto" w:fill="F7E4E6"/>
          </w:tcPr>
          <w:p>
            <w:pPr>
              <w:pStyle w:val="TableParagraph"/>
              <w:numPr>
                <w:ilvl w:val="0"/>
                <w:numId w:val="6"/>
              </w:numPr>
              <w:tabs>
                <w:tab w:pos="439" w:val="left" w:leader="none"/>
                <w:tab w:pos="440" w:val="left" w:leader="none"/>
              </w:tabs>
              <w:spacing w:line="249" w:lineRule="auto" w:before="14" w:after="0"/>
              <w:ind w:left="440" w:right="79" w:hanging="360"/>
              <w:jc w:val="left"/>
              <w:rPr>
                <w:sz w:val="11"/>
              </w:rPr>
            </w:pPr>
            <w:r>
              <w:rPr>
                <w:color w:val="231F20"/>
                <w:sz w:val="20"/>
              </w:rPr>
              <w:t>Reduction in self-reported receptive</w:t>
            </w:r>
            <w:r>
              <w:rPr>
                <w:color w:val="231F20"/>
                <w:spacing w:val="1"/>
                <w:sz w:val="20"/>
              </w:rPr>
              <w:t> </w:t>
            </w:r>
            <w:r>
              <w:rPr>
                <w:color w:val="231F20"/>
                <w:sz w:val="20"/>
              </w:rPr>
              <w:t>syringe</w:t>
            </w:r>
            <w:r>
              <w:rPr>
                <w:color w:val="231F20"/>
                <w:spacing w:val="-3"/>
                <w:sz w:val="20"/>
              </w:rPr>
              <w:t> </w:t>
            </w:r>
            <w:r>
              <w:rPr>
                <w:color w:val="231F20"/>
                <w:sz w:val="20"/>
              </w:rPr>
              <w:t>sharing</w:t>
            </w:r>
            <w:r>
              <w:rPr>
                <w:color w:val="231F20"/>
                <w:spacing w:val="-3"/>
                <w:sz w:val="20"/>
              </w:rPr>
              <w:t> </w:t>
            </w:r>
            <w:r>
              <w:rPr>
                <w:color w:val="231F20"/>
                <w:sz w:val="20"/>
              </w:rPr>
              <w:t>(i.e.,</w:t>
            </w:r>
            <w:r>
              <w:rPr>
                <w:color w:val="231F20"/>
                <w:spacing w:val="-2"/>
                <w:sz w:val="20"/>
              </w:rPr>
              <w:t> </w:t>
            </w:r>
            <w:r>
              <w:rPr>
                <w:color w:val="231F20"/>
                <w:sz w:val="20"/>
              </w:rPr>
              <w:t>using</w:t>
            </w:r>
            <w:r>
              <w:rPr>
                <w:color w:val="231F20"/>
                <w:spacing w:val="-4"/>
                <w:sz w:val="20"/>
              </w:rPr>
              <w:t> </w:t>
            </w:r>
            <w:r>
              <w:rPr>
                <w:color w:val="231F20"/>
                <w:sz w:val="20"/>
              </w:rPr>
              <w:t>a</w:t>
            </w:r>
            <w:r>
              <w:rPr>
                <w:color w:val="231F20"/>
                <w:spacing w:val="-4"/>
                <w:sz w:val="20"/>
              </w:rPr>
              <w:t> </w:t>
            </w:r>
            <w:r>
              <w:rPr>
                <w:color w:val="231F20"/>
                <w:sz w:val="20"/>
              </w:rPr>
              <w:t>previously</w:t>
            </w:r>
            <w:r>
              <w:rPr>
                <w:color w:val="231F20"/>
                <w:spacing w:val="-52"/>
                <w:sz w:val="20"/>
              </w:rPr>
              <w:t> </w:t>
            </w:r>
            <w:r>
              <w:rPr>
                <w:color w:val="231F20"/>
                <w:sz w:val="20"/>
              </w:rPr>
              <w:t>used</w:t>
            </w:r>
            <w:r>
              <w:rPr>
                <w:color w:val="231F20"/>
                <w:spacing w:val="-1"/>
                <w:sz w:val="20"/>
              </w:rPr>
              <w:t> </w:t>
            </w:r>
            <w:r>
              <w:rPr>
                <w:color w:val="231F20"/>
                <w:sz w:val="20"/>
              </w:rPr>
              <w:t>syringe)</w:t>
            </w:r>
            <w:r>
              <w:rPr>
                <w:color w:val="231F20"/>
                <w:position w:val="7"/>
                <w:sz w:val="11"/>
              </w:rPr>
              <w:t>30-33</w:t>
            </w:r>
          </w:p>
          <w:p>
            <w:pPr>
              <w:pStyle w:val="TableParagraph"/>
              <w:numPr>
                <w:ilvl w:val="0"/>
                <w:numId w:val="6"/>
              </w:numPr>
              <w:tabs>
                <w:tab w:pos="440" w:val="left" w:leader="none"/>
              </w:tabs>
              <w:spacing w:line="249" w:lineRule="auto" w:before="77" w:after="0"/>
              <w:ind w:left="440" w:right="145" w:hanging="360"/>
              <w:jc w:val="both"/>
              <w:rPr>
                <w:sz w:val="11"/>
              </w:rPr>
            </w:pPr>
            <w:r>
              <w:rPr>
                <w:color w:val="231F20"/>
                <w:sz w:val="20"/>
              </w:rPr>
              <w:t>Increase in frequency of injecting with</w:t>
            </w:r>
            <w:r>
              <w:rPr>
                <w:color w:val="231F20"/>
                <w:spacing w:val="1"/>
                <w:sz w:val="20"/>
              </w:rPr>
              <w:t> </w:t>
            </w:r>
            <w:r>
              <w:rPr>
                <w:color w:val="231F20"/>
                <w:sz w:val="20"/>
              </w:rPr>
              <w:t>a sterile syringe, as opposed to a non-</w:t>
            </w:r>
            <w:r>
              <w:rPr>
                <w:color w:val="231F20"/>
                <w:spacing w:val="-54"/>
                <w:sz w:val="20"/>
              </w:rPr>
              <w:t> </w:t>
            </w:r>
            <w:r>
              <w:rPr>
                <w:color w:val="231F20"/>
                <w:sz w:val="20"/>
              </w:rPr>
              <w:t>sterile syringe</w:t>
            </w:r>
            <w:r>
              <w:rPr>
                <w:color w:val="231F20"/>
                <w:position w:val="7"/>
                <w:sz w:val="11"/>
              </w:rPr>
              <w:t>31,</w:t>
            </w:r>
            <w:r>
              <w:rPr>
                <w:color w:val="231F20"/>
                <w:spacing w:val="1"/>
                <w:position w:val="7"/>
                <w:sz w:val="11"/>
              </w:rPr>
              <w:t> </w:t>
            </w:r>
            <w:r>
              <w:rPr>
                <w:color w:val="231F20"/>
                <w:position w:val="7"/>
                <w:sz w:val="11"/>
              </w:rPr>
              <w:t>34</w:t>
            </w:r>
          </w:p>
          <w:p>
            <w:pPr>
              <w:pStyle w:val="TableParagraph"/>
              <w:numPr>
                <w:ilvl w:val="0"/>
                <w:numId w:val="6"/>
              </w:numPr>
              <w:tabs>
                <w:tab w:pos="439" w:val="left" w:leader="none"/>
                <w:tab w:pos="440" w:val="left" w:leader="none"/>
              </w:tabs>
              <w:spacing w:line="249" w:lineRule="auto" w:before="77" w:after="0"/>
              <w:ind w:left="440" w:right="534" w:hanging="360"/>
              <w:jc w:val="left"/>
              <w:rPr>
                <w:sz w:val="11"/>
              </w:rPr>
            </w:pPr>
            <w:r>
              <w:rPr>
                <w:color w:val="231F20"/>
                <w:sz w:val="20"/>
              </w:rPr>
              <w:t>Reduction in self-reported sharing</w:t>
            </w:r>
            <w:r>
              <w:rPr>
                <w:color w:val="231F20"/>
                <w:spacing w:val="-54"/>
                <w:sz w:val="20"/>
              </w:rPr>
              <w:t> </w:t>
            </w:r>
            <w:r>
              <w:rPr>
                <w:color w:val="231F20"/>
                <w:sz w:val="20"/>
              </w:rPr>
              <w:t>of injection equipment and/or</w:t>
            </w:r>
            <w:r>
              <w:rPr>
                <w:color w:val="231F20"/>
                <w:spacing w:val="1"/>
                <w:sz w:val="20"/>
              </w:rPr>
              <w:t> </w:t>
            </w:r>
            <w:r>
              <w:rPr>
                <w:color w:val="231F20"/>
                <w:sz w:val="20"/>
              </w:rPr>
              <w:t>paraphernalia</w:t>
            </w:r>
            <w:r>
              <w:rPr>
                <w:color w:val="231F20"/>
                <w:position w:val="7"/>
                <w:sz w:val="11"/>
              </w:rPr>
              <w:t>31-33</w:t>
            </w:r>
          </w:p>
          <w:p>
            <w:pPr>
              <w:pStyle w:val="TableParagraph"/>
              <w:numPr>
                <w:ilvl w:val="0"/>
                <w:numId w:val="6"/>
              </w:numPr>
              <w:tabs>
                <w:tab w:pos="439" w:val="left" w:leader="none"/>
                <w:tab w:pos="440" w:val="left" w:leader="none"/>
              </w:tabs>
              <w:spacing w:line="240" w:lineRule="auto" w:before="77" w:after="0"/>
              <w:ind w:left="440" w:right="0" w:hanging="360"/>
              <w:jc w:val="left"/>
              <w:rPr>
                <w:sz w:val="11"/>
              </w:rPr>
            </w:pPr>
            <w:r>
              <w:rPr>
                <w:color w:val="231F20"/>
                <w:sz w:val="20"/>
              </w:rPr>
              <w:t>Reduction</w:t>
            </w:r>
            <w:r>
              <w:rPr>
                <w:color w:val="231F20"/>
                <w:spacing w:val="-4"/>
                <w:sz w:val="20"/>
              </w:rPr>
              <w:t> </w:t>
            </w:r>
            <w:r>
              <w:rPr>
                <w:color w:val="231F20"/>
                <w:sz w:val="20"/>
              </w:rPr>
              <w:t>in</w:t>
            </w:r>
            <w:r>
              <w:rPr>
                <w:color w:val="231F20"/>
                <w:spacing w:val="-4"/>
                <w:sz w:val="20"/>
              </w:rPr>
              <w:t> </w:t>
            </w:r>
            <w:r>
              <w:rPr>
                <w:color w:val="231F20"/>
                <w:sz w:val="20"/>
              </w:rPr>
              <w:t>HIV</w:t>
            </w:r>
            <w:r>
              <w:rPr>
                <w:color w:val="231F20"/>
                <w:spacing w:val="-4"/>
                <w:sz w:val="20"/>
              </w:rPr>
              <w:t> </w:t>
            </w:r>
            <w:r>
              <w:rPr>
                <w:color w:val="231F20"/>
                <w:sz w:val="20"/>
              </w:rPr>
              <w:t>incidence</w:t>
            </w:r>
            <w:r>
              <w:rPr>
                <w:color w:val="231F20"/>
                <w:position w:val="7"/>
                <w:sz w:val="11"/>
              </w:rPr>
              <w:t>30</w:t>
            </w:r>
          </w:p>
          <w:p>
            <w:pPr>
              <w:pStyle w:val="TableParagraph"/>
              <w:numPr>
                <w:ilvl w:val="0"/>
                <w:numId w:val="6"/>
              </w:numPr>
              <w:tabs>
                <w:tab w:pos="439" w:val="left" w:leader="none"/>
                <w:tab w:pos="440" w:val="left" w:leader="none"/>
              </w:tabs>
              <w:spacing w:line="247" w:lineRule="auto" w:before="85" w:after="0"/>
              <w:ind w:left="440" w:right="279" w:hanging="360"/>
              <w:jc w:val="left"/>
              <w:rPr>
                <w:sz w:val="11"/>
              </w:rPr>
            </w:pPr>
            <w:r>
              <w:rPr>
                <w:color w:val="231F20"/>
                <w:sz w:val="20"/>
              </w:rPr>
              <w:t>Reduction</w:t>
            </w:r>
            <w:r>
              <w:rPr>
                <w:color w:val="231F20"/>
                <w:spacing w:val="-4"/>
                <w:sz w:val="20"/>
              </w:rPr>
              <w:t> </w:t>
            </w:r>
            <w:r>
              <w:rPr>
                <w:color w:val="231F20"/>
                <w:sz w:val="20"/>
              </w:rPr>
              <w:t>in</w:t>
            </w:r>
            <w:r>
              <w:rPr>
                <w:color w:val="231F20"/>
                <w:spacing w:val="-4"/>
                <w:sz w:val="20"/>
              </w:rPr>
              <w:t> </w:t>
            </w:r>
            <w:r>
              <w:rPr>
                <w:color w:val="231F20"/>
                <w:sz w:val="20"/>
              </w:rPr>
              <w:t>self-reported</w:t>
            </w:r>
            <w:r>
              <w:rPr>
                <w:color w:val="231F20"/>
                <w:spacing w:val="-3"/>
                <w:sz w:val="20"/>
              </w:rPr>
              <w:t> </w:t>
            </w:r>
            <w:r>
              <w:rPr>
                <w:color w:val="231F20"/>
                <w:sz w:val="20"/>
              </w:rPr>
              <w:t>substance</w:t>
            </w:r>
            <w:r>
              <w:rPr>
                <w:color w:val="231F20"/>
                <w:spacing w:val="-52"/>
                <w:sz w:val="20"/>
              </w:rPr>
              <w:t> </w:t>
            </w:r>
            <w:r>
              <w:rPr>
                <w:color w:val="231F20"/>
                <w:sz w:val="20"/>
              </w:rPr>
              <w:t>use</w:t>
            </w:r>
            <w:r>
              <w:rPr>
                <w:color w:val="231F20"/>
                <w:spacing w:val="-1"/>
                <w:sz w:val="20"/>
              </w:rPr>
              <w:t> </w:t>
            </w:r>
            <w:r>
              <w:rPr>
                <w:color w:val="231F20"/>
                <w:sz w:val="20"/>
              </w:rPr>
              <w:t>frequency</w:t>
            </w:r>
            <w:r>
              <w:rPr>
                <w:color w:val="231F20"/>
                <w:position w:val="7"/>
                <w:sz w:val="11"/>
              </w:rPr>
              <w:t>35</w:t>
            </w:r>
          </w:p>
        </w:tc>
      </w:tr>
    </w:tbl>
    <w:p>
      <w:pPr>
        <w:spacing w:before="183"/>
        <w:ind w:left="159" w:right="0" w:firstLine="0"/>
        <w:jc w:val="left"/>
        <w:rPr>
          <w:rFonts w:ascii="Arial"/>
          <w:i/>
          <w:sz w:val="24"/>
        </w:rPr>
      </w:pPr>
      <w:r>
        <w:rPr>
          <w:rFonts w:ascii="Arial"/>
          <w:i/>
          <w:color w:val="1C384B"/>
          <w:sz w:val="24"/>
        </w:rPr>
        <w:t>Typical</w:t>
      </w:r>
      <w:r>
        <w:rPr>
          <w:rFonts w:ascii="Arial"/>
          <w:i/>
          <w:color w:val="1C384B"/>
          <w:spacing w:val="-9"/>
          <w:sz w:val="24"/>
        </w:rPr>
        <w:t> </w:t>
      </w:r>
      <w:r>
        <w:rPr>
          <w:rFonts w:ascii="Arial"/>
          <w:i/>
          <w:color w:val="1C384B"/>
          <w:sz w:val="24"/>
        </w:rPr>
        <w:t>Settings</w:t>
      </w:r>
    </w:p>
    <w:p>
      <w:pPr>
        <w:pStyle w:val="BodyText"/>
        <w:spacing w:line="266" w:lineRule="auto" w:before="184"/>
        <w:ind w:left="159"/>
      </w:pPr>
      <w:r>
        <w:rPr>
          <w:color w:val="231F20"/>
        </w:rPr>
        <w:t>SSPs are community-based interventions that vary</w:t>
      </w:r>
      <w:r>
        <w:rPr>
          <w:color w:val="231F20"/>
          <w:spacing w:val="1"/>
        </w:rPr>
        <w:t> </w:t>
      </w:r>
      <w:r>
        <w:rPr>
          <w:color w:val="231F20"/>
        </w:rPr>
        <w:t>significantly based on implementation setting,</w:t>
      </w:r>
      <w:r>
        <w:rPr>
          <w:color w:val="231F20"/>
          <w:spacing w:val="1"/>
        </w:rPr>
        <w:t> </w:t>
      </w:r>
      <w:r>
        <w:rPr>
          <w:color w:val="231F20"/>
        </w:rPr>
        <w:t>geographic location, scope, and services to meet local</w:t>
      </w:r>
      <w:r>
        <w:rPr>
          <w:color w:val="231F20"/>
          <w:spacing w:val="1"/>
        </w:rPr>
        <w:t> </w:t>
      </w:r>
      <w:r>
        <w:rPr>
          <w:color w:val="231F20"/>
          <w:w w:val="95"/>
        </w:rPr>
        <w:t>community</w:t>
      </w:r>
      <w:r>
        <w:rPr>
          <w:color w:val="231F20"/>
          <w:spacing w:val="27"/>
          <w:w w:val="95"/>
        </w:rPr>
        <w:t> </w:t>
      </w:r>
      <w:r>
        <w:rPr>
          <w:color w:val="231F20"/>
          <w:w w:val="95"/>
        </w:rPr>
        <w:t>needs.</w:t>
      </w:r>
      <w:r>
        <w:rPr>
          <w:color w:val="231F20"/>
          <w:w w:val="95"/>
          <w:vertAlign w:val="superscript"/>
        </w:rPr>
        <w:t>26,</w:t>
      </w:r>
      <w:r>
        <w:rPr>
          <w:color w:val="231F20"/>
          <w:spacing w:val="-7"/>
          <w:w w:val="95"/>
          <w:vertAlign w:val="baseline"/>
        </w:rPr>
        <w:t> </w:t>
      </w:r>
      <w:r>
        <w:rPr>
          <w:color w:val="231F20"/>
          <w:w w:val="95"/>
          <w:vertAlign w:val="superscript"/>
        </w:rPr>
        <w:t>36</w:t>
      </w:r>
      <w:r>
        <w:rPr>
          <w:color w:val="231F20"/>
          <w:spacing w:val="22"/>
          <w:w w:val="95"/>
          <w:vertAlign w:val="baseline"/>
        </w:rPr>
        <w:t> </w:t>
      </w:r>
      <w:r>
        <w:rPr>
          <w:color w:val="231F20"/>
          <w:w w:val="95"/>
          <w:vertAlign w:val="baseline"/>
        </w:rPr>
        <w:t>The</w:t>
      </w:r>
      <w:r>
        <w:rPr>
          <w:color w:val="231F20"/>
          <w:spacing w:val="27"/>
          <w:w w:val="95"/>
          <w:vertAlign w:val="baseline"/>
        </w:rPr>
        <w:t> </w:t>
      </w:r>
      <w:r>
        <w:rPr>
          <w:color w:val="231F20"/>
          <w:w w:val="95"/>
          <w:vertAlign w:val="baseline"/>
        </w:rPr>
        <w:t>eight</w:t>
      </w:r>
      <w:r>
        <w:rPr>
          <w:color w:val="231F20"/>
          <w:spacing w:val="27"/>
          <w:w w:val="95"/>
          <w:vertAlign w:val="baseline"/>
        </w:rPr>
        <w:t> </w:t>
      </w:r>
      <w:r>
        <w:rPr>
          <w:color w:val="231F20"/>
          <w:w w:val="95"/>
          <w:vertAlign w:val="baseline"/>
        </w:rPr>
        <w:t>studies</w:t>
      </w:r>
      <w:r>
        <w:rPr>
          <w:color w:val="231F20"/>
          <w:spacing w:val="26"/>
          <w:w w:val="95"/>
          <w:vertAlign w:val="baseline"/>
        </w:rPr>
        <w:t> </w:t>
      </w:r>
      <w:r>
        <w:rPr>
          <w:color w:val="231F20"/>
          <w:w w:val="95"/>
          <w:vertAlign w:val="baseline"/>
        </w:rPr>
        <w:t>in</w:t>
      </w:r>
      <w:r>
        <w:rPr>
          <w:color w:val="231F20"/>
          <w:spacing w:val="27"/>
          <w:w w:val="95"/>
          <w:vertAlign w:val="baseline"/>
        </w:rPr>
        <w:t> </w:t>
      </w:r>
      <w:r>
        <w:rPr>
          <w:color w:val="231F20"/>
          <w:w w:val="95"/>
          <w:vertAlign w:val="baseline"/>
        </w:rPr>
        <w:t>this</w:t>
      </w:r>
      <w:r>
        <w:rPr>
          <w:color w:val="231F20"/>
          <w:spacing w:val="27"/>
          <w:w w:val="95"/>
          <w:vertAlign w:val="baseline"/>
        </w:rPr>
        <w:t> </w:t>
      </w:r>
      <w:r>
        <w:rPr>
          <w:color w:val="231F20"/>
          <w:w w:val="95"/>
          <w:vertAlign w:val="baseline"/>
        </w:rPr>
        <w:t>evidence</w:t>
      </w:r>
      <w:r>
        <w:rPr>
          <w:color w:val="231F20"/>
          <w:spacing w:val="-49"/>
          <w:w w:val="95"/>
          <w:vertAlign w:val="baseline"/>
        </w:rPr>
        <w:t> </w:t>
      </w:r>
      <w:r>
        <w:rPr>
          <w:color w:val="231F20"/>
          <w:vertAlign w:val="baseline"/>
        </w:rPr>
        <w:t>review showed that SSPs have been effective in both</w:t>
      </w:r>
      <w:r>
        <w:rPr>
          <w:color w:val="231F20"/>
          <w:spacing w:val="1"/>
          <w:vertAlign w:val="baseline"/>
        </w:rPr>
        <w:t> </w:t>
      </w:r>
      <w:r>
        <w:rPr>
          <w:color w:val="231F20"/>
          <w:vertAlign w:val="baseline"/>
        </w:rPr>
        <w:t>urban and rural settings and have operated successfully</w:t>
      </w:r>
      <w:r>
        <w:rPr>
          <w:color w:val="231F20"/>
          <w:spacing w:val="1"/>
          <w:vertAlign w:val="baseline"/>
        </w:rPr>
        <w:t> </w:t>
      </w:r>
      <w:r>
        <w:rPr>
          <w:color w:val="231F20"/>
          <w:vertAlign w:val="baseline"/>
        </w:rPr>
        <w:t>as both long-standing programs and temporary</w:t>
      </w:r>
      <w:r>
        <w:rPr>
          <w:color w:val="231F20"/>
          <w:spacing w:val="1"/>
          <w:vertAlign w:val="baseline"/>
        </w:rPr>
        <w:t> </w:t>
      </w:r>
      <w:r>
        <w:rPr>
          <w:color w:val="231F20"/>
          <w:vertAlign w:val="baseline"/>
        </w:rPr>
        <w:t>emergency</w:t>
      </w:r>
      <w:r>
        <w:rPr>
          <w:color w:val="231F20"/>
          <w:spacing w:val="-1"/>
          <w:vertAlign w:val="baseline"/>
        </w:rPr>
        <w:t> </w:t>
      </w:r>
      <w:r>
        <w:rPr>
          <w:color w:val="231F20"/>
          <w:vertAlign w:val="baseline"/>
        </w:rPr>
        <w:t>public</w:t>
      </w:r>
      <w:r>
        <w:rPr>
          <w:color w:val="231F20"/>
          <w:spacing w:val="-1"/>
          <w:vertAlign w:val="baseline"/>
        </w:rPr>
        <w:t> </w:t>
      </w:r>
      <w:r>
        <w:rPr>
          <w:color w:val="231F20"/>
          <w:vertAlign w:val="baseline"/>
        </w:rPr>
        <w:t>health</w:t>
      </w:r>
      <w:r>
        <w:rPr>
          <w:color w:val="231F20"/>
          <w:spacing w:val="-1"/>
          <w:vertAlign w:val="baseline"/>
        </w:rPr>
        <w:t> </w:t>
      </w:r>
      <w:r>
        <w:rPr>
          <w:color w:val="231F20"/>
          <w:vertAlign w:val="baseline"/>
        </w:rPr>
        <w:t>responses to</w:t>
      </w:r>
      <w:r>
        <w:rPr>
          <w:color w:val="231F20"/>
          <w:spacing w:val="-1"/>
          <w:vertAlign w:val="baseline"/>
        </w:rPr>
        <w:t> </w:t>
      </w:r>
      <w:r>
        <w:rPr>
          <w:color w:val="231F20"/>
          <w:vertAlign w:val="baseline"/>
        </w:rPr>
        <w:t>HIV</w:t>
      </w:r>
      <w:r>
        <w:rPr>
          <w:color w:val="231F20"/>
          <w:spacing w:val="-6"/>
          <w:vertAlign w:val="baseline"/>
        </w:rPr>
        <w:t> </w:t>
      </w:r>
      <w:r>
        <w:rPr>
          <w:color w:val="231F20"/>
          <w:vertAlign w:val="baseline"/>
        </w:rPr>
        <w:t>outbreaks.</w:t>
      </w:r>
    </w:p>
    <w:p>
      <w:pPr>
        <w:pStyle w:val="BodyText"/>
        <w:spacing w:line="247" w:lineRule="exact"/>
        <w:ind w:left="159"/>
      </w:pPr>
      <w:r>
        <w:rPr>
          <w:color w:val="231F20"/>
        </w:rPr>
        <w:t>SSPs</w:t>
      </w:r>
      <w:r>
        <w:rPr>
          <w:color w:val="231F20"/>
          <w:spacing w:val="-5"/>
        </w:rPr>
        <w:t> </w:t>
      </w:r>
      <w:r>
        <w:rPr>
          <w:color w:val="231F20"/>
        </w:rPr>
        <w:t>have</w:t>
      </w:r>
      <w:r>
        <w:rPr>
          <w:color w:val="231F20"/>
          <w:spacing w:val="-3"/>
        </w:rPr>
        <w:t> </w:t>
      </w:r>
      <w:r>
        <w:rPr>
          <w:color w:val="231F20"/>
        </w:rPr>
        <w:t>also</w:t>
      </w:r>
      <w:r>
        <w:rPr>
          <w:color w:val="231F20"/>
          <w:spacing w:val="-3"/>
        </w:rPr>
        <w:t> </w:t>
      </w:r>
      <w:r>
        <w:rPr>
          <w:color w:val="231F20"/>
        </w:rPr>
        <w:t>been</w:t>
      </w:r>
      <w:r>
        <w:rPr>
          <w:color w:val="231F20"/>
          <w:spacing w:val="-3"/>
        </w:rPr>
        <w:t> </w:t>
      </w:r>
      <w:r>
        <w:rPr>
          <w:color w:val="231F20"/>
        </w:rPr>
        <w:t>effective</w:t>
      </w:r>
      <w:r>
        <w:rPr>
          <w:color w:val="231F20"/>
          <w:spacing w:val="-3"/>
        </w:rPr>
        <w:t> </w:t>
      </w:r>
      <w:r>
        <w:rPr>
          <w:color w:val="231F20"/>
        </w:rPr>
        <w:t>in</w:t>
      </w:r>
      <w:r>
        <w:rPr>
          <w:color w:val="231F20"/>
          <w:spacing w:val="-3"/>
        </w:rPr>
        <w:t> </w:t>
      </w:r>
      <w:r>
        <w:rPr>
          <w:color w:val="231F20"/>
        </w:rPr>
        <w:t>both</w:t>
      </w:r>
      <w:r>
        <w:rPr>
          <w:color w:val="231F20"/>
          <w:spacing w:val="-3"/>
        </w:rPr>
        <w:t> </w:t>
      </w:r>
      <w:r>
        <w:rPr>
          <w:color w:val="231F20"/>
        </w:rPr>
        <w:t>fixed-site</w:t>
      </w:r>
      <w:r>
        <w:rPr>
          <w:color w:val="231F20"/>
          <w:spacing w:val="-4"/>
        </w:rPr>
        <w:t> </w:t>
      </w:r>
      <w:r>
        <w:rPr>
          <w:color w:val="231F20"/>
        </w:rPr>
        <w:t>and</w:t>
      </w:r>
    </w:p>
    <w:p>
      <w:pPr>
        <w:pStyle w:val="BodyText"/>
        <w:spacing w:before="27"/>
        <w:ind w:left="159"/>
      </w:pPr>
      <w:r>
        <w:rPr>
          <w:color w:val="231F20"/>
          <w:spacing w:val="-1"/>
        </w:rPr>
        <w:t>mobile</w:t>
      </w:r>
      <w:r>
        <w:rPr>
          <w:color w:val="231F20"/>
          <w:spacing w:val="-9"/>
        </w:rPr>
        <w:t> </w:t>
      </w:r>
      <w:r>
        <w:rPr>
          <w:color w:val="231F20"/>
          <w:spacing w:val="-1"/>
        </w:rPr>
        <w:t>settings.</w:t>
      </w:r>
      <w:r>
        <w:rPr>
          <w:color w:val="231F20"/>
          <w:spacing w:val="-1"/>
          <w:vertAlign w:val="superscript"/>
        </w:rPr>
        <w:t>30-31</w:t>
      </w:r>
    </w:p>
    <w:p>
      <w:pPr>
        <w:pStyle w:val="Heading5"/>
        <w:spacing w:before="195"/>
        <w:ind w:left="159"/>
        <w:rPr>
          <w:i/>
        </w:rPr>
      </w:pPr>
      <w:r>
        <w:rPr>
          <w:i/>
          <w:color w:val="1C384B"/>
        </w:rPr>
        <w:t>Demographic</w:t>
      </w:r>
      <w:r>
        <w:rPr>
          <w:i/>
          <w:color w:val="1C384B"/>
          <w:spacing w:val="-6"/>
        </w:rPr>
        <w:t> </w:t>
      </w:r>
      <w:r>
        <w:rPr>
          <w:i/>
          <w:color w:val="1C384B"/>
        </w:rPr>
        <w:t>Groups</w:t>
      </w:r>
    </w:p>
    <w:p>
      <w:pPr>
        <w:pStyle w:val="BodyText"/>
        <w:spacing w:line="266" w:lineRule="auto" w:before="184"/>
        <w:ind w:left="159" w:right="324"/>
      </w:pPr>
      <w:r>
        <w:rPr>
          <w:color w:val="231F20"/>
        </w:rPr>
        <w:t>PWID, regardless of gender, age, education, marital</w:t>
      </w:r>
      <w:r>
        <w:rPr>
          <w:color w:val="231F20"/>
          <w:spacing w:val="1"/>
        </w:rPr>
        <w:t> </w:t>
      </w:r>
      <w:r>
        <w:rPr>
          <w:color w:val="231F20"/>
        </w:rPr>
        <w:t>status, income, or housing status, can benefit from</w:t>
      </w:r>
      <w:r>
        <w:rPr>
          <w:color w:val="231F20"/>
          <w:spacing w:val="1"/>
        </w:rPr>
        <w:t> </w:t>
      </w:r>
      <w:r>
        <w:rPr>
          <w:color w:val="231F20"/>
        </w:rPr>
        <w:t>consistent availability of sterile syringes provided</w:t>
      </w:r>
      <w:r>
        <w:rPr>
          <w:color w:val="231F20"/>
          <w:spacing w:val="1"/>
        </w:rPr>
        <w:t> </w:t>
      </w:r>
      <w:r>
        <w:rPr>
          <w:color w:val="231F20"/>
          <w:w w:val="95"/>
        </w:rPr>
        <w:t>through</w:t>
      </w:r>
      <w:r>
        <w:rPr>
          <w:color w:val="231F20"/>
          <w:spacing w:val="13"/>
          <w:w w:val="95"/>
        </w:rPr>
        <w:t> </w:t>
      </w:r>
      <w:r>
        <w:rPr>
          <w:color w:val="231F20"/>
          <w:w w:val="95"/>
        </w:rPr>
        <w:t>SSPs.</w:t>
      </w:r>
      <w:r>
        <w:rPr>
          <w:color w:val="231F20"/>
          <w:w w:val="95"/>
          <w:vertAlign w:val="superscript"/>
        </w:rPr>
        <w:t>34</w:t>
      </w:r>
      <w:r>
        <w:rPr>
          <w:color w:val="231F20"/>
          <w:spacing w:val="-2"/>
          <w:w w:val="95"/>
          <w:vertAlign w:val="baseline"/>
        </w:rPr>
        <w:t> </w:t>
      </w:r>
      <w:r>
        <w:rPr>
          <w:color w:val="231F20"/>
          <w:w w:val="95"/>
          <w:vertAlign w:val="baseline"/>
        </w:rPr>
        <w:t>Access</w:t>
      </w:r>
      <w:r>
        <w:rPr>
          <w:color w:val="231F20"/>
          <w:spacing w:val="12"/>
          <w:w w:val="95"/>
          <w:vertAlign w:val="baseline"/>
        </w:rPr>
        <w:t> </w:t>
      </w:r>
      <w:r>
        <w:rPr>
          <w:color w:val="231F20"/>
          <w:w w:val="95"/>
          <w:vertAlign w:val="baseline"/>
        </w:rPr>
        <w:t>to</w:t>
      </w:r>
      <w:r>
        <w:rPr>
          <w:color w:val="231F20"/>
          <w:spacing w:val="14"/>
          <w:w w:val="95"/>
          <w:vertAlign w:val="baseline"/>
        </w:rPr>
        <w:t> </w:t>
      </w:r>
      <w:r>
        <w:rPr>
          <w:color w:val="231F20"/>
          <w:w w:val="95"/>
          <w:vertAlign w:val="baseline"/>
        </w:rPr>
        <w:t>sterile</w:t>
      </w:r>
      <w:r>
        <w:rPr>
          <w:color w:val="231F20"/>
          <w:spacing w:val="12"/>
          <w:w w:val="95"/>
          <w:vertAlign w:val="baseline"/>
        </w:rPr>
        <w:t> </w:t>
      </w:r>
      <w:r>
        <w:rPr>
          <w:color w:val="231F20"/>
          <w:w w:val="95"/>
          <w:vertAlign w:val="baseline"/>
        </w:rPr>
        <w:t>injection</w:t>
      </w:r>
      <w:r>
        <w:rPr>
          <w:color w:val="231F20"/>
          <w:spacing w:val="13"/>
          <w:w w:val="95"/>
          <w:vertAlign w:val="baseline"/>
        </w:rPr>
        <w:t> </w:t>
      </w:r>
      <w:r>
        <w:rPr>
          <w:color w:val="231F20"/>
          <w:w w:val="95"/>
          <w:vertAlign w:val="baseline"/>
        </w:rPr>
        <w:t>drug</w:t>
      </w:r>
      <w:r>
        <w:rPr>
          <w:color w:val="231F20"/>
          <w:spacing w:val="1"/>
          <w:w w:val="95"/>
          <w:vertAlign w:val="baseline"/>
        </w:rPr>
        <w:t> </w:t>
      </w:r>
      <w:r>
        <w:rPr>
          <w:color w:val="231F20"/>
          <w:vertAlign w:val="baseline"/>
        </w:rPr>
        <w:t>equipment,</w:t>
      </w:r>
      <w:r>
        <w:rPr>
          <w:color w:val="231F20"/>
          <w:spacing w:val="10"/>
          <w:vertAlign w:val="baseline"/>
        </w:rPr>
        <w:t> </w:t>
      </w:r>
      <w:r>
        <w:rPr>
          <w:color w:val="231F20"/>
          <w:vertAlign w:val="baseline"/>
        </w:rPr>
        <w:t>harm</w:t>
      </w:r>
      <w:r>
        <w:rPr>
          <w:color w:val="231F20"/>
          <w:spacing w:val="11"/>
          <w:vertAlign w:val="baseline"/>
        </w:rPr>
        <w:t> </w:t>
      </w:r>
      <w:r>
        <w:rPr>
          <w:color w:val="231F20"/>
          <w:vertAlign w:val="baseline"/>
        </w:rPr>
        <w:t>reduction</w:t>
      </w:r>
      <w:r>
        <w:rPr>
          <w:color w:val="231F20"/>
          <w:spacing w:val="11"/>
          <w:vertAlign w:val="baseline"/>
        </w:rPr>
        <w:t> </w:t>
      </w:r>
      <w:r>
        <w:rPr>
          <w:color w:val="231F20"/>
          <w:vertAlign w:val="baseline"/>
        </w:rPr>
        <w:t>education,</w:t>
      </w:r>
      <w:r>
        <w:rPr>
          <w:color w:val="231F20"/>
          <w:spacing w:val="11"/>
          <w:vertAlign w:val="baseline"/>
        </w:rPr>
        <w:t> </w:t>
      </w:r>
      <w:r>
        <w:rPr>
          <w:color w:val="231F20"/>
          <w:vertAlign w:val="baseline"/>
        </w:rPr>
        <w:t>and</w:t>
      </w:r>
      <w:r>
        <w:rPr>
          <w:color w:val="231F20"/>
          <w:spacing w:val="11"/>
          <w:vertAlign w:val="baseline"/>
        </w:rPr>
        <w:t> </w:t>
      </w:r>
      <w:r>
        <w:rPr>
          <w:color w:val="231F20"/>
          <w:vertAlign w:val="baseline"/>
        </w:rPr>
        <w:t>linkage</w:t>
      </w:r>
      <w:r>
        <w:rPr>
          <w:color w:val="231F20"/>
          <w:spacing w:val="1"/>
          <w:vertAlign w:val="baseline"/>
        </w:rPr>
        <w:t> </w:t>
      </w:r>
      <w:r>
        <w:rPr>
          <w:color w:val="231F20"/>
          <w:vertAlign w:val="baseline"/>
        </w:rPr>
        <w:t>to</w:t>
      </w:r>
      <w:r>
        <w:rPr>
          <w:color w:val="231F20"/>
          <w:spacing w:val="-3"/>
          <w:vertAlign w:val="baseline"/>
        </w:rPr>
        <w:t> </w:t>
      </w:r>
      <w:r>
        <w:rPr>
          <w:color w:val="231F20"/>
          <w:vertAlign w:val="baseline"/>
        </w:rPr>
        <w:t>treatment</w:t>
      </w:r>
      <w:r>
        <w:rPr>
          <w:color w:val="231F20"/>
          <w:spacing w:val="-2"/>
          <w:vertAlign w:val="baseline"/>
        </w:rPr>
        <w:t> </w:t>
      </w:r>
      <w:r>
        <w:rPr>
          <w:color w:val="231F20"/>
          <w:vertAlign w:val="baseline"/>
        </w:rPr>
        <w:t>through</w:t>
      </w:r>
      <w:r>
        <w:rPr>
          <w:color w:val="231F20"/>
          <w:spacing w:val="-2"/>
          <w:vertAlign w:val="baseline"/>
        </w:rPr>
        <w:t> </w:t>
      </w:r>
      <w:r>
        <w:rPr>
          <w:color w:val="231F20"/>
          <w:vertAlign w:val="baseline"/>
        </w:rPr>
        <w:t>SSPs</w:t>
      </w:r>
      <w:r>
        <w:rPr>
          <w:color w:val="231F20"/>
          <w:vertAlign w:val="superscript"/>
        </w:rPr>
        <w:t>22</w:t>
      </w:r>
      <w:r>
        <w:rPr>
          <w:color w:val="231F20"/>
          <w:spacing w:val="-2"/>
          <w:vertAlign w:val="baseline"/>
        </w:rPr>
        <w:t> </w:t>
      </w:r>
      <w:r>
        <w:rPr>
          <w:color w:val="231F20"/>
          <w:vertAlign w:val="baseline"/>
        </w:rPr>
        <w:t>can</w:t>
      </w:r>
      <w:r>
        <w:rPr>
          <w:color w:val="231F20"/>
          <w:spacing w:val="-3"/>
          <w:vertAlign w:val="baseline"/>
        </w:rPr>
        <w:t> </w:t>
      </w:r>
      <w:r>
        <w:rPr>
          <w:color w:val="231F20"/>
          <w:vertAlign w:val="baseline"/>
        </w:rPr>
        <w:t>lead</w:t>
      </w:r>
      <w:r>
        <w:rPr>
          <w:color w:val="231F20"/>
          <w:spacing w:val="-2"/>
          <w:vertAlign w:val="baseline"/>
        </w:rPr>
        <w:t> </w:t>
      </w:r>
      <w:r>
        <w:rPr>
          <w:color w:val="231F20"/>
          <w:vertAlign w:val="baseline"/>
        </w:rPr>
        <w:t>to</w:t>
      </w:r>
      <w:r>
        <w:rPr>
          <w:color w:val="231F20"/>
          <w:spacing w:val="-2"/>
          <w:vertAlign w:val="baseline"/>
        </w:rPr>
        <w:t> </w:t>
      </w:r>
      <w:r>
        <w:rPr>
          <w:color w:val="231F20"/>
          <w:vertAlign w:val="baseline"/>
        </w:rPr>
        <w:t>reductions</w:t>
      </w:r>
      <w:r>
        <w:rPr>
          <w:color w:val="231F20"/>
          <w:spacing w:val="-2"/>
          <w:vertAlign w:val="baseline"/>
        </w:rPr>
        <w:t> </w:t>
      </w:r>
      <w:r>
        <w:rPr>
          <w:color w:val="231F20"/>
          <w:vertAlign w:val="baseline"/>
        </w:rPr>
        <w:t>in</w:t>
      </w:r>
    </w:p>
    <w:p>
      <w:pPr>
        <w:pStyle w:val="BodyText"/>
        <w:spacing w:line="248" w:lineRule="exact"/>
        <w:ind w:left="160"/>
      </w:pPr>
      <w:r>
        <w:rPr>
          <w:color w:val="231F20"/>
        </w:rPr>
        <w:t>harm</w:t>
      </w:r>
      <w:r>
        <w:rPr>
          <w:color w:val="231F20"/>
          <w:spacing w:val="-2"/>
        </w:rPr>
        <w:t> </w:t>
      </w:r>
      <w:r>
        <w:rPr>
          <w:color w:val="231F20"/>
        </w:rPr>
        <w:t>associated</w:t>
      </w:r>
      <w:r>
        <w:rPr>
          <w:color w:val="231F20"/>
          <w:spacing w:val="-1"/>
        </w:rPr>
        <w:t> </w:t>
      </w:r>
      <w:r>
        <w:rPr>
          <w:color w:val="231F20"/>
        </w:rPr>
        <w:t>with</w:t>
      </w:r>
      <w:r>
        <w:rPr>
          <w:color w:val="231F20"/>
          <w:spacing w:val="-2"/>
        </w:rPr>
        <w:t> </w:t>
      </w:r>
      <w:r>
        <w:rPr>
          <w:color w:val="231F20"/>
        </w:rPr>
        <w:t>injection</w:t>
      </w:r>
      <w:r>
        <w:rPr>
          <w:color w:val="231F20"/>
          <w:spacing w:val="-2"/>
        </w:rPr>
        <w:t> </w:t>
      </w:r>
      <w:r>
        <w:rPr>
          <w:color w:val="231F20"/>
        </w:rPr>
        <w:t>drug</w:t>
      </w:r>
      <w:r>
        <w:rPr>
          <w:color w:val="231F20"/>
          <w:spacing w:val="-1"/>
        </w:rPr>
        <w:t> </w:t>
      </w:r>
      <w:r>
        <w:rPr>
          <w:color w:val="231F20"/>
        </w:rPr>
        <w:t>use,</w:t>
      </w:r>
      <w:r>
        <w:rPr>
          <w:color w:val="231F20"/>
          <w:spacing w:val="-1"/>
        </w:rPr>
        <w:t> </w:t>
      </w:r>
      <w:r>
        <w:rPr>
          <w:color w:val="231F20"/>
        </w:rPr>
        <w:t>substance</w:t>
      </w:r>
      <w:r>
        <w:rPr>
          <w:color w:val="231F20"/>
          <w:spacing w:val="-3"/>
        </w:rPr>
        <w:t> </w:t>
      </w:r>
      <w:r>
        <w:rPr>
          <w:color w:val="231F20"/>
        </w:rPr>
        <w:t>use</w:t>
      </w:r>
    </w:p>
    <w:p>
      <w:pPr>
        <w:pStyle w:val="BodyText"/>
        <w:spacing w:before="27"/>
        <w:ind w:left="160"/>
      </w:pPr>
      <w:r>
        <w:rPr>
          <w:color w:val="231F20"/>
        </w:rPr>
        <w:t>frequency,</w:t>
      </w:r>
      <w:r>
        <w:rPr>
          <w:color w:val="231F20"/>
          <w:spacing w:val="-10"/>
        </w:rPr>
        <w:t> </w:t>
      </w:r>
      <w:r>
        <w:rPr>
          <w:color w:val="231F20"/>
        </w:rPr>
        <w:t>and</w:t>
      </w:r>
      <w:r>
        <w:rPr>
          <w:color w:val="231F20"/>
          <w:spacing w:val="-9"/>
        </w:rPr>
        <w:t> </w:t>
      </w:r>
      <w:r>
        <w:rPr>
          <w:color w:val="231F20"/>
        </w:rPr>
        <w:t>overall</w:t>
      </w:r>
      <w:r>
        <w:rPr>
          <w:color w:val="231F20"/>
          <w:spacing w:val="-10"/>
        </w:rPr>
        <w:t> </w:t>
      </w:r>
      <w:r>
        <w:rPr>
          <w:color w:val="231F20"/>
        </w:rPr>
        <w:t>HIV</w:t>
      </w:r>
      <w:r>
        <w:rPr>
          <w:color w:val="231F20"/>
          <w:spacing w:val="-13"/>
        </w:rPr>
        <w:t> </w:t>
      </w:r>
      <w:r>
        <w:rPr>
          <w:color w:val="231F20"/>
        </w:rPr>
        <w:t>incidence.</w:t>
      </w:r>
      <w:r>
        <w:rPr>
          <w:color w:val="231F20"/>
          <w:vertAlign w:val="superscript"/>
        </w:rPr>
        <w:t>30-35</w:t>
      </w:r>
    </w:p>
    <w:p>
      <w:pPr>
        <w:pStyle w:val="BodyText"/>
        <w:spacing w:line="266" w:lineRule="auto" w:before="207"/>
        <w:ind w:left="160" w:right="43"/>
      </w:pPr>
      <w:r>
        <w:rPr>
          <w:color w:val="231F20"/>
        </w:rPr>
        <w:t>Geographic</w:t>
      </w:r>
      <w:r>
        <w:rPr>
          <w:color w:val="231F20"/>
          <w:spacing w:val="14"/>
        </w:rPr>
        <w:t> </w:t>
      </w:r>
      <w:r>
        <w:rPr>
          <w:color w:val="231F20"/>
        </w:rPr>
        <w:t>proximity</w:t>
      </w:r>
      <w:r>
        <w:rPr>
          <w:color w:val="231F20"/>
          <w:spacing w:val="15"/>
        </w:rPr>
        <w:t> </w:t>
      </w:r>
      <w:r>
        <w:rPr>
          <w:color w:val="231F20"/>
        </w:rPr>
        <w:t>may</w:t>
      </w:r>
      <w:r>
        <w:rPr>
          <w:color w:val="231F20"/>
          <w:spacing w:val="14"/>
        </w:rPr>
        <w:t> </w:t>
      </w:r>
      <w:r>
        <w:rPr>
          <w:color w:val="231F20"/>
        </w:rPr>
        <w:t>also</w:t>
      </w:r>
      <w:r>
        <w:rPr>
          <w:color w:val="231F20"/>
          <w:spacing w:val="15"/>
        </w:rPr>
        <w:t> </w:t>
      </w:r>
      <w:r>
        <w:rPr>
          <w:color w:val="231F20"/>
        </w:rPr>
        <w:t>impact</w:t>
      </w:r>
      <w:r>
        <w:rPr>
          <w:color w:val="231F20"/>
          <w:spacing w:val="14"/>
        </w:rPr>
        <w:t> </w:t>
      </w:r>
      <w:r>
        <w:rPr>
          <w:color w:val="231F20"/>
        </w:rPr>
        <w:t>an</w:t>
      </w:r>
      <w:r>
        <w:rPr>
          <w:color w:val="231F20"/>
          <w:spacing w:val="15"/>
        </w:rPr>
        <w:t> </w:t>
      </w:r>
      <w:r>
        <w:rPr>
          <w:color w:val="231F20"/>
        </w:rPr>
        <w:t>individual’s</w:t>
      </w:r>
      <w:r>
        <w:rPr>
          <w:color w:val="231F20"/>
          <w:spacing w:val="-52"/>
        </w:rPr>
        <w:t> </w:t>
      </w:r>
      <w:r>
        <w:rPr>
          <w:color w:val="231F20"/>
        </w:rPr>
        <w:t>ability</w:t>
      </w:r>
      <w:r>
        <w:rPr>
          <w:color w:val="231F20"/>
          <w:spacing w:val="8"/>
        </w:rPr>
        <w:t> </w:t>
      </w:r>
      <w:r>
        <w:rPr>
          <w:color w:val="231F20"/>
        </w:rPr>
        <w:t>to</w:t>
      </w:r>
      <w:r>
        <w:rPr>
          <w:color w:val="231F20"/>
          <w:spacing w:val="9"/>
        </w:rPr>
        <w:t> </w:t>
      </w:r>
      <w:r>
        <w:rPr>
          <w:color w:val="231F20"/>
        </w:rPr>
        <w:t>access</w:t>
      </w:r>
      <w:r>
        <w:rPr>
          <w:color w:val="231F20"/>
          <w:spacing w:val="9"/>
        </w:rPr>
        <w:t> </w:t>
      </w:r>
      <w:r>
        <w:rPr>
          <w:color w:val="231F20"/>
        </w:rPr>
        <w:t>an</w:t>
      </w:r>
      <w:r>
        <w:rPr>
          <w:color w:val="231F20"/>
          <w:spacing w:val="9"/>
        </w:rPr>
        <w:t> </w:t>
      </w:r>
      <w:r>
        <w:rPr>
          <w:color w:val="231F20"/>
        </w:rPr>
        <w:t>SSP,</w:t>
      </w:r>
      <w:r>
        <w:rPr>
          <w:color w:val="231F20"/>
          <w:spacing w:val="9"/>
        </w:rPr>
        <w:t> </w:t>
      </w:r>
      <w:r>
        <w:rPr>
          <w:color w:val="231F20"/>
        </w:rPr>
        <w:t>suggesting</w:t>
      </w:r>
      <w:r>
        <w:rPr>
          <w:color w:val="231F20"/>
          <w:spacing w:val="9"/>
        </w:rPr>
        <w:t> </w:t>
      </w:r>
      <w:r>
        <w:rPr>
          <w:color w:val="231F20"/>
        </w:rPr>
        <w:t>that</w:t>
      </w:r>
      <w:r>
        <w:rPr>
          <w:color w:val="231F20"/>
          <w:spacing w:val="9"/>
        </w:rPr>
        <w:t> </w:t>
      </w:r>
      <w:r>
        <w:rPr>
          <w:color w:val="231F20"/>
        </w:rPr>
        <w:t>populations</w:t>
      </w:r>
      <w:r>
        <w:rPr>
          <w:color w:val="231F20"/>
          <w:spacing w:val="1"/>
        </w:rPr>
        <w:t> </w:t>
      </w:r>
      <w:r>
        <w:rPr>
          <w:color w:val="231F20"/>
        </w:rPr>
        <w:t>living</w:t>
      </w:r>
      <w:r>
        <w:rPr>
          <w:color w:val="231F20"/>
          <w:spacing w:val="7"/>
        </w:rPr>
        <w:t> </w:t>
      </w:r>
      <w:r>
        <w:rPr>
          <w:color w:val="231F20"/>
        </w:rPr>
        <w:t>near</w:t>
      </w:r>
      <w:r>
        <w:rPr>
          <w:color w:val="231F20"/>
          <w:spacing w:val="8"/>
        </w:rPr>
        <w:t> </w:t>
      </w:r>
      <w:r>
        <w:rPr>
          <w:color w:val="231F20"/>
        </w:rPr>
        <w:t>SSPs</w:t>
      </w:r>
      <w:r>
        <w:rPr>
          <w:color w:val="231F20"/>
          <w:spacing w:val="8"/>
        </w:rPr>
        <w:t> </w:t>
      </w:r>
      <w:r>
        <w:rPr>
          <w:color w:val="231F20"/>
        </w:rPr>
        <w:t>benefit</w:t>
      </w:r>
      <w:r>
        <w:rPr>
          <w:color w:val="231F20"/>
          <w:spacing w:val="7"/>
        </w:rPr>
        <w:t> </w:t>
      </w:r>
      <w:r>
        <w:rPr>
          <w:color w:val="231F20"/>
        </w:rPr>
        <w:t>most</w:t>
      </w:r>
      <w:r>
        <w:rPr>
          <w:color w:val="231F20"/>
          <w:spacing w:val="8"/>
        </w:rPr>
        <w:t> </w:t>
      </w:r>
      <w:r>
        <w:rPr>
          <w:color w:val="231F20"/>
        </w:rPr>
        <w:t>from</w:t>
      </w:r>
      <w:r>
        <w:rPr>
          <w:color w:val="231F20"/>
          <w:spacing w:val="8"/>
        </w:rPr>
        <w:t> </w:t>
      </w:r>
      <w:r>
        <w:rPr>
          <w:color w:val="231F20"/>
        </w:rPr>
        <w:t>their</w:t>
      </w:r>
      <w:r>
        <w:rPr>
          <w:color w:val="231F20"/>
          <w:spacing w:val="8"/>
        </w:rPr>
        <w:t> </w:t>
      </w:r>
      <w:r>
        <w:rPr>
          <w:color w:val="231F20"/>
        </w:rPr>
        <w:t>services.</w:t>
      </w:r>
      <w:r>
        <w:rPr>
          <w:color w:val="231F20"/>
          <w:vertAlign w:val="superscript"/>
        </w:rPr>
        <w:t>32</w:t>
      </w:r>
    </w:p>
    <w:p>
      <w:pPr>
        <w:pStyle w:val="BodyText"/>
        <w:spacing w:line="266" w:lineRule="auto" w:before="177"/>
        <w:ind w:left="160" w:right="183"/>
      </w:pPr>
      <w:r>
        <w:rPr>
          <w:color w:val="231F20"/>
        </w:rPr>
        <w:t>In</w:t>
      </w:r>
      <w:r>
        <w:rPr>
          <w:color w:val="231F20"/>
          <w:spacing w:val="-3"/>
        </w:rPr>
        <w:t> </w:t>
      </w:r>
      <w:r>
        <w:rPr>
          <w:color w:val="231F20"/>
        </w:rPr>
        <w:t>this</w:t>
      </w:r>
      <w:r>
        <w:rPr>
          <w:color w:val="231F20"/>
          <w:spacing w:val="-3"/>
        </w:rPr>
        <w:t> </w:t>
      </w:r>
      <w:r>
        <w:rPr>
          <w:color w:val="231F20"/>
        </w:rPr>
        <w:t>practice,</w:t>
      </w:r>
      <w:r>
        <w:rPr>
          <w:color w:val="231F20"/>
          <w:spacing w:val="-3"/>
        </w:rPr>
        <w:t> </w:t>
      </w:r>
      <w:r>
        <w:rPr>
          <w:color w:val="231F20"/>
        </w:rPr>
        <w:t>individuals</w:t>
      </w:r>
      <w:r>
        <w:rPr>
          <w:color w:val="231F20"/>
          <w:spacing w:val="-3"/>
        </w:rPr>
        <w:t> </w:t>
      </w:r>
      <w:r>
        <w:rPr>
          <w:color w:val="231F20"/>
        </w:rPr>
        <w:t>can</w:t>
      </w:r>
      <w:r>
        <w:rPr>
          <w:color w:val="231F20"/>
          <w:spacing w:val="-2"/>
        </w:rPr>
        <w:t> </w:t>
      </w:r>
      <w:r>
        <w:rPr>
          <w:color w:val="231F20"/>
        </w:rPr>
        <w:t>acquire</w:t>
      </w:r>
      <w:r>
        <w:rPr>
          <w:color w:val="231F20"/>
          <w:spacing w:val="-3"/>
        </w:rPr>
        <w:t> </w:t>
      </w:r>
      <w:r>
        <w:rPr>
          <w:color w:val="231F20"/>
        </w:rPr>
        <w:t>large</w:t>
      </w:r>
      <w:r>
        <w:rPr>
          <w:color w:val="231F20"/>
          <w:spacing w:val="-3"/>
        </w:rPr>
        <w:t> </w:t>
      </w:r>
      <w:r>
        <w:rPr>
          <w:color w:val="231F20"/>
        </w:rPr>
        <w:t>numbers</w:t>
      </w:r>
      <w:r>
        <w:rPr>
          <w:color w:val="231F20"/>
          <w:spacing w:val="-52"/>
        </w:rPr>
        <w:t> </w:t>
      </w:r>
      <w:r>
        <w:rPr>
          <w:color w:val="231F20"/>
        </w:rPr>
        <w:t>of</w:t>
      </w:r>
      <w:r>
        <w:rPr>
          <w:color w:val="231F20"/>
          <w:spacing w:val="-1"/>
        </w:rPr>
        <w:t> </w:t>
      </w:r>
      <w:r>
        <w:rPr>
          <w:color w:val="231F20"/>
        </w:rPr>
        <w:t>syringes</w:t>
      </w:r>
      <w:r>
        <w:rPr>
          <w:color w:val="231F20"/>
          <w:spacing w:val="-2"/>
        </w:rPr>
        <w:t> </w:t>
      </w:r>
      <w:r>
        <w:rPr>
          <w:color w:val="231F20"/>
        </w:rPr>
        <w:t>to distribute</w:t>
      </w:r>
      <w:r>
        <w:rPr>
          <w:color w:val="231F20"/>
          <w:spacing w:val="-1"/>
        </w:rPr>
        <w:t> </w:t>
      </w:r>
      <w:r>
        <w:rPr>
          <w:color w:val="231F20"/>
        </w:rPr>
        <w:t>to their</w:t>
      </w:r>
      <w:r>
        <w:rPr>
          <w:color w:val="231F20"/>
          <w:spacing w:val="-1"/>
        </w:rPr>
        <w:t> </w:t>
      </w:r>
      <w:r>
        <w:rPr>
          <w:color w:val="231F20"/>
        </w:rPr>
        <w:t>networks of</w:t>
      </w:r>
      <w:r>
        <w:rPr>
          <w:color w:val="231F20"/>
          <w:spacing w:val="-1"/>
        </w:rPr>
        <w:t> </w:t>
      </w:r>
      <w:r>
        <w:rPr>
          <w:color w:val="231F20"/>
        </w:rPr>
        <w:t>others</w:t>
      </w:r>
    </w:p>
    <w:p>
      <w:pPr>
        <w:pStyle w:val="BodyText"/>
        <w:spacing w:line="266" w:lineRule="auto" w:before="91"/>
        <w:ind w:left="160" w:right="1017"/>
      </w:pPr>
      <w:r>
        <w:rPr/>
        <w:br w:type="column"/>
      </w:r>
      <w:r>
        <w:rPr>
          <w:color w:val="231F20"/>
        </w:rPr>
        <w:t>who also inject. As a result, SSPs can facilitate a</w:t>
      </w:r>
      <w:r>
        <w:rPr>
          <w:color w:val="231F20"/>
          <w:spacing w:val="1"/>
        </w:rPr>
        <w:t> </w:t>
      </w:r>
      <w:r>
        <w:rPr>
          <w:color w:val="231F20"/>
        </w:rPr>
        <w:t>larger</w:t>
      </w:r>
      <w:r>
        <w:rPr>
          <w:color w:val="231F20"/>
          <w:spacing w:val="-3"/>
        </w:rPr>
        <w:t> </w:t>
      </w:r>
      <w:r>
        <w:rPr>
          <w:color w:val="231F20"/>
        </w:rPr>
        <w:t>number</w:t>
      </w:r>
      <w:r>
        <w:rPr>
          <w:color w:val="231F20"/>
          <w:spacing w:val="-3"/>
        </w:rPr>
        <w:t> </w:t>
      </w:r>
      <w:r>
        <w:rPr>
          <w:color w:val="231F20"/>
        </w:rPr>
        <w:t>of</w:t>
      </w:r>
      <w:r>
        <w:rPr>
          <w:color w:val="231F20"/>
          <w:spacing w:val="-3"/>
        </w:rPr>
        <w:t> </w:t>
      </w:r>
      <w:r>
        <w:rPr>
          <w:color w:val="231F20"/>
        </w:rPr>
        <w:t>sterile</w:t>
      </w:r>
      <w:r>
        <w:rPr>
          <w:color w:val="231F20"/>
          <w:spacing w:val="-4"/>
        </w:rPr>
        <w:t> </w:t>
      </w:r>
      <w:r>
        <w:rPr>
          <w:color w:val="231F20"/>
        </w:rPr>
        <w:t>syringes</w:t>
      </w:r>
      <w:r>
        <w:rPr>
          <w:color w:val="231F20"/>
          <w:spacing w:val="-4"/>
        </w:rPr>
        <w:t> </w:t>
      </w:r>
      <w:r>
        <w:rPr>
          <w:color w:val="231F20"/>
        </w:rPr>
        <w:t>available</w:t>
      </w:r>
      <w:r>
        <w:rPr>
          <w:color w:val="231F20"/>
          <w:spacing w:val="-3"/>
        </w:rPr>
        <w:t> </w:t>
      </w:r>
      <w:r>
        <w:rPr>
          <w:color w:val="231F20"/>
        </w:rPr>
        <w:t>within</w:t>
      </w:r>
      <w:r>
        <w:rPr>
          <w:color w:val="231F20"/>
          <w:spacing w:val="-4"/>
        </w:rPr>
        <w:t> </w:t>
      </w:r>
      <w:r>
        <w:rPr>
          <w:color w:val="231F20"/>
        </w:rPr>
        <w:t>a</w:t>
      </w:r>
      <w:r>
        <w:rPr>
          <w:color w:val="231F20"/>
          <w:spacing w:val="-52"/>
        </w:rPr>
        <w:t> </w:t>
      </w:r>
      <w:r>
        <w:rPr>
          <w:color w:val="231F20"/>
          <w:w w:val="95"/>
        </w:rPr>
        <w:t>community.</w:t>
      </w:r>
      <w:r>
        <w:rPr>
          <w:color w:val="231F20"/>
          <w:w w:val="95"/>
          <w:vertAlign w:val="superscript"/>
        </w:rPr>
        <w:t>33,</w:t>
      </w:r>
      <w:r>
        <w:rPr>
          <w:color w:val="231F20"/>
          <w:spacing w:val="-21"/>
          <w:w w:val="95"/>
          <w:vertAlign w:val="baseline"/>
        </w:rPr>
        <w:t> </w:t>
      </w:r>
      <w:r>
        <w:rPr>
          <w:color w:val="231F20"/>
          <w:w w:val="95"/>
          <w:vertAlign w:val="superscript"/>
        </w:rPr>
        <w:t>37</w:t>
      </w:r>
    </w:p>
    <w:p>
      <w:pPr>
        <w:pStyle w:val="Heading5"/>
        <w:spacing w:before="166"/>
        <w:rPr>
          <w:i/>
        </w:rPr>
      </w:pPr>
      <w:r>
        <w:rPr>
          <w:i/>
          <w:color w:val="1C384B"/>
        </w:rPr>
        <w:t>Practitioner</w:t>
      </w:r>
      <w:r>
        <w:rPr>
          <w:i/>
          <w:color w:val="1C384B"/>
          <w:spacing w:val="-9"/>
        </w:rPr>
        <w:t> </w:t>
      </w:r>
      <w:r>
        <w:rPr>
          <w:i/>
          <w:color w:val="1C384B"/>
        </w:rPr>
        <w:t>Types</w:t>
      </w:r>
    </w:p>
    <w:p>
      <w:pPr>
        <w:pStyle w:val="BodyText"/>
        <w:spacing w:before="183"/>
        <w:ind w:left="160"/>
      </w:pPr>
      <w:r>
        <w:rPr>
          <w:color w:val="231F20"/>
          <w:spacing w:val="-2"/>
        </w:rPr>
        <w:t>SSP</w:t>
      </w:r>
      <w:r>
        <w:rPr>
          <w:color w:val="231F20"/>
          <w:spacing w:val="-13"/>
        </w:rPr>
        <w:t> </w:t>
      </w:r>
      <w:r>
        <w:rPr>
          <w:color w:val="231F20"/>
          <w:spacing w:val="-2"/>
        </w:rPr>
        <w:t>activities</w:t>
      </w:r>
      <w:r>
        <w:rPr>
          <w:color w:val="231F20"/>
          <w:spacing w:val="-3"/>
        </w:rPr>
        <w:t> </w:t>
      </w:r>
      <w:r>
        <w:rPr>
          <w:color w:val="231F20"/>
          <w:spacing w:val="-2"/>
        </w:rPr>
        <w:t>can</w:t>
      </w:r>
      <w:r>
        <w:rPr>
          <w:color w:val="231F20"/>
          <w:spacing w:val="-3"/>
        </w:rPr>
        <w:t> </w:t>
      </w:r>
      <w:r>
        <w:rPr>
          <w:color w:val="231F20"/>
          <w:spacing w:val="-2"/>
        </w:rPr>
        <w:t>be</w:t>
      </w:r>
      <w:r>
        <w:rPr>
          <w:color w:val="231F20"/>
          <w:spacing w:val="-3"/>
        </w:rPr>
        <w:t> </w:t>
      </w:r>
      <w:r>
        <w:rPr>
          <w:color w:val="231F20"/>
          <w:spacing w:val="-2"/>
        </w:rPr>
        <w:t>conducted</w:t>
      </w:r>
      <w:r>
        <w:rPr>
          <w:color w:val="231F20"/>
          <w:spacing w:val="-4"/>
        </w:rPr>
        <w:t> </w:t>
      </w:r>
      <w:r>
        <w:rPr>
          <w:color w:val="231F20"/>
          <w:spacing w:val="-1"/>
        </w:rPr>
        <w:t>by:</w:t>
      </w:r>
    </w:p>
    <w:p>
      <w:pPr>
        <w:pStyle w:val="ListParagraph"/>
        <w:numPr>
          <w:ilvl w:val="0"/>
          <w:numId w:val="4"/>
        </w:numPr>
        <w:tabs>
          <w:tab w:pos="879" w:val="left" w:leader="none"/>
          <w:tab w:pos="880" w:val="left" w:leader="none"/>
        </w:tabs>
        <w:spacing w:line="249" w:lineRule="auto" w:before="176" w:after="0"/>
        <w:ind w:left="879" w:right="1162" w:hanging="360"/>
        <w:jc w:val="left"/>
        <w:rPr>
          <w:rFonts w:ascii="Symbol" w:hAnsi="Symbol"/>
          <w:color w:val="010202"/>
          <w:sz w:val="22"/>
        </w:rPr>
      </w:pPr>
      <w:r>
        <w:rPr>
          <w:color w:val="010202"/>
          <w:sz w:val="22"/>
        </w:rPr>
        <w:t>Pharmacists, pharmacy managers, clerks,</w:t>
      </w:r>
      <w:r>
        <w:rPr>
          <w:color w:val="010202"/>
          <w:spacing w:val="1"/>
          <w:sz w:val="22"/>
        </w:rPr>
        <w:t> </w:t>
      </w:r>
      <w:r>
        <w:rPr>
          <w:color w:val="010202"/>
          <w:sz w:val="22"/>
        </w:rPr>
        <w:t>and</w:t>
      </w:r>
      <w:r>
        <w:rPr>
          <w:color w:val="010202"/>
          <w:spacing w:val="-6"/>
          <w:sz w:val="22"/>
        </w:rPr>
        <w:t> </w:t>
      </w:r>
      <w:r>
        <w:rPr>
          <w:color w:val="010202"/>
          <w:sz w:val="22"/>
        </w:rPr>
        <w:t>technicians</w:t>
      </w:r>
      <w:r>
        <w:rPr>
          <w:color w:val="010202"/>
          <w:spacing w:val="-6"/>
          <w:sz w:val="22"/>
        </w:rPr>
        <w:t> </w:t>
      </w:r>
      <w:r>
        <w:rPr>
          <w:color w:val="010202"/>
          <w:sz w:val="22"/>
        </w:rPr>
        <w:t>dispensing</w:t>
      </w:r>
      <w:r>
        <w:rPr>
          <w:color w:val="010202"/>
          <w:spacing w:val="-6"/>
          <w:sz w:val="22"/>
        </w:rPr>
        <w:t> </w:t>
      </w:r>
      <w:r>
        <w:rPr>
          <w:color w:val="010202"/>
          <w:sz w:val="22"/>
        </w:rPr>
        <w:t>over-the-counter</w:t>
      </w:r>
      <w:r>
        <w:rPr>
          <w:color w:val="010202"/>
          <w:spacing w:val="-52"/>
          <w:sz w:val="22"/>
        </w:rPr>
        <w:t> </w:t>
      </w:r>
      <w:r>
        <w:rPr>
          <w:color w:val="010202"/>
          <w:w w:val="95"/>
          <w:sz w:val="22"/>
        </w:rPr>
        <w:t>syringes</w:t>
      </w:r>
      <w:r>
        <w:rPr>
          <w:color w:val="010202"/>
          <w:w w:val="95"/>
          <w:sz w:val="22"/>
          <w:vertAlign w:val="superscript"/>
        </w:rPr>
        <w:t>34,</w:t>
      </w:r>
      <w:r>
        <w:rPr>
          <w:color w:val="010202"/>
          <w:spacing w:val="-21"/>
          <w:w w:val="95"/>
          <w:sz w:val="22"/>
          <w:vertAlign w:val="baseline"/>
        </w:rPr>
        <w:t> </w:t>
      </w:r>
      <w:r>
        <w:rPr>
          <w:color w:val="010202"/>
          <w:w w:val="95"/>
          <w:sz w:val="22"/>
          <w:vertAlign w:val="superscript"/>
        </w:rPr>
        <w:t>38</w:t>
      </w:r>
    </w:p>
    <w:p>
      <w:pPr>
        <w:pStyle w:val="ListParagraph"/>
        <w:numPr>
          <w:ilvl w:val="0"/>
          <w:numId w:val="4"/>
        </w:numPr>
        <w:tabs>
          <w:tab w:pos="879" w:val="left" w:leader="none"/>
          <w:tab w:pos="880" w:val="left" w:leader="none"/>
        </w:tabs>
        <w:spacing w:line="255" w:lineRule="exact" w:before="0" w:after="0"/>
        <w:ind w:left="879" w:right="0" w:hanging="360"/>
        <w:jc w:val="left"/>
        <w:rPr>
          <w:rFonts w:ascii="Symbol" w:hAnsi="Symbol"/>
          <w:color w:val="010202"/>
          <w:sz w:val="22"/>
        </w:rPr>
      </w:pPr>
      <w:r>
        <w:rPr>
          <w:color w:val="010202"/>
          <w:sz w:val="22"/>
        </w:rPr>
        <w:t>Care</w:t>
      </w:r>
      <w:r>
        <w:rPr>
          <w:color w:val="010202"/>
          <w:spacing w:val="-4"/>
          <w:sz w:val="22"/>
        </w:rPr>
        <w:t> </w:t>
      </w:r>
      <w:r>
        <w:rPr>
          <w:color w:val="010202"/>
          <w:sz w:val="22"/>
        </w:rPr>
        <w:t>service</w:t>
      </w:r>
      <w:r>
        <w:rPr>
          <w:color w:val="010202"/>
          <w:spacing w:val="-5"/>
          <w:sz w:val="22"/>
        </w:rPr>
        <w:t> </w:t>
      </w:r>
      <w:r>
        <w:rPr>
          <w:color w:val="010202"/>
          <w:sz w:val="22"/>
        </w:rPr>
        <w:t>coordinators</w:t>
      </w:r>
      <w:r>
        <w:rPr>
          <w:color w:val="010202"/>
          <w:sz w:val="22"/>
          <w:vertAlign w:val="superscript"/>
        </w:rPr>
        <w:t>31</w:t>
      </w:r>
      <w:r>
        <w:rPr>
          <w:color w:val="010202"/>
          <w:spacing w:val="-3"/>
          <w:sz w:val="22"/>
          <w:vertAlign w:val="baseline"/>
        </w:rPr>
        <w:t> </w:t>
      </w:r>
      <w:r>
        <w:rPr>
          <w:color w:val="010202"/>
          <w:sz w:val="22"/>
          <w:vertAlign w:val="baseline"/>
        </w:rPr>
        <w:t>and</w:t>
      </w:r>
      <w:r>
        <w:rPr>
          <w:color w:val="010202"/>
          <w:spacing w:val="-4"/>
          <w:sz w:val="22"/>
          <w:vertAlign w:val="baseline"/>
        </w:rPr>
        <w:t> </w:t>
      </w:r>
      <w:r>
        <w:rPr>
          <w:color w:val="010202"/>
          <w:sz w:val="22"/>
          <w:vertAlign w:val="baseline"/>
        </w:rPr>
        <w:t>outreach</w:t>
      </w:r>
    </w:p>
    <w:p>
      <w:pPr>
        <w:pStyle w:val="BodyText"/>
        <w:spacing w:line="251" w:lineRule="exact" w:before="10"/>
        <w:ind w:left="879"/>
      </w:pPr>
      <w:r>
        <w:rPr>
          <w:color w:val="010202"/>
        </w:rPr>
        <w:t>workers</w:t>
      </w:r>
      <w:r>
        <w:rPr>
          <w:color w:val="010202"/>
          <w:vertAlign w:val="superscript"/>
        </w:rPr>
        <w:t>39</w:t>
      </w:r>
    </w:p>
    <w:p>
      <w:pPr>
        <w:pStyle w:val="ListParagraph"/>
        <w:numPr>
          <w:ilvl w:val="0"/>
          <w:numId w:val="4"/>
        </w:numPr>
        <w:tabs>
          <w:tab w:pos="879" w:val="left" w:leader="none"/>
          <w:tab w:pos="880" w:val="left" w:leader="none"/>
        </w:tabs>
        <w:spacing w:line="249" w:lineRule="auto" w:before="0" w:after="0"/>
        <w:ind w:left="879" w:right="1205" w:hanging="360"/>
        <w:jc w:val="left"/>
        <w:rPr>
          <w:rFonts w:ascii="Symbol" w:hAnsi="Symbol"/>
          <w:color w:val="010202"/>
          <w:sz w:val="22"/>
        </w:rPr>
      </w:pPr>
      <w:r>
        <w:rPr>
          <w:color w:val="010202"/>
          <w:sz w:val="22"/>
        </w:rPr>
        <w:t>Professional</w:t>
      </w:r>
      <w:r>
        <w:rPr>
          <w:color w:val="010202"/>
          <w:spacing w:val="-6"/>
          <w:sz w:val="22"/>
        </w:rPr>
        <w:t> </w:t>
      </w:r>
      <w:r>
        <w:rPr>
          <w:color w:val="010202"/>
          <w:sz w:val="22"/>
        </w:rPr>
        <w:t>staff</w:t>
      </w:r>
      <w:r>
        <w:rPr>
          <w:color w:val="010202"/>
          <w:spacing w:val="-4"/>
          <w:sz w:val="22"/>
        </w:rPr>
        <w:t> </w:t>
      </w:r>
      <w:r>
        <w:rPr>
          <w:color w:val="010202"/>
          <w:sz w:val="22"/>
        </w:rPr>
        <w:t>and</w:t>
      </w:r>
      <w:r>
        <w:rPr>
          <w:color w:val="010202"/>
          <w:spacing w:val="-4"/>
          <w:sz w:val="22"/>
        </w:rPr>
        <w:t> </w:t>
      </w:r>
      <w:r>
        <w:rPr>
          <w:color w:val="010202"/>
          <w:sz w:val="22"/>
        </w:rPr>
        <w:t>volunteers</w:t>
      </w:r>
      <w:r>
        <w:rPr>
          <w:color w:val="010202"/>
          <w:spacing w:val="-4"/>
          <w:sz w:val="22"/>
        </w:rPr>
        <w:t> </w:t>
      </w:r>
      <w:r>
        <w:rPr>
          <w:color w:val="010202"/>
          <w:sz w:val="22"/>
        </w:rPr>
        <w:t>(including</w:t>
      </w:r>
      <w:r>
        <w:rPr>
          <w:color w:val="010202"/>
          <w:spacing w:val="-52"/>
          <w:sz w:val="22"/>
        </w:rPr>
        <w:t> </w:t>
      </w:r>
      <w:r>
        <w:rPr>
          <w:color w:val="010202"/>
          <w:sz w:val="22"/>
        </w:rPr>
        <w:t>trained healthcare professionals)</w:t>
      </w:r>
    </w:p>
    <w:p>
      <w:pPr>
        <w:pStyle w:val="BodyText"/>
        <w:spacing w:line="266" w:lineRule="auto" w:before="194"/>
        <w:ind w:left="159" w:right="919"/>
      </w:pPr>
      <w:r>
        <w:rPr>
          <w:color w:val="231F20"/>
        </w:rPr>
        <w:t>These</w:t>
      </w:r>
      <w:r>
        <w:rPr>
          <w:color w:val="231F20"/>
          <w:spacing w:val="-14"/>
        </w:rPr>
        <w:t> </w:t>
      </w:r>
      <w:r>
        <w:rPr>
          <w:color w:val="231F20"/>
        </w:rPr>
        <w:t>personnel</w:t>
      </w:r>
      <w:r>
        <w:rPr>
          <w:color w:val="231F20"/>
          <w:spacing w:val="-13"/>
        </w:rPr>
        <w:t> </w:t>
      </w:r>
      <w:r>
        <w:rPr>
          <w:color w:val="231F20"/>
        </w:rPr>
        <w:t>are</w:t>
      </w:r>
      <w:r>
        <w:rPr>
          <w:color w:val="231F20"/>
          <w:spacing w:val="-14"/>
        </w:rPr>
        <w:t> </w:t>
      </w:r>
      <w:r>
        <w:rPr>
          <w:color w:val="231F20"/>
        </w:rPr>
        <w:t>best</w:t>
      </w:r>
      <w:r>
        <w:rPr>
          <w:color w:val="231F20"/>
          <w:spacing w:val="-13"/>
        </w:rPr>
        <w:t> </w:t>
      </w:r>
      <w:r>
        <w:rPr>
          <w:color w:val="231F20"/>
        </w:rPr>
        <w:t>equipped</w:t>
      </w:r>
      <w:r>
        <w:rPr>
          <w:color w:val="231F20"/>
          <w:spacing w:val="-14"/>
        </w:rPr>
        <w:t> </w:t>
      </w:r>
      <w:r>
        <w:rPr>
          <w:color w:val="231F20"/>
        </w:rPr>
        <w:t>to</w:t>
      </w:r>
      <w:r>
        <w:rPr>
          <w:color w:val="231F20"/>
          <w:spacing w:val="-13"/>
        </w:rPr>
        <w:t> </w:t>
      </w:r>
      <w:r>
        <w:rPr>
          <w:color w:val="231F20"/>
        </w:rPr>
        <w:t>take</w:t>
      </w:r>
      <w:r>
        <w:rPr>
          <w:color w:val="231F20"/>
          <w:spacing w:val="-14"/>
        </w:rPr>
        <w:t> </w:t>
      </w:r>
      <w:r>
        <w:rPr>
          <w:color w:val="231F20"/>
        </w:rPr>
        <w:t>on</w:t>
      </w:r>
      <w:r>
        <w:rPr>
          <w:color w:val="231F20"/>
          <w:spacing w:val="-13"/>
        </w:rPr>
        <w:t> </w:t>
      </w:r>
      <w:r>
        <w:rPr>
          <w:color w:val="231F20"/>
        </w:rPr>
        <w:t>these</w:t>
      </w:r>
      <w:r>
        <w:rPr>
          <w:color w:val="231F20"/>
          <w:spacing w:val="-14"/>
        </w:rPr>
        <w:t> </w:t>
      </w:r>
      <w:r>
        <w:rPr>
          <w:color w:val="231F20"/>
        </w:rPr>
        <w:t>roles</w:t>
      </w:r>
      <w:r>
        <w:rPr>
          <w:color w:val="231F20"/>
          <w:spacing w:val="-52"/>
        </w:rPr>
        <w:t> </w:t>
      </w:r>
      <w:r>
        <w:rPr>
          <w:color w:val="231F20"/>
          <w:spacing w:val="-1"/>
        </w:rPr>
        <w:t>when provided with </w:t>
      </w:r>
      <w:r>
        <w:rPr>
          <w:color w:val="231F20"/>
        </w:rPr>
        <w:t>overdose prevention and response</w:t>
      </w:r>
      <w:r>
        <w:rPr>
          <w:color w:val="231F20"/>
          <w:spacing w:val="-52"/>
        </w:rPr>
        <w:t> </w:t>
      </w:r>
      <w:r>
        <w:rPr>
          <w:color w:val="231F20"/>
          <w:spacing w:val="-1"/>
        </w:rPr>
        <w:t>training and appropriate education about </w:t>
      </w:r>
      <w:r>
        <w:rPr>
          <w:color w:val="231F20"/>
        </w:rPr>
        <w:t>sterile syringe</w:t>
      </w:r>
      <w:r>
        <w:rPr>
          <w:color w:val="231F20"/>
          <w:spacing w:val="-52"/>
        </w:rPr>
        <w:t> </w:t>
      </w:r>
      <w:r>
        <w:rPr>
          <w:color w:val="231F20"/>
        </w:rPr>
        <w:t>distribution</w:t>
      </w:r>
      <w:r>
        <w:rPr>
          <w:color w:val="231F20"/>
          <w:spacing w:val="-8"/>
        </w:rPr>
        <w:t> </w:t>
      </w:r>
      <w:r>
        <w:rPr>
          <w:color w:val="231F20"/>
        </w:rPr>
        <w:t>and</w:t>
      </w:r>
      <w:r>
        <w:rPr>
          <w:color w:val="231F20"/>
          <w:spacing w:val="-8"/>
        </w:rPr>
        <w:t> </w:t>
      </w:r>
      <w:r>
        <w:rPr>
          <w:color w:val="231F20"/>
        </w:rPr>
        <w:t>needle-stick</w:t>
      </w:r>
      <w:r>
        <w:rPr>
          <w:color w:val="231F20"/>
          <w:spacing w:val="-7"/>
        </w:rPr>
        <w:t> </w:t>
      </w:r>
      <w:r>
        <w:rPr>
          <w:color w:val="231F20"/>
        </w:rPr>
        <w:t>injuries.</w:t>
      </w:r>
      <w:r>
        <w:rPr>
          <w:color w:val="231F20"/>
          <w:vertAlign w:val="superscript"/>
        </w:rPr>
        <w:t>40-41</w:t>
      </w:r>
    </w:p>
    <w:p>
      <w:pPr>
        <w:pStyle w:val="Heading5"/>
        <w:spacing w:before="165"/>
        <w:rPr>
          <w:i/>
        </w:rPr>
      </w:pPr>
      <w:r>
        <w:rPr>
          <w:i/>
          <w:color w:val="1C384B"/>
        </w:rPr>
        <w:t>Intensity</w:t>
      </w:r>
      <w:r>
        <w:rPr>
          <w:i/>
          <w:color w:val="1C384B"/>
          <w:spacing w:val="-4"/>
        </w:rPr>
        <w:t> </w:t>
      </w:r>
      <w:r>
        <w:rPr>
          <w:i/>
          <w:color w:val="1C384B"/>
        </w:rPr>
        <w:t>and</w:t>
      </w:r>
      <w:r>
        <w:rPr>
          <w:i/>
          <w:color w:val="1C384B"/>
          <w:spacing w:val="-4"/>
        </w:rPr>
        <w:t> </w:t>
      </w:r>
      <w:r>
        <w:rPr>
          <w:i/>
          <w:color w:val="1C384B"/>
        </w:rPr>
        <w:t>Duration</w:t>
      </w:r>
    </w:p>
    <w:p>
      <w:pPr>
        <w:pStyle w:val="BodyText"/>
        <w:spacing w:line="266" w:lineRule="auto" w:before="184"/>
        <w:ind w:left="160" w:right="990"/>
      </w:pPr>
      <w:r>
        <w:rPr>
          <w:color w:val="231F20"/>
        </w:rPr>
        <w:t>SSPs are structural interventions designed to impact</w:t>
      </w:r>
      <w:r>
        <w:rPr>
          <w:color w:val="231F20"/>
          <w:spacing w:val="1"/>
        </w:rPr>
        <w:t> </w:t>
      </w:r>
      <w:r>
        <w:rPr>
          <w:color w:val="231F20"/>
          <w:w w:val="95"/>
        </w:rPr>
        <w:t>population</w:t>
      </w:r>
      <w:r>
        <w:rPr>
          <w:color w:val="231F20"/>
          <w:spacing w:val="14"/>
          <w:w w:val="95"/>
        </w:rPr>
        <w:t> </w:t>
      </w:r>
      <w:r>
        <w:rPr>
          <w:color w:val="231F20"/>
          <w:w w:val="95"/>
        </w:rPr>
        <w:t>health.</w:t>
      </w:r>
      <w:r>
        <w:rPr>
          <w:color w:val="231F20"/>
          <w:w w:val="95"/>
          <w:vertAlign w:val="superscript"/>
        </w:rPr>
        <w:t>38</w:t>
      </w:r>
      <w:r>
        <w:rPr>
          <w:color w:val="231F20"/>
          <w:spacing w:val="14"/>
          <w:w w:val="95"/>
          <w:vertAlign w:val="baseline"/>
        </w:rPr>
        <w:t> </w:t>
      </w:r>
      <w:r>
        <w:rPr>
          <w:color w:val="231F20"/>
          <w:w w:val="95"/>
          <w:vertAlign w:val="baseline"/>
        </w:rPr>
        <w:t>Implementing</w:t>
      </w:r>
      <w:r>
        <w:rPr>
          <w:color w:val="231F20"/>
          <w:spacing w:val="14"/>
          <w:w w:val="95"/>
          <w:vertAlign w:val="baseline"/>
        </w:rPr>
        <w:t> </w:t>
      </w:r>
      <w:r>
        <w:rPr>
          <w:color w:val="231F20"/>
          <w:w w:val="95"/>
          <w:vertAlign w:val="baseline"/>
        </w:rPr>
        <w:t>an</w:t>
      </w:r>
      <w:r>
        <w:rPr>
          <w:color w:val="231F20"/>
          <w:spacing w:val="15"/>
          <w:w w:val="95"/>
          <w:vertAlign w:val="baseline"/>
        </w:rPr>
        <w:t> </w:t>
      </w:r>
      <w:r>
        <w:rPr>
          <w:color w:val="231F20"/>
          <w:w w:val="95"/>
          <w:vertAlign w:val="baseline"/>
        </w:rPr>
        <w:t>SSP</w:t>
      </w:r>
      <w:r>
        <w:rPr>
          <w:color w:val="231F20"/>
          <w:spacing w:val="2"/>
          <w:w w:val="95"/>
          <w:vertAlign w:val="baseline"/>
        </w:rPr>
        <w:t> </w:t>
      </w:r>
      <w:r>
        <w:rPr>
          <w:color w:val="231F20"/>
          <w:w w:val="95"/>
          <w:vertAlign w:val="baseline"/>
        </w:rPr>
        <w:t>is</w:t>
      </w:r>
      <w:r>
        <w:rPr>
          <w:color w:val="231F20"/>
          <w:spacing w:val="15"/>
          <w:w w:val="95"/>
          <w:vertAlign w:val="baseline"/>
        </w:rPr>
        <w:t> </w:t>
      </w:r>
      <w:r>
        <w:rPr>
          <w:color w:val="231F20"/>
          <w:w w:val="95"/>
          <w:vertAlign w:val="baseline"/>
        </w:rPr>
        <w:t>less</w:t>
      </w:r>
      <w:r>
        <w:rPr>
          <w:color w:val="231F20"/>
          <w:spacing w:val="14"/>
          <w:w w:val="95"/>
          <w:vertAlign w:val="baseline"/>
        </w:rPr>
        <w:t> </w:t>
      </w:r>
      <w:r>
        <w:rPr>
          <w:color w:val="231F20"/>
          <w:w w:val="95"/>
          <w:vertAlign w:val="baseline"/>
        </w:rPr>
        <w:t>about</w:t>
      </w:r>
      <w:r>
        <w:rPr>
          <w:color w:val="231F20"/>
          <w:spacing w:val="1"/>
          <w:w w:val="95"/>
          <w:vertAlign w:val="baseline"/>
        </w:rPr>
        <w:t> </w:t>
      </w:r>
      <w:r>
        <w:rPr>
          <w:color w:val="231F20"/>
          <w:spacing w:val="-1"/>
          <w:vertAlign w:val="baseline"/>
        </w:rPr>
        <w:t>a</w:t>
      </w:r>
      <w:r>
        <w:rPr>
          <w:color w:val="231F20"/>
          <w:spacing w:val="-12"/>
          <w:vertAlign w:val="baseline"/>
        </w:rPr>
        <w:t> </w:t>
      </w:r>
      <w:r>
        <w:rPr>
          <w:color w:val="231F20"/>
          <w:spacing w:val="-1"/>
          <w:vertAlign w:val="baseline"/>
        </w:rPr>
        <w:t>specific</w:t>
      </w:r>
      <w:r>
        <w:rPr>
          <w:color w:val="231F20"/>
          <w:spacing w:val="-12"/>
          <w:vertAlign w:val="baseline"/>
        </w:rPr>
        <w:t> </w:t>
      </w:r>
      <w:r>
        <w:rPr>
          <w:color w:val="231F20"/>
          <w:spacing w:val="-1"/>
          <w:vertAlign w:val="baseline"/>
        </w:rPr>
        <w:t>number</w:t>
      </w:r>
      <w:r>
        <w:rPr>
          <w:color w:val="231F20"/>
          <w:spacing w:val="-12"/>
          <w:vertAlign w:val="baseline"/>
        </w:rPr>
        <w:t> </w:t>
      </w:r>
      <w:r>
        <w:rPr>
          <w:color w:val="231F20"/>
          <w:spacing w:val="-1"/>
          <w:vertAlign w:val="baseline"/>
        </w:rPr>
        <w:t>of</w:t>
      </w:r>
      <w:r>
        <w:rPr>
          <w:color w:val="231F20"/>
          <w:spacing w:val="-11"/>
          <w:vertAlign w:val="baseline"/>
        </w:rPr>
        <w:t> </w:t>
      </w:r>
      <w:r>
        <w:rPr>
          <w:color w:val="231F20"/>
          <w:spacing w:val="-1"/>
          <w:vertAlign w:val="baseline"/>
        </w:rPr>
        <w:t>interactions</w:t>
      </w:r>
      <w:r>
        <w:rPr>
          <w:color w:val="231F20"/>
          <w:spacing w:val="-11"/>
          <w:vertAlign w:val="baseline"/>
        </w:rPr>
        <w:t> </w:t>
      </w:r>
      <w:r>
        <w:rPr>
          <w:color w:val="231F20"/>
          <w:spacing w:val="-1"/>
          <w:vertAlign w:val="baseline"/>
        </w:rPr>
        <w:t>with</w:t>
      </w:r>
      <w:r>
        <w:rPr>
          <w:color w:val="231F20"/>
          <w:spacing w:val="-13"/>
          <w:vertAlign w:val="baseline"/>
        </w:rPr>
        <w:t> </w:t>
      </w:r>
      <w:r>
        <w:rPr>
          <w:color w:val="231F20"/>
          <w:spacing w:val="-1"/>
          <w:vertAlign w:val="baseline"/>
        </w:rPr>
        <w:t>PWID,</w:t>
      </w:r>
      <w:r>
        <w:rPr>
          <w:color w:val="231F20"/>
          <w:spacing w:val="-12"/>
          <w:vertAlign w:val="baseline"/>
        </w:rPr>
        <w:t> </w:t>
      </w:r>
      <w:r>
        <w:rPr>
          <w:color w:val="231F20"/>
          <w:vertAlign w:val="baseline"/>
        </w:rPr>
        <w:t>and</w:t>
      </w:r>
      <w:r>
        <w:rPr>
          <w:color w:val="231F20"/>
          <w:spacing w:val="-11"/>
          <w:vertAlign w:val="baseline"/>
        </w:rPr>
        <w:t> </w:t>
      </w:r>
      <w:r>
        <w:rPr>
          <w:color w:val="231F20"/>
          <w:vertAlign w:val="baseline"/>
        </w:rPr>
        <w:t>more</w:t>
      </w:r>
      <w:r>
        <w:rPr>
          <w:color w:val="231F20"/>
          <w:spacing w:val="-52"/>
          <w:vertAlign w:val="baseline"/>
        </w:rPr>
        <w:t> </w:t>
      </w:r>
      <w:r>
        <w:rPr>
          <w:color w:val="231F20"/>
          <w:vertAlign w:val="baseline"/>
        </w:rPr>
        <w:t>about providing consistent, stable access to sterile</w:t>
      </w:r>
      <w:r>
        <w:rPr>
          <w:color w:val="231F20"/>
          <w:spacing w:val="1"/>
          <w:vertAlign w:val="baseline"/>
        </w:rPr>
        <w:t> </w:t>
      </w:r>
      <w:r>
        <w:rPr>
          <w:color w:val="231F20"/>
          <w:vertAlign w:val="baseline"/>
        </w:rPr>
        <w:t>syringes to increase the volume of sterile syringes</w:t>
      </w:r>
      <w:r>
        <w:rPr>
          <w:color w:val="231F20"/>
          <w:spacing w:val="1"/>
          <w:vertAlign w:val="baseline"/>
        </w:rPr>
        <w:t> </w:t>
      </w:r>
      <w:r>
        <w:rPr>
          <w:color w:val="231F20"/>
          <w:spacing w:val="-1"/>
          <w:vertAlign w:val="baseline"/>
        </w:rPr>
        <w:t>available</w:t>
      </w:r>
      <w:r>
        <w:rPr>
          <w:color w:val="231F20"/>
          <w:spacing w:val="-13"/>
          <w:vertAlign w:val="baseline"/>
        </w:rPr>
        <w:t> </w:t>
      </w:r>
      <w:r>
        <w:rPr>
          <w:color w:val="231F20"/>
          <w:spacing w:val="-1"/>
          <w:vertAlign w:val="baseline"/>
        </w:rPr>
        <w:t>in</w:t>
      </w:r>
      <w:r>
        <w:rPr>
          <w:color w:val="231F20"/>
          <w:spacing w:val="-12"/>
          <w:vertAlign w:val="baseline"/>
        </w:rPr>
        <w:t> </w:t>
      </w:r>
      <w:r>
        <w:rPr>
          <w:color w:val="231F20"/>
          <w:spacing w:val="-1"/>
          <w:vertAlign w:val="baseline"/>
        </w:rPr>
        <w:t>a</w:t>
      </w:r>
      <w:r>
        <w:rPr>
          <w:color w:val="231F20"/>
          <w:spacing w:val="-13"/>
          <w:vertAlign w:val="baseline"/>
        </w:rPr>
        <w:t> </w:t>
      </w:r>
      <w:r>
        <w:rPr>
          <w:color w:val="231F20"/>
          <w:spacing w:val="-1"/>
          <w:vertAlign w:val="baseline"/>
        </w:rPr>
        <w:t>given</w:t>
      </w:r>
      <w:r>
        <w:rPr>
          <w:color w:val="231F20"/>
          <w:spacing w:val="-12"/>
          <w:vertAlign w:val="baseline"/>
        </w:rPr>
        <w:t> </w:t>
      </w:r>
      <w:r>
        <w:rPr>
          <w:color w:val="231F20"/>
          <w:vertAlign w:val="baseline"/>
        </w:rPr>
        <w:t>community</w:t>
      </w:r>
      <w:r>
        <w:rPr>
          <w:color w:val="231F20"/>
          <w:spacing w:val="-13"/>
          <w:vertAlign w:val="baseline"/>
        </w:rPr>
        <w:t> </w:t>
      </w:r>
      <w:r>
        <w:rPr>
          <w:color w:val="231F20"/>
          <w:vertAlign w:val="baseline"/>
        </w:rPr>
        <w:t>(benefiting</w:t>
      </w:r>
      <w:r>
        <w:rPr>
          <w:color w:val="231F20"/>
          <w:spacing w:val="-12"/>
          <w:vertAlign w:val="baseline"/>
        </w:rPr>
        <w:t> </w:t>
      </w:r>
      <w:r>
        <w:rPr>
          <w:color w:val="231F20"/>
          <w:vertAlign w:val="baseline"/>
        </w:rPr>
        <w:t>both</w:t>
      </w:r>
      <w:r>
        <w:rPr>
          <w:color w:val="231F20"/>
          <w:spacing w:val="-13"/>
          <w:vertAlign w:val="baseline"/>
        </w:rPr>
        <w:t> </w:t>
      </w:r>
      <w:r>
        <w:rPr>
          <w:color w:val="231F20"/>
          <w:vertAlign w:val="baseline"/>
        </w:rPr>
        <w:t>direct</w:t>
      </w:r>
      <w:r>
        <w:rPr>
          <w:color w:val="231F20"/>
          <w:spacing w:val="1"/>
          <w:vertAlign w:val="baseline"/>
        </w:rPr>
        <w:t> </w:t>
      </w:r>
      <w:r>
        <w:rPr>
          <w:color w:val="231F20"/>
          <w:vertAlign w:val="baseline"/>
        </w:rPr>
        <w:t>participants</w:t>
      </w:r>
      <w:r>
        <w:rPr>
          <w:color w:val="231F20"/>
          <w:spacing w:val="-7"/>
          <w:vertAlign w:val="baseline"/>
        </w:rPr>
        <w:t> </w:t>
      </w:r>
      <w:r>
        <w:rPr>
          <w:color w:val="231F20"/>
          <w:vertAlign w:val="baseline"/>
        </w:rPr>
        <w:t>of</w:t>
      </w:r>
      <w:r>
        <w:rPr>
          <w:color w:val="231F20"/>
          <w:spacing w:val="-6"/>
          <w:vertAlign w:val="baseline"/>
        </w:rPr>
        <w:t> </w:t>
      </w:r>
      <w:r>
        <w:rPr>
          <w:color w:val="231F20"/>
          <w:vertAlign w:val="baseline"/>
        </w:rPr>
        <w:t>SSPs</w:t>
      </w:r>
      <w:r>
        <w:rPr>
          <w:color w:val="231F20"/>
          <w:spacing w:val="-7"/>
          <w:vertAlign w:val="baseline"/>
        </w:rPr>
        <w:t> </w:t>
      </w:r>
      <w:r>
        <w:rPr>
          <w:color w:val="231F20"/>
          <w:vertAlign w:val="baseline"/>
        </w:rPr>
        <w:t>and</w:t>
      </w:r>
      <w:r>
        <w:rPr>
          <w:color w:val="231F20"/>
          <w:spacing w:val="-6"/>
          <w:vertAlign w:val="baseline"/>
        </w:rPr>
        <w:t> </w:t>
      </w:r>
      <w:r>
        <w:rPr>
          <w:color w:val="231F20"/>
          <w:vertAlign w:val="baseline"/>
        </w:rPr>
        <w:t>their</w:t>
      </w:r>
      <w:r>
        <w:rPr>
          <w:color w:val="231F20"/>
          <w:spacing w:val="-6"/>
          <w:vertAlign w:val="baseline"/>
        </w:rPr>
        <w:t> </w:t>
      </w:r>
      <w:r>
        <w:rPr>
          <w:color w:val="231F20"/>
          <w:vertAlign w:val="baseline"/>
        </w:rPr>
        <w:t>networks).</w:t>
      </w:r>
    </w:p>
    <w:p>
      <w:pPr>
        <w:pStyle w:val="BodyText"/>
        <w:spacing w:line="266" w:lineRule="auto" w:before="174"/>
        <w:ind w:left="160" w:right="1140"/>
      </w:pPr>
      <w:r>
        <w:rPr>
          <w:color w:val="231F20"/>
        </w:rPr>
        <w:t>However,</w:t>
      </w:r>
      <w:r>
        <w:rPr>
          <w:color w:val="231F20"/>
          <w:spacing w:val="-3"/>
        </w:rPr>
        <w:t> </w:t>
      </w:r>
      <w:r>
        <w:rPr>
          <w:color w:val="231F20"/>
        </w:rPr>
        <w:t>the</w:t>
      </w:r>
      <w:r>
        <w:rPr>
          <w:color w:val="231F20"/>
          <w:spacing w:val="-3"/>
        </w:rPr>
        <w:t> </w:t>
      </w:r>
      <w:r>
        <w:rPr>
          <w:color w:val="231F20"/>
        </w:rPr>
        <w:t>higher</w:t>
      </w:r>
      <w:r>
        <w:rPr>
          <w:color w:val="231F20"/>
          <w:spacing w:val="-2"/>
        </w:rPr>
        <w:t> </w:t>
      </w:r>
      <w:r>
        <w:rPr>
          <w:color w:val="231F20"/>
        </w:rPr>
        <w:t>the</w:t>
      </w:r>
      <w:r>
        <w:rPr>
          <w:color w:val="231F20"/>
          <w:spacing w:val="-3"/>
        </w:rPr>
        <w:t> </w:t>
      </w:r>
      <w:r>
        <w:rPr>
          <w:color w:val="231F20"/>
        </w:rPr>
        <w:t>number</w:t>
      </w:r>
      <w:r>
        <w:rPr>
          <w:color w:val="231F20"/>
          <w:spacing w:val="-3"/>
        </w:rPr>
        <w:t> </w:t>
      </w:r>
      <w:r>
        <w:rPr>
          <w:color w:val="231F20"/>
        </w:rPr>
        <w:t>of</w:t>
      </w:r>
      <w:r>
        <w:rPr>
          <w:color w:val="231F20"/>
          <w:spacing w:val="-2"/>
        </w:rPr>
        <w:t> </w:t>
      </w:r>
      <w:r>
        <w:rPr>
          <w:color w:val="231F20"/>
        </w:rPr>
        <w:t>interactions</w:t>
      </w:r>
      <w:r>
        <w:rPr>
          <w:color w:val="231F20"/>
          <w:spacing w:val="-3"/>
        </w:rPr>
        <w:t> </w:t>
      </w:r>
      <w:r>
        <w:rPr>
          <w:color w:val="231F20"/>
        </w:rPr>
        <w:t>with</w:t>
      </w:r>
      <w:r>
        <w:rPr>
          <w:color w:val="231F20"/>
          <w:spacing w:val="-52"/>
        </w:rPr>
        <w:t> </w:t>
      </w:r>
      <w:r>
        <w:rPr>
          <w:color w:val="231F20"/>
        </w:rPr>
        <w:t>SSPs, the more opportunities a provider has to offer</w:t>
      </w:r>
      <w:r>
        <w:rPr>
          <w:color w:val="231F20"/>
          <w:spacing w:val="-52"/>
        </w:rPr>
        <w:t> </w:t>
      </w:r>
      <w:r>
        <w:rPr>
          <w:color w:val="231F20"/>
        </w:rPr>
        <w:t>additional harm reduction education materials (e.g.,</w:t>
      </w:r>
      <w:r>
        <w:rPr>
          <w:color w:val="231F20"/>
          <w:spacing w:val="1"/>
        </w:rPr>
        <w:t> </w:t>
      </w:r>
      <w:r>
        <w:rPr>
          <w:color w:val="231F20"/>
        </w:rPr>
        <w:t>naloxone</w:t>
      </w:r>
      <w:r>
        <w:rPr>
          <w:color w:val="231F20"/>
          <w:spacing w:val="-3"/>
        </w:rPr>
        <w:t> </w:t>
      </w:r>
      <w:r>
        <w:rPr>
          <w:color w:val="231F20"/>
        </w:rPr>
        <w:t>kits,</w:t>
      </w:r>
      <w:r>
        <w:rPr>
          <w:color w:val="231F20"/>
          <w:spacing w:val="-2"/>
        </w:rPr>
        <w:t> </w:t>
      </w:r>
      <w:r>
        <w:rPr>
          <w:color w:val="231F20"/>
        </w:rPr>
        <w:t>PrEP,</w:t>
      </w:r>
      <w:r>
        <w:rPr>
          <w:color w:val="231F20"/>
          <w:spacing w:val="-2"/>
        </w:rPr>
        <w:t> </w:t>
      </w:r>
      <w:r>
        <w:rPr>
          <w:color w:val="231F20"/>
        </w:rPr>
        <w:t>PEP)</w:t>
      </w:r>
      <w:r>
        <w:rPr>
          <w:color w:val="231F20"/>
          <w:spacing w:val="-3"/>
        </w:rPr>
        <w:t> </w:t>
      </w:r>
      <w:r>
        <w:rPr>
          <w:color w:val="231F20"/>
        </w:rPr>
        <w:t>and</w:t>
      </w:r>
      <w:r>
        <w:rPr>
          <w:color w:val="231F20"/>
          <w:spacing w:val="-2"/>
        </w:rPr>
        <w:t> </w:t>
      </w:r>
      <w:r>
        <w:rPr>
          <w:color w:val="231F20"/>
        </w:rPr>
        <w:t>SUD</w:t>
      </w:r>
      <w:r>
        <w:rPr>
          <w:color w:val="231F20"/>
          <w:spacing w:val="-3"/>
        </w:rPr>
        <w:t> </w:t>
      </w:r>
      <w:r>
        <w:rPr>
          <w:color w:val="231F20"/>
        </w:rPr>
        <w:t>treatment.</w:t>
      </w:r>
    </w:p>
    <w:p>
      <w:pPr>
        <w:pStyle w:val="BodyText"/>
        <w:spacing w:before="177"/>
        <w:ind w:left="160"/>
      </w:pPr>
      <w:r>
        <w:rPr>
          <w:color w:val="231F20"/>
        </w:rPr>
        <w:t>Studies</w:t>
      </w:r>
      <w:r>
        <w:rPr>
          <w:color w:val="231F20"/>
          <w:spacing w:val="-4"/>
        </w:rPr>
        <w:t> </w:t>
      </w:r>
      <w:r>
        <w:rPr>
          <w:color w:val="231F20"/>
        </w:rPr>
        <w:t>in</w:t>
      </w:r>
      <w:r>
        <w:rPr>
          <w:color w:val="231F20"/>
          <w:spacing w:val="-2"/>
        </w:rPr>
        <w:t> </w:t>
      </w:r>
      <w:r>
        <w:rPr>
          <w:color w:val="231F20"/>
        </w:rPr>
        <w:t>this</w:t>
      </w:r>
      <w:r>
        <w:rPr>
          <w:color w:val="231F20"/>
          <w:spacing w:val="-2"/>
        </w:rPr>
        <w:t> </w:t>
      </w:r>
      <w:r>
        <w:rPr>
          <w:color w:val="231F20"/>
        </w:rPr>
        <w:t>evidence</w:t>
      </w:r>
      <w:r>
        <w:rPr>
          <w:color w:val="231F20"/>
          <w:spacing w:val="-2"/>
        </w:rPr>
        <w:t> </w:t>
      </w:r>
      <w:r>
        <w:rPr>
          <w:color w:val="231F20"/>
        </w:rPr>
        <w:t>review</w:t>
      </w:r>
      <w:r>
        <w:rPr>
          <w:color w:val="231F20"/>
          <w:spacing w:val="-2"/>
        </w:rPr>
        <w:t> </w:t>
      </w:r>
      <w:r>
        <w:rPr>
          <w:color w:val="231F20"/>
        </w:rPr>
        <w:t>identified</w:t>
      </w:r>
      <w:r>
        <w:rPr>
          <w:color w:val="231F20"/>
          <w:spacing w:val="-2"/>
        </w:rPr>
        <w:t> </w:t>
      </w:r>
      <w:r>
        <w:rPr>
          <w:color w:val="231F20"/>
        </w:rPr>
        <w:t>the</w:t>
      </w:r>
      <w:r>
        <w:rPr>
          <w:color w:val="231F20"/>
          <w:spacing w:val="-3"/>
        </w:rPr>
        <w:t> </w:t>
      </w:r>
      <w:r>
        <w:rPr>
          <w:color w:val="231F20"/>
        </w:rPr>
        <w:t>following</w:t>
      </w:r>
    </w:p>
    <w:p>
      <w:pPr>
        <w:pStyle w:val="BodyText"/>
        <w:spacing w:before="27"/>
        <w:ind w:left="160"/>
      </w:pPr>
      <w:r>
        <w:rPr>
          <w:color w:val="231F20"/>
        </w:rPr>
        <w:t>factors</w:t>
      </w:r>
      <w:r>
        <w:rPr>
          <w:color w:val="231F20"/>
          <w:spacing w:val="-3"/>
        </w:rPr>
        <w:t> </w:t>
      </w:r>
      <w:r>
        <w:rPr>
          <w:color w:val="231F20"/>
        </w:rPr>
        <w:t>as</w:t>
      </w:r>
      <w:r>
        <w:rPr>
          <w:color w:val="231F20"/>
          <w:spacing w:val="-2"/>
        </w:rPr>
        <w:t> </w:t>
      </w:r>
      <w:r>
        <w:rPr>
          <w:color w:val="231F20"/>
        </w:rPr>
        <w:t>affecting</w:t>
      </w:r>
      <w:r>
        <w:rPr>
          <w:color w:val="231F20"/>
          <w:spacing w:val="-2"/>
        </w:rPr>
        <w:t> </w:t>
      </w:r>
      <w:r>
        <w:rPr>
          <w:color w:val="231F20"/>
        </w:rPr>
        <w:t>the</w:t>
      </w:r>
      <w:r>
        <w:rPr>
          <w:color w:val="231F20"/>
          <w:spacing w:val="-2"/>
        </w:rPr>
        <w:t> </w:t>
      </w:r>
      <w:r>
        <w:rPr>
          <w:color w:val="231F20"/>
        </w:rPr>
        <w:t>success</w:t>
      </w:r>
      <w:r>
        <w:rPr>
          <w:color w:val="231F20"/>
          <w:spacing w:val="-3"/>
        </w:rPr>
        <w:t> </w:t>
      </w:r>
      <w:r>
        <w:rPr>
          <w:color w:val="231F20"/>
        </w:rPr>
        <w:t>of</w:t>
      </w:r>
      <w:r>
        <w:rPr>
          <w:color w:val="231F20"/>
          <w:spacing w:val="-2"/>
        </w:rPr>
        <w:t> </w:t>
      </w:r>
      <w:r>
        <w:rPr>
          <w:color w:val="231F20"/>
        </w:rPr>
        <w:t>service</w:t>
      </w:r>
      <w:r>
        <w:rPr>
          <w:color w:val="231F20"/>
          <w:spacing w:val="-3"/>
        </w:rPr>
        <w:t> </w:t>
      </w:r>
      <w:r>
        <w:rPr>
          <w:color w:val="231F20"/>
        </w:rPr>
        <w:t>provision:</w:t>
      </w:r>
    </w:p>
    <w:p>
      <w:pPr>
        <w:pStyle w:val="ListParagraph"/>
        <w:numPr>
          <w:ilvl w:val="0"/>
          <w:numId w:val="4"/>
        </w:numPr>
        <w:tabs>
          <w:tab w:pos="879" w:val="left" w:leader="none"/>
          <w:tab w:pos="880" w:val="left" w:leader="none"/>
        </w:tabs>
        <w:spacing w:line="249" w:lineRule="auto" w:before="176" w:after="0"/>
        <w:ind w:left="879" w:right="779" w:hanging="360"/>
        <w:jc w:val="left"/>
        <w:rPr>
          <w:rFonts w:ascii="Symbol" w:hAnsi="Symbol"/>
          <w:color w:val="010202"/>
          <w:sz w:val="22"/>
        </w:rPr>
      </w:pPr>
      <w:r>
        <w:rPr>
          <w:b/>
          <w:color w:val="010202"/>
          <w:sz w:val="22"/>
        </w:rPr>
        <w:t>Operating hours: </w:t>
      </w:r>
      <w:r>
        <w:rPr>
          <w:color w:val="010202"/>
          <w:sz w:val="22"/>
        </w:rPr>
        <w:t>Due to limited funding, SSPs</w:t>
      </w:r>
      <w:r>
        <w:rPr>
          <w:color w:val="010202"/>
          <w:spacing w:val="-53"/>
          <w:sz w:val="22"/>
        </w:rPr>
        <w:t> </w:t>
      </w:r>
      <w:r>
        <w:rPr>
          <w:color w:val="010202"/>
          <w:sz w:val="22"/>
        </w:rPr>
        <w:t>may restrict their hours, potentially reducing</w:t>
      </w:r>
      <w:r>
        <w:rPr>
          <w:color w:val="010202"/>
          <w:spacing w:val="1"/>
          <w:sz w:val="22"/>
        </w:rPr>
        <w:t> </w:t>
      </w:r>
      <w:r>
        <w:rPr>
          <w:color w:val="010202"/>
          <w:sz w:val="22"/>
        </w:rPr>
        <w:t>interactions</w:t>
      </w:r>
      <w:r>
        <w:rPr>
          <w:color w:val="010202"/>
          <w:spacing w:val="-1"/>
          <w:sz w:val="22"/>
        </w:rPr>
        <w:t> </w:t>
      </w:r>
      <w:r>
        <w:rPr>
          <w:color w:val="010202"/>
          <w:sz w:val="22"/>
        </w:rPr>
        <w:t>with</w:t>
      </w:r>
      <w:r>
        <w:rPr>
          <w:color w:val="010202"/>
          <w:spacing w:val="-1"/>
          <w:sz w:val="22"/>
        </w:rPr>
        <w:t> </w:t>
      </w:r>
      <w:r>
        <w:rPr>
          <w:color w:val="010202"/>
          <w:sz w:val="22"/>
        </w:rPr>
        <w:t>clients and the number</w:t>
      </w:r>
    </w:p>
    <w:p>
      <w:pPr>
        <w:pStyle w:val="BodyText"/>
        <w:spacing w:line="249" w:lineRule="auto" w:before="1"/>
        <w:ind w:left="879" w:right="1281"/>
      </w:pPr>
      <w:r>
        <w:rPr>
          <w:color w:val="010202"/>
        </w:rPr>
        <w:t>of syringes provided (at the individual and</w:t>
      </w:r>
      <w:r>
        <w:rPr>
          <w:color w:val="010202"/>
          <w:spacing w:val="-52"/>
        </w:rPr>
        <w:t> </w:t>
      </w:r>
      <w:r>
        <w:rPr>
          <w:color w:val="010202"/>
        </w:rPr>
        <w:t>community</w:t>
      </w:r>
      <w:r>
        <w:rPr>
          <w:color w:val="010202"/>
          <w:spacing w:val="-1"/>
        </w:rPr>
        <w:t> </w:t>
      </w:r>
      <w:r>
        <w:rPr>
          <w:color w:val="010202"/>
        </w:rPr>
        <w:t>levels).</w:t>
      </w:r>
      <w:r>
        <w:rPr>
          <w:color w:val="010202"/>
          <w:vertAlign w:val="superscript"/>
        </w:rPr>
        <w:t>34</w:t>
      </w:r>
    </w:p>
    <w:p>
      <w:pPr>
        <w:pStyle w:val="ListParagraph"/>
        <w:numPr>
          <w:ilvl w:val="0"/>
          <w:numId w:val="4"/>
        </w:numPr>
        <w:tabs>
          <w:tab w:pos="879" w:val="left" w:leader="none"/>
          <w:tab w:pos="880" w:val="left" w:leader="none"/>
        </w:tabs>
        <w:spacing w:line="255" w:lineRule="exact" w:before="0" w:after="0"/>
        <w:ind w:left="879" w:right="0" w:hanging="360"/>
        <w:jc w:val="left"/>
        <w:rPr>
          <w:rFonts w:ascii="Symbol" w:hAnsi="Symbol"/>
          <w:color w:val="010202"/>
          <w:sz w:val="22"/>
        </w:rPr>
      </w:pPr>
      <w:r>
        <w:rPr>
          <w:b/>
          <w:color w:val="010202"/>
          <w:sz w:val="22"/>
        </w:rPr>
        <w:t>Location</w:t>
      </w:r>
      <w:r>
        <w:rPr>
          <w:b/>
          <w:color w:val="010202"/>
          <w:spacing w:val="-1"/>
          <w:sz w:val="22"/>
        </w:rPr>
        <w:t> </w:t>
      </w:r>
      <w:r>
        <w:rPr>
          <w:b/>
          <w:color w:val="010202"/>
          <w:sz w:val="22"/>
        </w:rPr>
        <w:t>of the</w:t>
      </w:r>
      <w:r>
        <w:rPr>
          <w:b/>
          <w:color w:val="010202"/>
          <w:spacing w:val="-1"/>
          <w:sz w:val="22"/>
        </w:rPr>
        <w:t> </w:t>
      </w:r>
      <w:r>
        <w:rPr>
          <w:b/>
          <w:color w:val="010202"/>
          <w:sz w:val="22"/>
        </w:rPr>
        <w:t>SSP:</w:t>
      </w:r>
      <w:r>
        <w:rPr>
          <w:b/>
          <w:color w:val="010202"/>
          <w:spacing w:val="-5"/>
          <w:sz w:val="22"/>
        </w:rPr>
        <w:t> </w:t>
      </w:r>
      <w:r>
        <w:rPr>
          <w:color w:val="010202"/>
          <w:sz w:val="22"/>
        </w:rPr>
        <w:t>The</w:t>
      </w:r>
      <w:r>
        <w:rPr>
          <w:color w:val="010202"/>
          <w:spacing w:val="-1"/>
          <w:sz w:val="22"/>
        </w:rPr>
        <w:t> </w:t>
      </w:r>
      <w:r>
        <w:rPr>
          <w:color w:val="010202"/>
          <w:sz w:val="22"/>
        </w:rPr>
        <w:t>distance between</w:t>
      </w:r>
    </w:p>
    <w:p>
      <w:pPr>
        <w:pStyle w:val="BodyText"/>
        <w:spacing w:before="10"/>
        <w:ind w:left="879"/>
      </w:pPr>
      <w:r>
        <w:rPr>
          <w:color w:val="010202"/>
        </w:rPr>
        <w:t>an</w:t>
      </w:r>
      <w:r>
        <w:rPr>
          <w:color w:val="010202"/>
          <w:spacing w:val="-2"/>
        </w:rPr>
        <w:t> </w:t>
      </w:r>
      <w:r>
        <w:rPr>
          <w:color w:val="010202"/>
        </w:rPr>
        <w:t>individual’s</w:t>
      </w:r>
      <w:r>
        <w:rPr>
          <w:color w:val="010202"/>
          <w:spacing w:val="-3"/>
        </w:rPr>
        <w:t> </w:t>
      </w:r>
      <w:r>
        <w:rPr>
          <w:color w:val="010202"/>
        </w:rPr>
        <w:t>home</w:t>
      </w:r>
      <w:r>
        <w:rPr>
          <w:color w:val="010202"/>
          <w:spacing w:val="-2"/>
        </w:rPr>
        <w:t> </w:t>
      </w:r>
      <w:r>
        <w:rPr>
          <w:color w:val="010202"/>
        </w:rPr>
        <w:t>and</w:t>
      </w:r>
      <w:r>
        <w:rPr>
          <w:color w:val="010202"/>
          <w:spacing w:val="-2"/>
        </w:rPr>
        <w:t> </w:t>
      </w:r>
      <w:r>
        <w:rPr>
          <w:color w:val="010202"/>
        </w:rPr>
        <w:t>the</w:t>
      </w:r>
      <w:r>
        <w:rPr>
          <w:color w:val="010202"/>
          <w:spacing w:val="-2"/>
        </w:rPr>
        <w:t> </w:t>
      </w:r>
      <w:r>
        <w:rPr>
          <w:color w:val="010202"/>
        </w:rPr>
        <w:t>SSP</w:t>
      </w:r>
      <w:r>
        <w:rPr>
          <w:color w:val="010202"/>
          <w:spacing w:val="-10"/>
        </w:rPr>
        <w:t> </w:t>
      </w:r>
      <w:r>
        <w:rPr>
          <w:color w:val="010202"/>
        </w:rPr>
        <w:t>has</w:t>
      </w:r>
      <w:r>
        <w:rPr>
          <w:color w:val="010202"/>
          <w:spacing w:val="-2"/>
        </w:rPr>
        <w:t> </w:t>
      </w:r>
      <w:r>
        <w:rPr>
          <w:color w:val="010202"/>
        </w:rPr>
        <w:t>been</w:t>
      </w:r>
    </w:p>
    <w:p>
      <w:pPr>
        <w:pStyle w:val="BodyText"/>
        <w:spacing w:line="251" w:lineRule="exact" w:before="11"/>
        <w:ind w:left="879"/>
      </w:pPr>
      <w:r>
        <w:rPr>
          <w:color w:val="010202"/>
          <w:w w:val="95"/>
        </w:rPr>
        <w:t>identified</w:t>
      </w:r>
      <w:r>
        <w:rPr>
          <w:color w:val="010202"/>
          <w:spacing w:val="16"/>
          <w:w w:val="95"/>
        </w:rPr>
        <w:t> </w:t>
      </w:r>
      <w:r>
        <w:rPr>
          <w:color w:val="010202"/>
          <w:w w:val="95"/>
        </w:rPr>
        <w:t>as</w:t>
      </w:r>
      <w:r>
        <w:rPr>
          <w:color w:val="010202"/>
          <w:spacing w:val="17"/>
          <w:w w:val="95"/>
        </w:rPr>
        <w:t> </w:t>
      </w:r>
      <w:r>
        <w:rPr>
          <w:color w:val="010202"/>
          <w:w w:val="95"/>
        </w:rPr>
        <w:t>a</w:t>
      </w:r>
      <w:r>
        <w:rPr>
          <w:color w:val="010202"/>
          <w:spacing w:val="17"/>
          <w:w w:val="95"/>
        </w:rPr>
        <w:t> </w:t>
      </w:r>
      <w:r>
        <w:rPr>
          <w:color w:val="010202"/>
          <w:w w:val="95"/>
        </w:rPr>
        <w:t>barrier</w:t>
      </w:r>
      <w:r>
        <w:rPr>
          <w:color w:val="010202"/>
          <w:spacing w:val="17"/>
          <w:w w:val="95"/>
        </w:rPr>
        <w:t> </w:t>
      </w:r>
      <w:r>
        <w:rPr>
          <w:color w:val="010202"/>
          <w:w w:val="95"/>
        </w:rPr>
        <w:t>to</w:t>
      </w:r>
      <w:r>
        <w:rPr>
          <w:color w:val="010202"/>
          <w:spacing w:val="17"/>
          <w:w w:val="95"/>
        </w:rPr>
        <w:t> </w:t>
      </w:r>
      <w:r>
        <w:rPr>
          <w:color w:val="010202"/>
          <w:w w:val="95"/>
        </w:rPr>
        <w:t>accessing</w:t>
      </w:r>
      <w:r>
        <w:rPr>
          <w:color w:val="010202"/>
          <w:spacing w:val="17"/>
          <w:w w:val="95"/>
        </w:rPr>
        <w:t> </w:t>
      </w:r>
      <w:r>
        <w:rPr>
          <w:color w:val="010202"/>
          <w:w w:val="95"/>
        </w:rPr>
        <w:t>SSPs.</w:t>
      </w:r>
      <w:r>
        <w:rPr>
          <w:color w:val="010202"/>
          <w:w w:val="95"/>
          <w:vertAlign w:val="superscript"/>
        </w:rPr>
        <w:t>32,</w:t>
      </w:r>
      <w:r>
        <w:rPr>
          <w:color w:val="010202"/>
          <w:spacing w:val="-12"/>
          <w:w w:val="95"/>
          <w:vertAlign w:val="baseline"/>
        </w:rPr>
        <w:t> </w:t>
      </w:r>
      <w:r>
        <w:rPr>
          <w:color w:val="010202"/>
          <w:w w:val="95"/>
          <w:vertAlign w:val="superscript"/>
        </w:rPr>
        <w:t>34,</w:t>
      </w:r>
      <w:r>
        <w:rPr>
          <w:color w:val="010202"/>
          <w:spacing w:val="-12"/>
          <w:w w:val="95"/>
          <w:vertAlign w:val="baseline"/>
        </w:rPr>
        <w:t> </w:t>
      </w:r>
      <w:r>
        <w:rPr>
          <w:color w:val="010202"/>
          <w:w w:val="95"/>
          <w:vertAlign w:val="superscript"/>
        </w:rPr>
        <w:t>39</w:t>
      </w:r>
    </w:p>
    <w:p>
      <w:pPr>
        <w:pStyle w:val="ListParagraph"/>
        <w:numPr>
          <w:ilvl w:val="0"/>
          <w:numId w:val="4"/>
        </w:numPr>
        <w:tabs>
          <w:tab w:pos="879" w:val="left" w:leader="none"/>
          <w:tab w:pos="880" w:val="left" w:leader="none"/>
        </w:tabs>
        <w:spacing w:line="249" w:lineRule="auto" w:before="0" w:after="0"/>
        <w:ind w:left="879" w:right="1098" w:hanging="360"/>
        <w:jc w:val="left"/>
        <w:rPr>
          <w:rFonts w:ascii="Symbol" w:hAnsi="Symbol"/>
          <w:color w:val="010202"/>
          <w:sz w:val="22"/>
        </w:rPr>
      </w:pPr>
      <w:r>
        <w:rPr>
          <w:b/>
          <w:color w:val="010202"/>
          <w:sz w:val="22"/>
        </w:rPr>
        <w:t>Number of syringes provided: </w:t>
      </w:r>
      <w:r>
        <w:rPr>
          <w:color w:val="010202"/>
          <w:sz w:val="22"/>
        </w:rPr>
        <w:t>SSPs can</w:t>
      </w:r>
      <w:r>
        <w:rPr>
          <w:color w:val="010202"/>
          <w:spacing w:val="1"/>
          <w:sz w:val="22"/>
        </w:rPr>
        <w:t> </w:t>
      </w:r>
      <w:r>
        <w:rPr>
          <w:color w:val="010202"/>
          <w:sz w:val="22"/>
        </w:rPr>
        <w:t>provide sterile syringes (not purchased using</w:t>
      </w:r>
      <w:r>
        <w:rPr>
          <w:color w:val="010202"/>
          <w:spacing w:val="-53"/>
          <w:sz w:val="22"/>
        </w:rPr>
        <w:t> </w:t>
      </w:r>
      <w:r>
        <w:rPr>
          <w:color w:val="010202"/>
          <w:sz w:val="22"/>
        </w:rPr>
        <w:t>federal funding) in single or multiple day</w:t>
      </w:r>
      <w:r>
        <w:rPr>
          <w:color w:val="010202"/>
          <w:spacing w:val="1"/>
          <w:sz w:val="22"/>
        </w:rPr>
        <w:t> </w:t>
      </w:r>
      <w:r>
        <w:rPr>
          <w:color w:val="010202"/>
          <w:sz w:val="22"/>
        </w:rPr>
        <w:t>supplies, based on the number of syringes</w:t>
      </w:r>
      <w:r>
        <w:rPr>
          <w:color w:val="010202"/>
          <w:spacing w:val="1"/>
          <w:sz w:val="22"/>
        </w:rPr>
        <w:t> </w:t>
      </w:r>
      <w:r>
        <w:rPr>
          <w:color w:val="010202"/>
          <w:sz w:val="22"/>
        </w:rPr>
        <w:t>returned</w:t>
      </w:r>
      <w:r>
        <w:rPr>
          <w:color w:val="010202"/>
          <w:spacing w:val="-5"/>
          <w:sz w:val="22"/>
        </w:rPr>
        <w:t> </w:t>
      </w:r>
      <w:r>
        <w:rPr>
          <w:color w:val="010202"/>
          <w:sz w:val="22"/>
        </w:rPr>
        <w:t>and</w:t>
      </w:r>
      <w:r>
        <w:rPr>
          <w:color w:val="010202"/>
          <w:spacing w:val="-5"/>
          <w:sz w:val="22"/>
        </w:rPr>
        <w:t> </w:t>
      </w:r>
      <w:r>
        <w:rPr>
          <w:color w:val="010202"/>
          <w:sz w:val="22"/>
        </w:rPr>
        <w:t>reported</w:t>
      </w:r>
      <w:r>
        <w:rPr>
          <w:color w:val="010202"/>
          <w:spacing w:val="-5"/>
          <w:sz w:val="22"/>
        </w:rPr>
        <w:t> </w:t>
      </w:r>
      <w:r>
        <w:rPr>
          <w:color w:val="010202"/>
          <w:sz w:val="22"/>
        </w:rPr>
        <w:t>injection</w:t>
      </w:r>
      <w:r>
        <w:rPr>
          <w:color w:val="010202"/>
          <w:spacing w:val="-4"/>
          <w:sz w:val="22"/>
        </w:rPr>
        <w:t> </w:t>
      </w:r>
      <w:r>
        <w:rPr>
          <w:color w:val="010202"/>
          <w:sz w:val="22"/>
        </w:rPr>
        <w:t>frequency.</w:t>
      </w:r>
      <w:r>
        <w:rPr>
          <w:color w:val="010202"/>
          <w:sz w:val="22"/>
          <w:vertAlign w:val="superscript"/>
        </w:rPr>
        <w:t>31</w:t>
      </w:r>
    </w:p>
    <w:p>
      <w:pPr>
        <w:spacing w:after="0" w:line="249" w:lineRule="auto"/>
        <w:jc w:val="left"/>
        <w:rPr>
          <w:rFonts w:ascii="Symbol" w:hAnsi="Symbol"/>
          <w:sz w:val="22"/>
        </w:rPr>
        <w:sectPr>
          <w:type w:val="continuous"/>
          <w:pgSz w:w="12240" w:h="15840"/>
          <w:pgMar w:header="0" w:footer="666" w:top="1500" w:bottom="0" w:left="560" w:right="0"/>
          <w:cols w:num="2" w:equalWidth="0">
            <w:col w:w="5125" w:space="635"/>
            <w:col w:w="5920"/>
          </w:cols>
        </w:sectPr>
      </w:pPr>
    </w:p>
    <w:p>
      <w:pPr>
        <w:pStyle w:val="BodyText"/>
        <w:rPr>
          <w:sz w:val="20"/>
        </w:rPr>
      </w:pPr>
    </w:p>
    <w:p>
      <w:pPr>
        <w:pStyle w:val="BodyText"/>
        <w:rPr>
          <w:sz w:val="20"/>
        </w:rPr>
      </w:pPr>
    </w:p>
    <w:p>
      <w:pPr>
        <w:pStyle w:val="BodyText"/>
        <w:spacing w:before="6"/>
        <w:rPr>
          <w:sz w:val="20"/>
        </w:rPr>
      </w:pPr>
    </w:p>
    <w:p>
      <w:pPr>
        <w:pStyle w:val="BodyText"/>
        <w:spacing w:line="20" w:lineRule="exact"/>
        <w:ind w:left="160"/>
        <w:rPr>
          <w:sz w:val="2"/>
        </w:rPr>
      </w:pPr>
      <w:r>
        <w:rPr>
          <w:sz w:val="2"/>
        </w:rPr>
        <w:pict>
          <v:group style="width:540pt;height:1pt;mso-position-horizontal-relative:char;mso-position-vertical-relative:line" id="docshapegroup103" coordorigin="0,0" coordsize="10800,20">
            <v:line style="position:absolute" from="0,10" to="10800,10" stroked="true" strokeweight="1pt" strokecolor="#1c384b">
              <v:stroke dashstyle="solid"/>
            </v:line>
          </v:group>
        </w:pict>
      </w:r>
      <w:r>
        <w:rPr>
          <w:sz w:val="2"/>
        </w:rPr>
      </w:r>
    </w:p>
    <w:p>
      <w:pPr>
        <w:spacing w:before="154"/>
        <w:ind w:left="160" w:right="0" w:firstLine="0"/>
        <w:jc w:val="left"/>
        <w:rPr>
          <w:rFonts w:ascii="Arial"/>
          <w:b/>
          <w:sz w:val="22"/>
        </w:rPr>
      </w:pPr>
      <w:r>
        <w:rPr/>
        <w:pict>
          <v:shape style="position:absolute;margin-left:324.719910pt;margin-top:10.009551pt;width:253.25pt;height:256.5pt;mso-position-horizontal-relative:page;mso-position-vertical-relative:paragraph;z-index:15752704" type="#_x0000_t202" id="docshape104" filled="false" stroked="false">
            <v:textbox inset="0,0,0,0">
              <w:txbxContent>
                <w:tbl>
                  <w:tblPr>
                    <w:tblW w:w="0" w:type="auto"/>
                    <w:jc w:val="left"/>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22"/>
                    <w:gridCol w:w="4012"/>
                  </w:tblGrid>
                  <w:tr>
                    <w:trPr>
                      <w:trHeight w:val="3735" w:hRule="atLeast"/>
                    </w:trPr>
                    <w:tc>
                      <w:tcPr>
                        <w:tcW w:w="1022" w:type="dxa"/>
                        <w:shd w:val="clear" w:color="auto" w:fill="CE384B"/>
                      </w:tcPr>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rPr>
                            <w:i/>
                            <w:sz w:val="20"/>
                          </w:rPr>
                        </w:pPr>
                      </w:p>
                      <w:p>
                        <w:pPr>
                          <w:pStyle w:val="TableParagraph"/>
                          <w:spacing w:before="1"/>
                          <w:rPr>
                            <w:i/>
                            <w:sz w:val="22"/>
                          </w:rPr>
                        </w:pPr>
                      </w:p>
                      <w:p>
                        <w:pPr>
                          <w:pStyle w:val="TableParagraph"/>
                          <w:ind w:left="115"/>
                          <w:rPr>
                            <w:sz w:val="20"/>
                          </w:rPr>
                        </w:pPr>
                        <w:r>
                          <w:rPr>
                            <w:sz w:val="20"/>
                          </w:rPr>
                          <w:drawing>
                            <wp:inline distT="0" distB="0" distL="0" distR="0">
                              <wp:extent cx="507111" cy="507110"/>
                              <wp:effectExtent l="0" t="0" r="0" b="0"/>
                              <wp:docPr id="33" name="image18.png"/>
                              <wp:cNvGraphicFramePr>
                                <a:graphicFrameLocks noChangeAspect="1"/>
                              </wp:cNvGraphicFramePr>
                              <a:graphic>
                                <a:graphicData uri="http://schemas.openxmlformats.org/drawingml/2006/picture">
                                  <pic:pic>
                                    <pic:nvPicPr>
                                      <pic:cNvPr id="34" name="image18.png"/>
                                      <pic:cNvPicPr/>
                                    </pic:nvPicPr>
                                    <pic:blipFill>
                                      <a:blip r:embed="rId148" cstate="print"/>
                                      <a:stretch>
                                        <a:fillRect/>
                                      </a:stretch>
                                    </pic:blipFill>
                                    <pic:spPr>
                                      <a:xfrm>
                                        <a:off x="0" y="0"/>
                                        <a:ext cx="507111" cy="507110"/>
                                      </a:xfrm>
                                      <a:prstGeom prst="rect">
                                        <a:avLst/>
                                      </a:prstGeom>
                                    </pic:spPr>
                                  </pic:pic>
                                </a:graphicData>
                              </a:graphic>
                            </wp:inline>
                          </w:drawing>
                        </w:r>
                        <w:r>
                          <w:rPr>
                            <w:sz w:val="20"/>
                          </w:rPr>
                        </w:r>
                      </w:p>
                    </w:tc>
                    <w:tc>
                      <w:tcPr>
                        <w:tcW w:w="4012" w:type="dxa"/>
                        <w:shd w:val="clear" w:color="auto" w:fill="F7E4E6"/>
                      </w:tcPr>
                      <w:p>
                        <w:pPr>
                          <w:pStyle w:val="TableParagraph"/>
                          <w:numPr>
                            <w:ilvl w:val="0"/>
                            <w:numId w:val="7"/>
                          </w:numPr>
                          <w:tabs>
                            <w:tab w:pos="439" w:val="left" w:leader="none"/>
                            <w:tab w:pos="440" w:val="left" w:leader="none"/>
                          </w:tabs>
                          <w:spacing w:line="249" w:lineRule="auto" w:before="14" w:after="0"/>
                          <w:ind w:left="439" w:right="226" w:hanging="360"/>
                          <w:jc w:val="left"/>
                          <w:rPr>
                            <w:sz w:val="11"/>
                          </w:rPr>
                        </w:pPr>
                        <w:r>
                          <w:rPr>
                            <w:color w:val="231F20"/>
                            <w:sz w:val="20"/>
                          </w:rPr>
                          <w:t>Reduction in self-reported sexual</w:t>
                        </w:r>
                        <w:r>
                          <w:rPr>
                            <w:color w:val="231F20"/>
                            <w:spacing w:val="1"/>
                            <w:sz w:val="20"/>
                          </w:rPr>
                          <w:t> </w:t>
                        </w:r>
                        <w:r>
                          <w:rPr>
                            <w:color w:val="231F20"/>
                            <w:sz w:val="20"/>
                          </w:rPr>
                          <w:t>behaviors that increase risk for HIV</w:t>
                        </w:r>
                        <w:r>
                          <w:rPr>
                            <w:color w:val="231F20"/>
                            <w:spacing w:val="1"/>
                            <w:sz w:val="20"/>
                          </w:rPr>
                          <w:t> </w:t>
                        </w:r>
                        <w:r>
                          <w:rPr>
                            <w:color w:val="231F20"/>
                            <w:sz w:val="20"/>
                          </w:rPr>
                          <w:t>over the previous month (i.e., number</w:t>
                        </w:r>
                        <w:r>
                          <w:rPr>
                            <w:color w:val="231F20"/>
                            <w:spacing w:val="-53"/>
                            <w:sz w:val="20"/>
                          </w:rPr>
                          <w:t> </w:t>
                        </w:r>
                        <w:r>
                          <w:rPr>
                            <w:color w:val="231F20"/>
                            <w:sz w:val="20"/>
                          </w:rPr>
                          <w:t>of sexual partners, condomless sex,</w:t>
                        </w:r>
                        <w:r>
                          <w:rPr>
                            <w:color w:val="231F20"/>
                            <w:spacing w:val="1"/>
                            <w:sz w:val="20"/>
                          </w:rPr>
                          <w:t> </w:t>
                        </w:r>
                        <w:r>
                          <w:rPr>
                            <w:color w:val="231F20"/>
                            <w:sz w:val="20"/>
                          </w:rPr>
                          <w:t>sex for money or nonmonetary items,</w:t>
                        </w:r>
                        <w:r>
                          <w:rPr>
                            <w:color w:val="231F20"/>
                            <w:spacing w:val="-53"/>
                            <w:sz w:val="20"/>
                          </w:rPr>
                          <w:t> </w:t>
                        </w:r>
                        <w:r>
                          <w:rPr>
                            <w:color w:val="231F20"/>
                            <w:sz w:val="20"/>
                          </w:rPr>
                          <w:t>and anal sex) sustained for up to 12</w:t>
                        </w:r>
                        <w:r>
                          <w:rPr>
                            <w:color w:val="231F20"/>
                            <w:spacing w:val="1"/>
                            <w:sz w:val="20"/>
                          </w:rPr>
                          <w:t> </w:t>
                        </w:r>
                        <w:r>
                          <w:rPr>
                            <w:color w:val="231F20"/>
                            <w:position w:val="-6"/>
                            <w:sz w:val="20"/>
                          </w:rPr>
                          <w:t>months.</w:t>
                        </w:r>
                        <w:r>
                          <w:rPr>
                            <w:color w:val="231F20"/>
                            <w:sz w:val="11"/>
                          </w:rPr>
                          <w:t>42,</w:t>
                        </w:r>
                        <w:r>
                          <w:rPr>
                            <w:color w:val="231F20"/>
                            <w:spacing w:val="1"/>
                            <w:sz w:val="11"/>
                          </w:rPr>
                          <w:t> </w:t>
                        </w:r>
                        <w:r>
                          <w:rPr>
                            <w:color w:val="231F20"/>
                            <w:sz w:val="11"/>
                          </w:rPr>
                          <w:t>44,</w:t>
                        </w:r>
                        <w:r>
                          <w:rPr>
                            <w:color w:val="231F20"/>
                            <w:spacing w:val="1"/>
                            <w:sz w:val="11"/>
                          </w:rPr>
                          <w:t> </w:t>
                        </w:r>
                        <w:r>
                          <w:rPr>
                            <w:color w:val="231F20"/>
                            <w:sz w:val="11"/>
                          </w:rPr>
                          <w:t>48</w:t>
                        </w:r>
                      </w:p>
                      <w:p>
                        <w:pPr>
                          <w:pStyle w:val="TableParagraph"/>
                          <w:numPr>
                            <w:ilvl w:val="0"/>
                            <w:numId w:val="7"/>
                          </w:numPr>
                          <w:tabs>
                            <w:tab w:pos="439" w:val="left" w:leader="none"/>
                            <w:tab w:pos="441" w:val="left" w:leader="none"/>
                          </w:tabs>
                          <w:spacing w:line="249" w:lineRule="auto" w:before="80" w:after="0"/>
                          <w:ind w:left="440" w:right="103" w:hanging="360"/>
                          <w:jc w:val="left"/>
                          <w:rPr>
                            <w:sz w:val="11"/>
                          </w:rPr>
                        </w:pPr>
                        <w:r>
                          <w:rPr>
                            <w:color w:val="231F20"/>
                            <w:sz w:val="20"/>
                          </w:rPr>
                          <w:t>Reduction in self-reported drug-use</w:t>
                        </w:r>
                        <w:r>
                          <w:rPr>
                            <w:color w:val="231F20"/>
                            <w:spacing w:val="1"/>
                            <w:sz w:val="20"/>
                          </w:rPr>
                          <w:t> </w:t>
                        </w:r>
                        <w:r>
                          <w:rPr>
                            <w:color w:val="231F20"/>
                            <w:sz w:val="20"/>
                          </w:rPr>
                          <w:t>behaviors that increase likelihood for</w:t>
                        </w:r>
                        <w:r>
                          <w:rPr>
                            <w:color w:val="231F20"/>
                            <w:spacing w:val="1"/>
                            <w:sz w:val="20"/>
                          </w:rPr>
                          <w:t> </w:t>
                        </w:r>
                        <w:r>
                          <w:rPr>
                            <w:color w:val="231F20"/>
                            <w:sz w:val="20"/>
                          </w:rPr>
                          <w:t>getting HIV over the previous month,</w:t>
                        </w:r>
                        <w:r>
                          <w:rPr>
                            <w:color w:val="231F20"/>
                            <w:spacing w:val="1"/>
                            <w:sz w:val="20"/>
                          </w:rPr>
                          <w:t> </w:t>
                        </w:r>
                        <w:r>
                          <w:rPr>
                            <w:color w:val="231F20"/>
                            <w:sz w:val="20"/>
                          </w:rPr>
                          <w:t>(i.e., injection drug use, receptive</w:t>
                        </w:r>
                        <w:r>
                          <w:rPr>
                            <w:color w:val="231F20"/>
                            <w:spacing w:val="1"/>
                            <w:sz w:val="20"/>
                          </w:rPr>
                          <w:t> </w:t>
                        </w:r>
                        <w:r>
                          <w:rPr>
                            <w:color w:val="231F20"/>
                            <w:sz w:val="20"/>
                          </w:rPr>
                          <w:t>syringe sharing, syringe lending, and</w:t>
                        </w:r>
                        <w:r>
                          <w:rPr>
                            <w:color w:val="231F20"/>
                            <w:spacing w:val="1"/>
                            <w:sz w:val="20"/>
                          </w:rPr>
                          <w:t> </w:t>
                        </w:r>
                        <w:r>
                          <w:rPr>
                            <w:color w:val="231F20"/>
                            <w:sz w:val="20"/>
                          </w:rPr>
                          <w:t>using</w:t>
                        </w:r>
                        <w:r>
                          <w:rPr>
                            <w:color w:val="231F20"/>
                            <w:spacing w:val="6"/>
                            <w:sz w:val="20"/>
                          </w:rPr>
                          <w:t> </w:t>
                        </w:r>
                        <w:r>
                          <w:rPr>
                            <w:color w:val="231F20"/>
                            <w:sz w:val="20"/>
                          </w:rPr>
                          <w:t>injection</w:t>
                        </w:r>
                        <w:r>
                          <w:rPr>
                            <w:color w:val="231F20"/>
                            <w:spacing w:val="6"/>
                            <w:sz w:val="20"/>
                          </w:rPr>
                          <w:t> </w:t>
                        </w:r>
                        <w:r>
                          <w:rPr>
                            <w:color w:val="231F20"/>
                            <w:sz w:val="20"/>
                          </w:rPr>
                          <w:t>drug</w:t>
                        </w:r>
                        <w:r>
                          <w:rPr>
                            <w:color w:val="231F20"/>
                            <w:spacing w:val="6"/>
                            <w:sz w:val="20"/>
                          </w:rPr>
                          <w:t> </w:t>
                        </w:r>
                        <w:r>
                          <w:rPr>
                            <w:color w:val="231F20"/>
                            <w:sz w:val="20"/>
                          </w:rPr>
                          <w:t>use</w:t>
                        </w:r>
                        <w:r>
                          <w:rPr>
                            <w:color w:val="231F20"/>
                            <w:spacing w:val="6"/>
                            <w:sz w:val="20"/>
                          </w:rPr>
                          <w:t> </w:t>
                        </w:r>
                        <w:r>
                          <w:rPr>
                            <w:color w:val="231F20"/>
                            <w:sz w:val="20"/>
                          </w:rPr>
                          <w:t>equipment</w:t>
                        </w:r>
                        <w:r>
                          <w:rPr>
                            <w:color w:val="231F20"/>
                            <w:spacing w:val="1"/>
                            <w:sz w:val="20"/>
                          </w:rPr>
                          <w:t> </w:t>
                        </w:r>
                        <w:r>
                          <w:rPr>
                            <w:color w:val="231F20"/>
                            <w:sz w:val="20"/>
                          </w:rPr>
                          <w:t>that has not been cleaned or sterilized)</w:t>
                        </w:r>
                        <w:r>
                          <w:rPr>
                            <w:color w:val="231F20"/>
                            <w:spacing w:val="-54"/>
                            <w:sz w:val="20"/>
                          </w:rPr>
                          <w:t> </w:t>
                        </w:r>
                        <w:r>
                          <w:rPr>
                            <w:color w:val="231F20"/>
                            <w:sz w:val="20"/>
                          </w:rPr>
                          <w:t>sustained</w:t>
                        </w:r>
                        <w:r>
                          <w:rPr>
                            <w:color w:val="231F20"/>
                            <w:spacing w:val="1"/>
                            <w:sz w:val="20"/>
                          </w:rPr>
                          <w:t> </w:t>
                        </w:r>
                        <w:r>
                          <w:rPr>
                            <w:color w:val="231F20"/>
                            <w:sz w:val="20"/>
                          </w:rPr>
                          <w:t>for</w:t>
                        </w:r>
                        <w:r>
                          <w:rPr>
                            <w:color w:val="231F20"/>
                            <w:spacing w:val="2"/>
                            <w:sz w:val="20"/>
                          </w:rPr>
                          <w:t> </w:t>
                        </w:r>
                        <w:r>
                          <w:rPr>
                            <w:color w:val="231F20"/>
                            <w:sz w:val="20"/>
                          </w:rPr>
                          <w:t>up to</w:t>
                        </w:r>
                        <w:r>
                          <w:rPr>
                            <w:color w:val="231F20"/>
                            <w:spacing w:val="2"/>
                            <w:sz w:val="20"/>
                          </w:rPr>
                          <w:t> </w:t>
                        </w:r>
                        <w:r>
                          <w:rPr>
                            <w:color w:val="231F20"/>
                            <w:sz w:val="20"/>
                          </w:rPr>
                          <w:t>12 months.</w:t>
                        </w:r>
                        <w:r>
                          <w:rPr>
                            <w:color w:val="231F20"/>
                            <w:position w:val="7"/>
                            <w:sz w:val="11"/>
                          </w:rPr>
                          <w:t>42,</w:t>
                        </w:r>
                        <w:r>
                          <w:rPr>
                            <w:color w:val="231F20"/>
                            <w:spacing w:val="2"/>
                            <w:position w:val="7"/>
                            <w:sz w:val="11"/>
                          </w:rPr>
                          <w:t> </w:t>
                        </w:r>
                        <w:r>
                          <w:rPr>
                            <w:color w:val="231F20"/>
                            <w:position w:val="7"/>
                            <w:sz w:val="11"/>
                          </w:rPr>
                          <w:t>48-49</w:t>
                        </w:r>
                      </w:p>
                    </w:tc>
                  </w:tr>
                  <w:tr>
                    <w:trPr>
                      <w:trHeight w:val="1335" w:hRule="atLeast"/>
                    </w:trPr>
                    <w:tc>
                      <w:tcPr>
                        <w:tcW w:w="1022" w:type="dxa"/>
                        <w:shd w:val="clear" w:color="auto" w:fill="CE384B"/>
                      </w:tcPr>
                      <w:p>
                        <w:pPr>
                          <w:pStyle w:val="TableParagraph"/>
                          <w:spacing w:before="9"/>
                          <w:rPr>
                            <w:i/>
                            <w:sz w:val="23"/>
                          </w:rPr>
                        </w:pPr>
                      </w:p>
                      <w:p>
                        <w:pPr>
                          <w:pStyle w:val="TableParagraph"/>
                          <w:ind w:left="117"/>
                          <w:rPr>
                            <w:sz w:val="20"/>
                          </w:rPr>
                        </w:pPr>
                        <w:r>
                          <w:rPr>
                            <w:sz w:val="20"/>
                          </w:rPr>
                          <w:drawing>
                            <wp:inline distT="0" distB="0" distL="0" distR="0">
                              <wp:extent cx="502926" cy="502920"/>
                              <wp:effectExtent l="0" t="0" r="0" b="0"/>
                              <wp:docPr id="35" name="image20.png"/>
                              <wp:cNvGraphicFramePr>
                                <a:graphicFrameLocks noChangeAspect="1"/>
                              </wp:cNvGraphicFramePr>
                              <a:graphic>
                                <a:graphicData uri="http://schemas.openxmlformats.org/drawingml/2006/picture">
                                  <pic:pic>
                                    <pic:nvPicPr>
                                      <pic:cNvPr id="36" name="image20.png"/>
                                      <pic:cNvPicPr/>
                                    </pic:nvPicPr>
                                    <pic:blipFill>
                                      <a:blip r:embed="rId150" cstate="print"/>
                                      <a:stretch>
                                        <a:fillRect/>
                                      </a:stretch>
                                    </pic:blipFill>
                                    <pic:spPr>
                                      <a:xfrm>
                                        <a:off x="0" y="0"/>
                                        <a:ext cx="502926" cy="502920"/>
                                      </a:xfrm>
                                      <a:prstGeom prst="rect">
                                        <a:avLst/>
                                      </a:prstGeom>
                                    </pic:spPr>
                                  </pic:pic>
                                </a:graphicData>
                              </a:graphic>
                            </wp:inline>
                          </w:drawing>
                        </w:r>
                        <w:r>
                          <w:rPr>
                            <w:sz w:val="20"/>
                          </w:rPr>
                        </w:r>
                      </w:p>
                    </w:tc>
                    <w:tc>
                      <w:tcPr>
                        <w:tcW w:w="4012" w:type="dxa"/>
                        <w:shd w:val="clear" w:color="auto" w:fill="F7E4E6"/>
                      </w:tcPr>
                      <w:p>
                        <w:pPr>
                          <w:pStyle w:val="TableParagraph"/>
                          <w:numPr>
                            <w:ilvl w:val="0"/>
                            <w:numId w:val="8"/>
                          </w:numPr>
                          <w:tabs>
                            <w:tab w:pos="439" w:val="left" w:leader="none"/>
                            <w:tab w:pos="440" w:val="left" w:leader="none"/>
                          </w:tabs>
                          <w:spacing w:line="247" w:lineRule="auto" w:before="14" w:after="0"/>
                          <w:ind w:left="439" w:right="326" w:hanging="360"/>
                          <w:jc w:val="left"/>
                          <w:rPr>
                            <w:sz w:val="11"/>
                          </w:rPr>
                        </w:pPr>
                        <w:r>
                          <w:rPr>
                            <w:color w:val="231F20"/>
                            <w:sz w:val="20"/>
                          </w:rPr>
                          <w:t>Reduction</w:t>
                        </w:r>
                        <w:r>
                          <w:rPr>
                            <w:color w:val="231F20"/>
                            <w:spacing w:val="-4"/>
                            <w:sz w:val="20"/>
                          </w:rPr>
                          <w:t> </w:t>
                        </w:r>
                        <w:r>
                          <w:rPr>
                            <w:color w:val="231F20"/>
                            <w:sz w:val="20"/>
                          </w:rPr>
                          <w:t>in</w:t>
                        </w:r>
                        <w:r>
                          <w:rPr>
                            <w:color w:val="231F20"/>
                            <w:spacing w:val="-3"/>
                            <w:sz w:val="20"/>
                          </w:rPr>
                          <w:t> </w:t>
                        </w:r>
                        <w:r>
                          <w:rPr>
                            <w:color w:val="231F20"/>
                            <w:sz w:val="20"/>
                          </w:rPr>
                          <w:t>viral</w:t>
                        </w:r>
                        <w:r>
                          <w:rPr>
                            <w:color w:val="231F20"/>
                            <w:spacing w:val="-3"/>
                            <w:sz w:val="20"/>
                          </w:rPr>
                          <w:t> </w:t>
                        </w:r>
                        <w:r>
                          <w:rPr>
                            <w:color w:val="231F20"/>
                            <w:sz w:val="20"/>
                          </w:rPr>
                          <w:t>load,</w:t>
                        </w:r>
                        <w:r>
                          <w:rPr>
                            <w:color w:val="231F20"/>
                            <w:spacing w:val="-3"/>
                            <w:sz w:val="20"/>
                          </w:rPr>
                          <w:t> </w:t>
                        </w:r>
                        <w:r>
                          <w:rPr>
                            <w:color w:val="231F20"/>
                            <w:sz w:val="20"/>
                          </w:rPr>
                          <w:t>sustained</w:t>
                        </w:r>
                        <w:r>
                          <w:rPr>
                            <w:color w:val="231F20"/>
                            <w:spacing w:val="-3"/>
                            <w:sz w:val="20"/>
                          </w:rPr>
                          <w:t> </w:t>
                        </w:r>
                        <w:r>
                          <w:rPr>
                            <w:color w:val="231F20"/>
                            <w:sz w:val="20"/>
                          </w:rPr>
                          <w:t>for</w:t>
                        </w:r>
                        <w:r>
                          <w:rPr>
                            <w:color w:val="231F20"/>
                            <w:spacing w:val="-52"/>
                            <w:sz w:val="20"/>
                          </w:rPr>
                          <w:t> </w:t>
                        </w:r>
                        <w:r>
                          <w:rPr>
                            <w:color w:val="231F20"/>
                            <w:sz w:val="20"/>
                          </w:rPr>
                          <w:t>up</w:t>
                        </w:r>
                        <w:r>
                          <w:rPr>
                            <w:color w:val="231F20"/>
                            <w:spacing w:val="-1"/>
                            <w:sz w:val="20"/>
                          </w:rPr>
                          <w:t> </w:t>
                        </w:r>
                        <w:r>
                          <w:rPr>
                            <w:color w:val="231F20"/>
                            <w:sz w:val="20"/>
                          </w:rPr>
                          <w:t>to 6 months.</w:t>
                        </w:r>
                        <w:r>
                          <w:rPr>
                            <w:color w:val="231F20"/>
                            <w:position w:val="7"/>
                            <w:sz w:val="11"/>
                          </w:rPr>
                          <w:t>44,</w:t>
                        </w:r>
                        <w:r>
                          <w:rPr>
                            <w:color w:val="231F20"/>
                            <w:spacing w:val="1"/>
                            <w:position w:val="7"/>
                            <w:sz w:val="11"/>
                          </w:rPr>
                          <w:t> </w:t>
                        </w:r>
                        <w:r>
                          <w:rPr>
                            <w:color w:val="231F20"/>
                            <w:position w:val="7"/>
                            <w:sz w:val="11"/>
                          </w:rPr>
                          <w:t>52</w:t>
                        </w:r>
                      </w:p>
                      <w:p>
                        <w:pPr>
                          <w:pStyle w:val="TableParagraph"/>
                          <w:numPr>
                            <w:ilvl w:val="0"/>
                            <w:numId w:val="8"/>
                          </w:numPr>
                          <w:tabs>
                            <w:tab w:pos="439" w:val="left" w:leader="none"/>
                            <w:tab w:pos="440" w:val="left" w:leader="none"/>
                          </w:tabs>
                          <w:spacing w:line="240" w:lineRule="exact" w:before="90" w:after="0"/>
                          <w:ind w:left="439" w:right="193" w:hanging="360"/>
                          <w:jc w:val="left"/>
                          <w:rPr>
                            <w:sz w:val="11"/>
                          </w:rPr>
                        </w:pPr>
                        <w:r>
                          <w:rPr>
                            <w:color w:val="231F20"/>
                            <w:sz w:val="20"/>
                          </w:rPr>
                          <w:t>Increase</w:t>
                        </w:r>
                        <w:r>
                          <w:rPr>
                            <w:color w:val="231F20"/>
                            <w:spacing w:val="-6"/>
                            <w:sz w:val="20"/>
                          </w:rPr>
                          <w:t> </w:t>
                        </w:r>
                        <w:r>
                          <w:rPr>
                            <w:color w:val="231F20"/>
                            <w:sz w:val="20"/>
                          </w:rPr>
                          <w:t>in</w:t>
                        </w:r>
                        <w:r>
                          <w:rPr>
                            <w:color w:val="231F20"/>
                            <w:spacing w:val="-6"/>
                            <w:sz w:val="20"/>
                          </w:rPr>
                          <w:t> </w:t>
                        </w:r>
                        <w:r>
                          <w:rPr>
                            <w:color w:val="231F20"/>
                            <w:sz w:val="20"/>
                          </w:rPr>
                          <w:t>adherence</w:t>
                        </w:r>
                        <w:r>
                          <w:rPr>
                            <w:color w:val="231F20"/>
                            <w:spacing w:val="-6"/>
                            <w:sz w:val="20"/>
                          </w:rPr>
                          <w:t> </w:t>
                        </w:r>
                        <w:r>
                          <w:rPr>
                            <w:color w:val="231F20"/>
                            <w:sz w:val="20"/>
                          </w:rPr>
                          <w:t>to</w:t>
                        </w:r>
                        <w:r>
                          <w:rPr>
                            <w:color w:val="231F20"/>
                            <w:spacing w:val="-5"/>
                            <w:sz w:val="20"/>
                          </w:rPr>
                          <w:t> </w:t>
                        </w:r>
                        <w:r>
                          <w:rPr>
                            <w:color w:val="231F20"/>
                            <w:sz w:val="20"/>
                          </w:rPr>
                          <w:t>antiretroviral</w:t>
                        </w:r>
                        <w:r>
                          <w:rPr>
                            <w:color w:val="231F20"/>
                            <w:spacing w:val="-53"/>
                            <w:sz w:val="20"/>
                          </w:rPr>
                          <w:t> </w:t>
                        </w:r>
                        <w:r>
                          <w:rPr>
                            <w:color w:val="231F20"/>
                            <w:sz w:val="20"/>
                          </w:rPr>
                          <w:t>therapy (ART), sustained for up to 4</w:t>
                        </w:r>
                        <w:r>
                          <w:rPr>
                            <w:color w:val="231F20"/>
                            <w:spacing w:val="1"/>
                            <w:sz w:val="20"/>
                          </w:rPr>
                          <w:t> </w:t>
                        </w:r>
                        <w:r>
                          <w:rPr>
                            <w:color w:val="231F20"/>
                            <w:sz w:val="20"/>
                          </w:rPr>
                          <w:t>months.</w:t>
                        </w:r>
                        <w:r>
                          <w:rPr>
                            <w:color w:val="231F20"/>
                            <w:position w:val="7"/>
                            <w:sz w:val="11"/>
                          </w:rPr>
                          <w:t>53</w:t>
                        </w:r>
                      </w:p>
                    </w:tc>
                  </w:tr>
                </w:tbl>
                <w:p>
                  <w:pPr>
                    <w:pStyle w:val="BodyText"/>
                  </w:pPr>
                </w:p>
              </w:txbxContent>
            </v:textbox>
            <w10:wrap type="none"/>
          </v:shape>
        </w:pict>
      </w:r>
      <w:bookmarkStart w:name="Contingency Management (CM)" w:id="52"/>
      <w:bookmarkEnd w:id="52"/>
      <w:r>
        <w:rPr/>
      </w:r>
      <w:bookmarkStart w:name="Goal" w:id="53"/>
      <w:bookmarkEnd w:id="53"/>
      <w:r>
        <w:rPr/>
      </w:r>
      <w:bookmarkStart w:name="Outcomes Associated with CM" w:id="54"/>
      <w:bookmarkEnd w:id="54"/>
      <w:r>
        <w:rPr/>
      </w:r>
      <w:bookmarkStart w:name="Typical Settings" w:id="55"/>
      <w:bookmarkEnd w:id="55"/>
      <w:r>
        <w:rPr/>
      </w:r>
      <w:bookmarkStart w:name="Demographic Groups" w:id="56"/>
      <w:bookmarkEnd w:id="56"/>
      <w:r>
        <w:rPr/>
      </w:r>
      <w:r>
        <w:rPr>
          <w:rFonts w:ascii="Arial"/>
          <w:b/>
          <w:color w:val="CE384B"/>
          <w:sz w:val="22"/>
        </w:rPr>
        <w:t>Contingency</w:t>
      </w:r>
      <w:r>
        <w:rPr>
          <w:rFonts w:ascii="Arial"/>
          <w:b/>
          <w:color w:val="CE384B"/>
          <w:spacing w:val="-6"/>
          <w:sz w:val="22"/>
        </w:rPr>
        <w:t> </w:t>
      </w:r>
      <w:r>
        <w:rPr>
          <w:rFonts w:ascii="Arial"/>
          <w:b/>
          <w:color w:val="CE384B"/>
          <w:sz w:val="22"/>
        </w:rPr>
        <w:t>Management</w:t>
      </w:r>
      <w:r>
        <w:rPr>
          <w:rFonts w:ascii="Arial"/>
          <w:b/>
          <w:color w:val="CE384B"/>
          <w:spacing w:val="-5"/>
          <w:sz w:val="22"/>
        </w:rPr>
        <w:t> </w:t>
      </w:r>
      <w:r>
        <w:rPr>
          <w:rFonts w:ascii="Arial"/>
          <w:b/>
          <w:color w:val="CE384B"/>
          <w:sz w:val="22"/>
        </w:rPr>
        <w:t>(CM)</w:t>
      </w:r>
    </w:p>
    <w:p>
      <w:pPr>
        <w:pStyle w:val="BodyText"/>
        <w:spacing w:before="9"/>
        <w:rPr>
          <w:rFonts w:ascii="Arial"/>
          <w:b/>
          <w:sz w:val="15"/>
        </w:rPr>
      </w:pPr>
      <w:r>
        <w:rPr/>
        <w:drawing>
          <wp:anchor distT="0" distB="0" distL="0" distR="0" allowOverlap="1" layoutInCell="1" locked="0" behindDoc="0" simplePos="0" relativeHeight="46">
            <wp:simplePos x="0" y="0"/>
            <wp:positionH relativeFrom="page">
              <wp:posOffset>477005</wp:posOffset>
            </wp:positionH>
            <wp:positionV relativeFrom="paragraph">
              <wp:posOffset>130784</wp:posOffset>
            </wp:positionV>
            <wp:extent cx="2964408" cy="336803"/>
            <wp:effectExtent l="0" t="0" r="0" b="0"/>
            <wp:wrapTopAndBottom/>
            <wp:docPr id="37" name="image19.jpeg"/>
            <wp:cNvGraphicFramePr>
              <a:graphicFrameLocks noChangeAspect="1"/>
            </wp:cNvGraphicFramePr>
            <a:graphic>
              <a:graphicData uri="http://schemas.openxmlformats.org/drawingml/2006/picture">
                <pic:pic>
                  <pic:nvPicPr>
                    <pic:cNvPr id="38" name="image19.jpeg"/>
                    <pic:cNvPicPr/>
                  </pic:nvPicPr>
                  <pic:blipFill>
                    <a:blip r:embed="rId149" cstate="print"/>
                    <a:stretch>
                      <a:fillRect/>
                    </a:stretch>
                  </pic:blipFill>
                  <pic:spPr>
                    <a:xfrm>
                      <a:off x="0" y="0"/>
                      <a:ext cx="2964408" cy="336803"/>
                    </a:xfrm>
                    <a:prstGeom prst="rect">
                      <a:avLst/>
                    </a:prstGeom>
                  </pic:spPr>
                </pic:pic>
              </a:graphicData>
            </a:graphic>
          </wp:anchor>
        </w:drawing>
      </w:r>
    </w:p>
    <w:p>
      <w:pPr>
        <w:pStyle w:val="BodyText"/>
        <w:spacing w:before="4"/>
        <w:rPr>
          <w:rFonts w:ascii="Arial"/>
          <w:b/>
          <w:sz w:val="12"/>
        </w:rPr>
      </w:pPr>
    </w:p>
    <w:p>
      <w:pPr>
        <w:spacing w:after="0"/>
        <w:rPr>
          <w:rFonts w:ascii="Arial"/>
          <w:sz w:val="12"/>
        </w:rPr>
        <w:sectPr>
          <w:pgSz w:w="12240" w:h="15840"/>
          <w:pgMar w:header="0" w:footer="666" w:top="380" w:bottom="860" w:left="560" w:right="0"/>
        </w:sectPr>
      </w:pPr>
    </w:p>
    <w:p>
      <w:pPr>
        <w:pStyle w:val="Heading5"/>
        <w:spacing w:before="92"/>
        <w:rPr>
          <w:i/>
        </w:rPr>
      </w:pPr>
      <w:r>
        <w:rPr>
          <w:i/>
          <w:color w:val="1C384B"/>
        </w:rPr>
        <w:t>Goal</w:t>
      </w:r>
    </w:p>
    <w:p>
      <w:pPr>
        <w:pStyle w:val="BodyText"/>
        <w:spacing w:line="266" w:lineRule="auto" w:before="184"/>
        <w:ind w:left="160" w:right="144"/>
      </w:pPr>
      <w:r>
        <w:rPr>
          <w:color w:val="231F20"/>
        </w:rPr>
        <w:t>CM is a behavioral therapy that uses motivational</w:t>
      </w:r>
      <w:r>
        <w:rPr>
          <w:color w:val="231F20"/>
          <w:spacing w:val="1"/>
        </w:rPr>
        <w:t> </w:t>
      </w:r>
      <w:r>
        <w:rPr>
          <w:color w:val="231F20"/>
        </w:rPr>
        <w:t>incentives and tangible reinforcers to increase desirable</w:t>
      </w:r>
      <w:r>
        <w:rPr>
          <w:color w:val="231F20"/>
          <w:spacing w:val="1"/>
        </w:rPr>
        <w:t> </w:t>
      </w:r>
      <w:r>
        <w:rPr>
          <w:color w:val="231F20"/>
        </w:rPr>
        <w:t>behavior.</w:t>
      </w:r>
      <w:r>
        <w:rPr>
          <w:color w:val="231F20"/>
          <w:vertAlign w:val="superscript"/>
        </w:rPr>
        <w:t>42-43</w:t>
      </w:r>
      <w:r>
        <w:rPr>
          <w:color w:val="231F20"/>
          <w:vertAlign w:val="baseline"/>
        </w:rPr>
        <w:t> People in CM programs are given</w:t>
      </w:r>
      <w:r>
        <w:rPr>
          <w:color w:val="231F20"/>
          <w:spacing w:val="1"/>
          <w:vertAlign w:val="baseline"/>
        </w:rPr>
        <w:t> </w:t>
      </w:r>
      <w:r>
        <w:rPr>
          <w:color w:val="231F20"/>
          <w:vertAlign w:val="baseline"/>
        </w:rPr>
        <w:t>reinforcers—often vouchers that can be exchanged for</w:t>
      </w:r>
      <w:r>
        <w:rPr>
          <w:color w:val="231F20"/>
          <w:spacing w:val="1"/>
          <w:vertAlign w:val="baseline"/>
        </w:rPr>
        <w:t> </w:t>
      </w:r>
      <w:r>
        <w:rPr>
          <w:color w:val="231F20"/>
          <w:vertAlign w:val="baseline"/>
        </w:rPr>
        <w:t>money or goods, or chances to win prizes—when they</w:t>
      </w:r>
      <w:r>
        <w:rPr>
          <w:color w:val="231F20"/>
          <w:spacing w:val="1"/>
          <w:vertAlign w:val="baseline"/>
        </w:rPr>
        <w:t> </w:t>
      </w:r>
      <w:r>
        <w:rPr>
          <w:color w:val="231F20"/>
          <w:spacing w:val="-2"/>
          <w:vertAlign w:val="baseline"/>
        </w:rPr>
        <w:t>consistently</w:t>
      </w:r>
      <w:r>
        <w:rPr>
          <w:color w:val="231F20"/>
          <w:spacing w:val="-11"/>
          <w:vertAlign w:val="baseline"/>
        </w:rPr>
        <w:t> </w:t>
      </w:r>
      <w:r>
        <w:rPr>
          <w:color w:val="231F20"/>
          <w:spacing w:val="-2"/>
          <w:vertAlign w:val="baseline"/>
        </w:rPr>
        <w:t>demonstrate</w:t>
      </w:r>
      <w:r>
        <w:rPr>
          <w:color w:val="231F20"/>
          <w:spacing w:val="-11"/>
          <w:vertAlign w:val="baseline"/>
        </w:rPr>
        <w:t> </w:t>
      </w:r>
      <w:r>
        <w:rPr>
          <w:color w:val="231F20"/>
          <w:spacing w:val="-1"/>
          <w:vertAlign w:val="baseline"/>
        </w:rPr>
        <w:t>positive</w:t>
      </w:r>
      <w:r>
        <w:rPr>
          <w:color w:val="231F20"/>
          <w:spacing w:val="-10"/>
          <w:vertAlign w:val="baseline"/>
        </w:rPr>
        <w:t> </w:t>
      </w:r>
      <w:r>
        <w:rPr>
          <w:color w:val="231F20"/>
          <w:spacing w:val="-1"/>
          <w:vertAlign w:val="baseline"/>
        </w:rPr>
        <w:t>behavior</w:t>
      </w:r>
      <w:r>
        <w:rPr>
          <w:color w:val="231F20"/>
          <w:spacing w:val="-11"/>
          <w:vertAlign w:val="baseline"/>
        </w:rPr>
        <w:t> </w:t>
      </w:r>
      <w:r>
        <w:rPr>
          <w:color w:val="231F20"/>
          <w:spacing w:val="-1"/>
          <w:vertAlign w:val="baseline"/>
        </w:rPr>
        <w:t>(e.g.,</w:t>
      </w:r>
      <w:r>
        <w:rPr>
          <w:color w:val="231F20"/>
          <w:spacing w:val="-12"/>
          <w:vertAlign w:val="baseline"/>
        </w:rPr>
        <w:t> </w:t>
      </w:r>
      <w:r>
        <w:rPr>
          <w:color w:val="010202"/>
          <w:spacing w:val="-1"/>
          <w:vertAlign w:val="baseline"/>
        </w:rPr>
        <w:t>negative</w:t>
      </w:r>
      <w:r>
        <w:rPr>
          <w:color w:val="010202"/>
          <w:spacing w:val="-52"/>
          <w:vertAlign w:val="baseline"/>
        </w:rPr>
        <w:t> </w:t>
      </w:r>
      <w:r>
        <w:rPr>
          <w:color w:val="231F20"/>
          <w:vertAlign w:val="baseline"/>
        </w:rPr>
        <w:t>urine</w:t>
      </w:r>
      <w:r>
        <w:rPr>
          <w:color w:val="231F20"/>
          <w:spacing w:val="-12"/>
          <w:vertAlign w:val="baseline"/>
        </w:rPr>
        <w:t> </w:t>
      </w:r>
      <w:r>
        <w:rPr>
          <w:color w:val="231F20"/>
          <w:vertAlign w:val="baseline"/>
        </w:rPr>
        <w:t>drug</w:t>
      </w:r>
      <w:r>
        <w:rPr>
          <w:color w:val="231F20"/>
          <w:spacing w:val="-12"/>
          <w:vertAlign w:val="baseline"/>
        </w:rPr>
        <w:t> </w:t>
      </w:r>
      <w:r>
        <w:rPr>
          <w:color w:val="010202"/>
          <w:vertAlign w:val="baseline"/>
        </w:rPr>
        <w:t>screens,</w:t>
      </w:r>
      <w:r>
        <w:rPr>
          <w:color w:val="010202"/>
          <w:spacing w:val="-12"/>
          <w:vertAlign w:val="baseline"/>
        </w:rPr>
        <w:t> </w:t>
      </w:r>
      <w:r>
        <w:rPr>
          <w:color w:val="010202"/>
          <w:vertAlign w:val="baseline"/>
        </w:rPr>
        <w:t>showing</w:t>
      </w:r>
      <w:r>
        <w:rPr>
          <w:color w:val="010202"/>
          <w:spacing w:val="-13"/>
          <w:vertAlign w:val="baseline"/>
        </w:rPr>
        <w:t> </w:t>
      </w:r>
      <w:r>
        <w:rPr>
          <w:color w:val="010202"/>
          <w:vertAlign w:val="baseline"/>
        </w:rPr>
        <w:t>up</w:t>
      </w:r>
      <w:r>
        <w:rPr>
          <w:color w:val="010202"/>
          <w:spacing w:val="-12"/>
          <w:vertAlign w:val="baseline"/>
        </w:rPr>
        <w:t> </w:t>
      </w:r>
      <w:r>
        <w:rPr>
          <w:color w:val="010202"/>
          <w:vertAlign w:val="baseline"/>
        </w:rPr>
        <w:t>for</w:t>
      </w:r>
      <w:r>
        <w:rPr>
          <w:color w:val="010202"/>
          <w:spacing w:val="-11"/>
          <w:vertAlign w:val="baseline"/>
        </w:rPr>
        <w:t> </w:t>
      </w:r>
      <w:r>
        <w:rPr>
          <w:color w:val="010202"/>
          <w:vertAlign w:val="baseline"/>
        </w:rPr>
        <w:t>an</w:t>
      </w:r>
      <w:r>
        <w:rPr>
          <w:color w:val="010202"/>
          <w:spacing w:val="-12"/>
          <w:vertAlign w:val="baseline"/>
        </w:rPr>
        <w:t> </w:t>
      </w:r>
      <w:r>
        <w:rPr>
          <w:color w:val="010202"/>
          <w:vertAlign w:val="baseline"/>
        </w:rPr>
        <w:t>appointment).</w:t>
      </w:r>
      <w:r>
        <w:rPr>
          <w:color w:val="010202"/>
          <w:vertAlign w:val="superscript"/>
        </w:rPr>
        <w:t>44</w:t>
      </w:r>
    </w:p>
    <w:p>
      <w:pPr>
        <w:pStyle w:val="BodyText"/>
        <w:spacing w:line="266" w:lineRule="auto" w:before="174"/>
        <w:ind w:left="160" w:right="38"/>
      </w:pPr>
      <w:r>
        <w:rPr>
          <w:color w:val="010202"/>
          <w:spacing w:val="-5"/>
        </w:rPr>
        <w:t>Many state Medicaid, </w:t>
      </w:r>
      <w:r>
        <w:rPr>
          <w:color w:val="010202"/>
          <w:spacing w:val="-4"/>
        </w:rPr>
        <w:t>Medicare, and private insurance</w:t>
      </w:r>
      <w:r>
        <w:rPr>
          <w:color w:val="010202"/>
          <w:spacing w:val="-3"/>
        </w:rPr>
        <w:t> </w:t>
      </w:r>
      <w:r>
        <w:rPr>
          <w:color w:val="010202"/>
          <w:spacing w:val="-5"/>
        </w:rPr>
        <w:t>entities</w:t>
      </w:r>
      <w:r>
        <w:rPr>
          <w:color w:val="010202"/>
          <w:spacing w:val="-9"/>
        </w:rPr>
        <w:t> </w:t>
      </w:r>
      <w:r>
        <w:rPr>
          <w:color w:val="010202"/>
          <w:spacing w:val="-5"/>
        </w:rPr>
        <w:t>may</w:t>
      </w:r>
      <w:r>
        <w:rPr>
          <w:color w:val="010202"/>
          <w:spacing w:val="-9"/>
        </w:rPr>
        <w:t> </w:t>
      </w:r>
      <w:r>
        <w:rPr>
          <w:color w:val="010202"/>
          <w:spacing w:val="-5"/>
        </w:rPr>
        <w:t>not</w:t>
      </w:r>
      <w:r>
        <w:rPr>
          <w:color w:val="010202"/>
          <w:spacing w:val="-9"/>
        </w:rPr>
        <w:t> </w:t>
      </w:r>
      <w:r>
        <w:rPr>
          <w:color w:val="010202"/>
          <w:spacing w:val="-5"/>
        </w:rPr>
        <w:t>reimburse</w:t>
      </w:r>
      <w:r>
        <w:rPr>
          <w:color w:val="010202"/>
          <w:spacing w:val="-9"/>
        </w:rPr>
        <w:t> </w:t>
      </w:r>
      <w:r>
        <w:rPr>
          <w:color w:val="010202"/>
          <w:spacing w:val="-5"/>
        </w:rPr>
        <w:t>for</w:t>
      </w:r>
      <w:r>
        <w:rPr>
          <w:color w:val="010202"/>
          <w:spacing w:val="-9"/>
        </w:rPr>
        <w:t> </w:t>
      </w:r>
      <w:r>
        <w:rPr>
          <w:color w:val="010202"/>
          <w:spacing w:val="-5"/>
        </w:rPr>
        <w:t>CM</w:t>
      </w:r>
      <w:r>
        <w:rPr>
          <w:color w:val="010202"/>
          <w:spacing w:val="-9"/>
        </w:rPr>
        <w:t> </w:t>
      </w:r>
      <w:r>
        <w:rPr>
          <w:color w:val="010202"/>
          <w:spacing w:val="-4"/>
        </w:rPr>
        <w:t>reinforcers.</w:t>
      </w:r>
      <w:r>
        <w:rPr>
          <w:color w:val="010202"/>
          <w:spacing w:val="-21"/>
        </w:rPr>
        <w:t> </w:t>
      </w:r>
      <w:r>
        <w:rPr>
          <w:color w:val="010202"/>
          <w:spacing w:val="-4"/>
        </w:rPr>
        <w:t>Additionally,</w:t>
      </w:r>
      <w:r>
        <w:rPr>
          <w:color w:val="010202"/>
          <w:spacing w:val="-52"/>
        </w:rPr>
        <w:t> </w:t>
      </w:r>
      <w:r>
        <w:rPr>
          <w:color w:val="010202"/>
          <w:spacing w:val="-5"/>
        </w:rPr>
        <w:t>the Department </w:t>
      </w:r>
      <w:r>
        <w:rPr>
          <w:color w:val="010202"/>
          <w:spacing w:val="-4"/>
        </w:rPr>
        <w:t>of Health and Human Services’ (HHS)</w:t>
      </w:r>
      <w:r>
        <w:rPr>
          <w:color w:val="010202"/>
          <w:spacing w:val="-3"/>
        </w:rPr>
        <w:t> </w:t>
      </w:r>
      <w:r>
        <w:rPr>
          <w:color w:val="010202"/>
          <w:spacing w:val="-4"/>
        </w:rPr>
        <w:t>Office of the Inspector General (OIG) has ruled that </w:t>
      </w:r>
      <w:r>
        <w:rPr>
          <w:color w:val="010202"/>
          <w:spacing w:val="-3"/>
        </w:rPr>
        <w:t>the</w:t>
      </w:r>
      <w:r>
        <w:rPr>
          <w:color w:val="010202"/>
          <w:spacing w:val="-2"/>
        </w:rPr>
        <w:t> </w:t>
      </w:r>
      <w:r>
        <w:rPr>
          <w:color w:val="010202"/>
          <w:spacing w:val="-5"/>
        </w:rPr>
        <w:t>Centers for Medicare </w:t>
      </w:r>
      <w:r>
        <w:rPr>
          <w:color w:val="010202"/>
          <w:spacing w:val="-4"/>
        </w:rPr>
        <w:t>and Medicaid Services (CMS) may</w:t>
      </w:r>
      <w:r>
        <w:rPr>
          <w:color w:val="010202"/>
          <w:spacing w:val="-3"/>
        </w:rPr>
        <w:t> </w:t>
      </w:r>
      <w:r>
        <w:rPr>
          <w:color w:val="010202"/>
          <w:spacing w:val="-4"/>
        </w:rPr>
        <w:t>not provide more than $75 annually (or $15 per individual</w:t>
      </w:r>
      <w:r>
        <w:rPr>
          <w:color w:val="010202"/>
          <w:spacing w:val="-3"/>
        </w:rPr>
        <w:t> </w:t>
      </w:r>
      <w:r>
        <w:rPr>
          <w:color w:val="010202"/>
          <w:spacing w:val="-5"/>
        </w:rPr>
        <w:t>appointment) in goods to beneficiaries, </w:t>
      </w:r>
      <w:r>
        <w:rPr>
          <w:color w:val="010202"/>
          <w:spacing w:val="-4"/>
        </w:rPr>
        <w:t>limiting CM</w:t>
      </w:r>
      <w:r>
        <w:rPr>
          <w:color w:val="010202"/>
          <w:spacing w:val="-3"/>
        </w:rPr>
        <w:t> </w:t>
      </w:r>
      <w:r>
        <w:rPr>
          <w:color w:val="010202"/>
          <w:w w:val="95"/>
        </w:rPr>
        <w:t>enforcers to that amount.</w:t>
      </w:r>
      <w:r>
        <w:rPr>
          <w:color w:val="010202"/>
          <w:w w:val="95"/>
          <w:vertAlign w:val="superscript"/>
        </w:rPr>
        <w:t>45-47</w:t>
      </w:r>
      <w:r>
        <w:rPr>
          <w:color w:val="010202"/>
          <w:w w:val="95"/>
          <w:vertAlign w:val="baseline"/>
        </w:rPr>
        <w:t> Medicaid, Medicare, and</w:t>
      </w:r>
      <w:r>
        <w:rPr>
          <w:color w:val="010202"/>
          <w:spacing w:val="1"/>
          <w:w w:val="95"/>
          <w:vertAlign w:val="baseline"/>
        </w:rPr>
        <w:t> </w:t>
      </w:r>
      <w:r>
        <w:rPr>
          <w:color w:val="010202"/>
          <w:spacing w:val="-4"/>
          <w:vertAlign w:val="baseline"/>
        </w:rPr>
        <w:t>private insurance agencies may reimburse </w:t>
      </w:r>
      <w:r>
        <w:rPr>
          <w:color w:val="010202"/>
          <w:spacing w:val="-3"/>
          <w:vertAlign w:val="baseline"/>
        </w:rPr>
        <w:t>for CM as a</w:t>
      </w:r>
      <w:r>
        <w:rPr>
          <w:color w:val="010202"/>
          <w:spacing w:val="-2"/>
          <w:vertAlign w:val="baseline"/>
        </w:rPr>
        <w:t> </w:t>
      </w:r>
      <w:r>
        <w:rPr>
          <w:color w:val="010202"/>
          <w:spacing w:val="-4"/>
          <w:vertAlign w:val="baseline"/>
        </w:rPr>
        <w:t>service, but any value of payment for the </w:t>
      </w:r>
      <w:r>
        <w:rPr>
          <w:color w:val="010202"/>
          <w:spacing w:val="-3"/>
          <w:vertAlign w:val="baseline"/>
        </w:rPr>
        <w:t>reinforcers is</w:t>
      </w:r>
      <w:r>
        <w:rPr>
          <w:color w:val="010202"/>
          <w:spacing w:val="-2"/>
          <w:vertAlign w:val="baseline"/>
        </w:rPr>
        <w:t> </w:t>
      </w:r>
      <w:r>
        <w:rPr>
          <w:color w:val="010202"/>
          <w:spacing w:val="-5"/>
          <w:vertAlign w:val="baseline"/>
        </w:rPr>
        <w:t>prohibited. Therefore, CM implementation </w:t>
      </w:r>
      <w:r>
        <w:rPr>
          <w:color w:val="010202"/>
          <w:spacing w:val="-4"/>
          <w:vertAlign w:val="baseline"/>
        </w:rPr>
        <w:t>requires careful</w:t>
      </w:r>
      <w:r>
        <w:rPr>
          <w:color w:val="010202"/>
          <w:spacing w:val="-3"/>
          <w:vertAlign w:val="baseline"/>
        </w:rPr>
        <w:t> </w:t>
      </w:r>
      <w:r>
        <w:rPr>
          <w:color w:val="010202"/>
          <w:spacing w:val="-5"/>
          <w:vertAlign w:val="baseline"/>
        </w:rPr>
        <w:t>coordination with </w:t>
      </w:r>
      <w:r>
        <w:rPr>
          <w:color w:val="010202"/>
          <w:spacing w:val="-4"/>
          <w:vertAlign w:val="baseline"/>
        </w:rPr>
        <w:t>HHS, the state health department, and</w:t>
      </w:r>
      <w:r>
        <w:rPr>
          <w:color w:val="010202"/>
          <w:spacing w:val="-3"/>
          <w:vertAlign w:val="baseline"/>
        </w:rPr>
        <w:t> </w:t>
      </w:r>
      <w:r>
        <w:rPr>
          <w:color w:val="010202"/>
          <w:spacing w:val="-5"/>
          <w:vertAlign w:val="baseline"/>
        </w:rPr>
        <w:t>other insurance providers. </w:t>
      </w:r>
      <w:r>
        <w:rPr>
          <w:color w:val="010202"/>
          <w:spacing w:val="-4"/>
          <w:vertAlign w:val="baseline"/>
        </w:rPr>
        <w:t>Providers wishing to implement</w:t>
      </w:r>
      <w:r>
        <w:rPr>
          <w:color w:val="010202"/>
          <w:spacing w:val="-3"/>
          <w:vertAlign w:val="baseline"/>
        </w:rPr>
        <w:t> </w:t>
      </w:r>
      <w:r>
        <w:rPr>
          <w:color w:val="010202"/>
          <w:spacing w:val="-4"/>
          <w:vertAlign w:val="baseline"/>
        </w:rPr>
        <w:t>CM may identify other funding for reinforcers </w:t>
      </w:r>
      <w:r>
        <w:rPr>
          <w:color w:val="010202"/>
          <w:spacing w:val="-3"/>
          <w:vertAlign w:val="baseline"/>
        </w:rPr>
        <w:t>(up to $75</w:t>
      </w:r>
      <w:r>
        <w:rPr>
          <w:color w:val="010202"/>
          <w:spacing w:val="-2"/>
          <w:vertAlign w:val="baseline"/>
        </w:rPr>
        <w:t> </w:t>
      </w:r>
      <w:r>
        <w:rPr>
          <w:color w:val="010202"/>
          <w:spacing w:val="-5"/>
          <w:vertAlign w:val="baseline"/>
        </w:rPr>
        <w:t>per beneficiary annually), including </w:t>
      </w:r>
      <w:r>
        <w:rPr>
          <w:color w:val="010202"/>
          <w:spacing w:val="-4"/>
          <w:vertAlign w:val="baseline"/>
        </w:rPr>
        <w:t>federal, state, and</w:t>
      </w:r>
      <w:r>
        <w:rPr>
          <w:color w:val="010202"/>
          <w:spacing w:val="-3"/>
          <w:vertAlign w:val="baseline"/>
        </w:rPr>
        <w:t> </w:t>
      </w:r>
      <w:r>
        <w:rPr>
          <w:color w:val="010202"/>
          <w:spacing w:val="-5"/>
          <w:vertAlign w:val="baseline"/>
        </w:rPr>
        <w:t>private</w:t>
      </w:r>
      <w:r>
        <w:rPr>
          <w:color w:val="010202"/>
          <w:spacing w:val="-9"/>
          <w:vertAlign w:val="baseline"/>
        </w:rPr>
        <w:t> </w:t>
      </w:r>
      <w:r>
        <w:rPr>
          <w:color w:val="010202"/>
          <w:spacing w:val="-5"/>
          <w:vertAlign w:val="baseline"/>
        </w:rPr>
        <w:t>grants,</w:t>
      </w:r>
      <w:r>
        <w:rPr>
          <w:color w:val="010202"/>
          <w:spacing w:val="-9"/>
          <w:vertAlign w:val="baseline"/>
        </w:rPr>
        <w:t> </w:t>
      </w:r>
      <w:r>
        <w:rPr>
          <w:color w:val="010202"/>
          <w:spacing w:val="-4"/>
          <w:vertAlign w:val="baseline"/>
        </w:rPr>
        <w:t>as</w:t>
      </w:r>
      <w:r>
        <w:rPr>
          <w:color w:val="010202"/>
          <w:spacing w:val="-9"/>
          <w:vertAlign w:val="baseline"/>
        </w:rPr>
        <w:t> </w:t>
      </w:r>
      <w:r>
        <w:rPr>
          <w:color w:val="010202"/>
          <w:spacing w:val="-4"/>
          <w:vertAlign w:val="baseline"/>
        </w:rPr>
        <w:t>well</w:t>
      </w:r>
      <w:r>
        <w:rPr>
          <w:color w:val="010202"/>
          <w:spacing w:val="-9"/>
          <w:vertAlign w:val="baseline"/>
        </w:rPr>
        <w:t> </w:t>
      </w:r>
      <w:r>
        <w:rPr>
          <w:color w:val="010202"/>
          <w:spacing w:val="-4"/>
          <w:vertAlign w:val="baseline"/>
        </w:rPr>
        <w:t>as</w:t>
      </w:r>
      <w:r>
        <w:rPr>
          <w:color w:val="010202"/>
          <w:spacing w:val="-9"/>
          <w:vertAlign w:val="baseline"/>
        </w:rPr>
        <w:t> </w:t>
      </w:r>
      <w:r>
        <w:rPr>
          <w:color w:val="010202"/>
          <w:spacing w:val="-4"/>
          <w:vertAlign w:val="baseline"/>
        </w:rPr>
        <w:t>contributions</w:t>
      </w:r>
      <w:r>
        <w:rPr>
          <w:color w:val="010202"/>
          <w:spacing w:val="-9"/>
          <w:vertAlign w:val="baseline"/>
        </w:rPr>
        <w:t> </w:t>
      </w:r>
      <w:r>
        <w:rPr>
          <w:color w:val="010202"/>
          <w:spacing w:val="-4"/>
          <w:vertAlign w:val="baseline"/>
        </w:rPr>
        <w:t>from</w:t>
      </w:r>
      <w:r>
        <w:rPr>
          <w:color w:val="010202"/>
          <w:spacing w:val="-9"/>
          <w:vertAlign w:val="baseline"/>
        </w:rPr>
        <w:t> </w:t>
      </w:r>
      <w:r>
        <w:rPr>
          <w:color w:val="010202"/>
          <w:spacing w:val="-4"/>
          <w:vertAlign w:val="baseline"/>
        </w:rPr>
        <w:t>or</w:t>
      </w:r>
      <w:r>
        <w:rPr>
          <w:color w:val="010202"/>
          <w:spacing w:val="-9"/>
          <w:vertAlign w:val="baseline"/>
        </w:rPr>
        <w:t> </w:t>
      </w:r>
      <w:r>
        <w:rPr>
          <w:color w:val="010202"/>
          <w:spacing w:val="-4"/>
          <w:vertAlign w:val="baseline"/>
        </w:rPr>
        <w:t>opportunities</w:t>
      </w:r>
      <w:r>
        <w:rPr>
          <w:color w:val="010202"/>
          <w:spacing w:val="-52"/>
          <w:vertAlign w:val="baseline"/>
        </w:rPr>
        <w:t> </w:t>
      </w:r>
      <w:r>
        <w:rPr>
          <w:color w:val="010202"/>
          <w:vertAlign w:val="baseline"/>
        </w:rPr>
        <w:t>to</w:t>
      </w:r>
      <w:r>
        <w:rPr>
          <w:color w:val="010202"/>
          <w:spacing w:val="-13"/>
          <w:vertAlign w:val="baseline"/>
        </w:rPr>
        <w:t> </w:t>
      </w:r>
      <w:r>
        <w:rPr>
          <w:color w:val="010202"/>
          <w:vertAlign w:val="baseline"/>
        </w:rPr>
        <w:t>share</w:t>
      </w:r>
      <w:r>
        <w:rPr>
          <w:color w:val="010202"/>
          <w:spacing w:val="-12"/>
          <w:vertAlign w:val="baseline"/>
        </w:rPr>
        <w:t> </w:t>
      </w:r>
      <w:r>
        <w:rPr>
          <w:color w:val="010202"/>
          <w:vertAlign w:val="baseline"/>
        </w:rPr>
        <w:t>costs</w:t>
      </w:r>
      <w:r>
        <w:rPr>
          <w:color w:val="010202"/>
          <w:spacing w:val="-13"/>
          <w:vertAlign w:val="baseline"/>
        </w:rPr>
        <w:t> </w:t>
      </w:r>
      <w:r>
        <w:rPr>
          <w:color w:val="010202"/>
          <w:vertAlign w:val="baseline"/>
        </w:rPr>
        <w:t>with</w:t>
      </w:r>
      <w:r>
        <w:rPr>
          <w:color w:val="010202"/>
          <w:spacing w:val="-12"/>
          <w:vertAlign w:val="baseline"/>
        </w:rPr>
        <w:t> </w:t>
      </w:r>
      <w:r>
        <w:rPr>
          <w:color w:val="010202"/>
          <w:vertAlign w:val="baseline"/>
        </w:rPr>
        <w:t>community</w:t>
      </w:r>
      <w:r>
        <w:rPr>
          <w:color w:val="010202"/>
          <w:spacing w:val="-12"/>
          <w:vertAlign w:val="baseline"/>
        </w:rPr>
        <w:t> </w:t>
      </w:r>
      <w:r>
        <w:rPr>
          <w:color w:val="010202"/>
          <w:vertAlign w:val="baseline"/>
        </w:rPr>
        <w:t>partners.</w:t>
      </w:r>
    </w:p>
    <w:p>
      <w:pPr>
        <w:pStyle w:val="BodyText"/>
        <w:spacing w:line="266" w:lineRule="auto" w:before="167"/>
        <w:ind w:left="160" w:right="380"/>
      </w:pPr>
      <w:r>
        <w:rPr>
          <w:color w:val="231F20"/>
          <w:spacing w:val="-1"/>
        </w:rPr>
        <w:t>Practitioners</w:t>
      </w:r>
      <w:r>
        <w:rPr>
          <w:color w:val="231F20"/>
          <w:spacing w:val="-13"/>
        </w:rPr>
        <w:t> </w:t>
      </w:r>
      <w:r>
        <w:rPr>
          <w:color w:val="231F20"/>
          <w:spacing w:val="-1"/>
        </w:rPr>
        <w:t>can</w:t>
      </w:r>
      <w:r>
        <w:rPr>
          <w:color w:val="231F20"/>
          <w:spacing w:val="-12"/>
        </w:rPr>
        <w:t> </w:t>
      </w:r>
      <w:r>
        <w:rPr>
          <w:color w:val="231F20"/>
          <w:spacing w:val="-1"/>
        </w:rPr>
        <w:t>implement</w:t>
      </w:r>
      <w:r>
        <w:rPr>
          <w:color w:val="231F20"/>
          <w:spacing w:val="-11"/>
        </w:rPr>
        <w:t> </w:t>
      </w:r>
      <w:r>
        <w:rPr>
          <w:color w:val="231F20"/>
          <w:spacing w:val="-1"/>
        </w:rPr>
        <w:t>CM</w:t>
      </w:r>
      <w:r>
        <w:rPr>
          <w:color w:val="231F20"/>
          <w:spacing w:val="-12"/>
        </w:rPr>
        <w:t> </w:t>
      </w:r>
      <w:r>
        <w:rPr>
          <w:color w:val="231F20"/>
          <w:spacing w:val="-1"/>
        </w:rPr>
        <w:t>along</w:t>
      </w:r>
      <w:r>
        <w:rPr>
          <w:color w:val="231F20"/>
          <w:spacing w:val="-12"/>
        </w:rPr>
        <w:t> </w:t>
      </w:r>
      <w:r>
        <w:rPr>
          <w:color w:val="231F20"/>
          <w:spacing w:val="-1"/>
        </w:rPr>
        <w:t>with</w:t>
      </w:r>
      <w:r>
        <w:rPr>
          <w:color w:val="231F20"/>
          <w:spacing w:val="-12"/>
        </w:rPr>
        <w:t> </w:t>
      </w:r>
      <w:r>
        <w:rPr>
          <w:color w:val="231F20"/>
          <w:spacing w:val="-1"/>
        </w:rPr>
        <w:t>individual</w:t>
      </w:r>
      <w:r>
        <w:rPr>
          <w:color w:val="231F20"/>
          <w:spacing w:val="-52"/>
        </w:rPr>
        <w:t> </w:t>
      </w:r>
      <w:r>
        <w:rPr>
          <w:color w:val="231F20"/>
          <w:spacing w:val="-1"/>
        </w:rPr>
        <w:t>or group </w:t>
      </w:r>
      <w:r>
        <w:rPr>
          <w:color w:val="231F20"/>
        </w:rPr>
        <w:t>counseling or in conjunction with scheduled</w:t>
      </w:r>
      <w:r>
        <w:rPr>
          <w:color w:val="231F20"/>
          <w:spacing w:val="-52"/>
        </w:rPr>
        <w:t> </w:t>
      </w:r>
      <w:r>
        <w:rPr>
          <w:color w:val="231F20"/>
        </w:rPr>
        <w:t>medical visits, including urine drug screens, daily</w:t>
      </w:r>
      <w:r>
        <w:rPr>
          <w:color w:val="231F20"/>
          <w:spacing w:val="1"/>
        </w:rPr>
        <w:t> </w:t>
      </w:r>
      <w:r>
        <w:rPr>
          <w:color w:val="231F20"/>
          <w:spacing w:val="-2"/>
        </w:rPr>
        <w:t>methadone</w:t>
      </w:r>
      <w:r>
        <w:rPr>
          <w:color w:val="231F20"/>
          <w:spacing w:val="-10"/>
        </w:rPr>
        <w:t> </w:t>
      </w:r>
      <w:r>
        <w:rPr>
          <w:color w:val="231F20"/>
          <w:spacing w:val="-2"/>
        </w:rPr>
        <w:t>dosing,</w:t>
      </w:r>
      <w:r>
        <w:rPr>
          <w:color w:val="231F20"/>
          <w:spacing w:val="-10"/>
        </w:rPr>
        <w:t> </w:t>
      </w:r>
      <w:r>
        <w:rPr>
          <w:color w:val="231F20"/>
          <w:spacing w:val="-2"/>
        </w:rPr>
        <w:t>or</w:t>
      </w:r>
      <w:r>
        <w:rPr>
          <w:color w:val="231F20"/>
          <w:spacing w:val="-10"/>
        </w:rPr>
        <w:t> </w:t>
      </w:r>
      <w:r>
        <w:rPr>
          <w:color w:val="231F20"/>
          <w:spacing w:val="-2"/>
        </w:rPr>
        <w:t>HIV-related</w:t>
      </w:r>
      <w:r>
        <w:rPr>
          <w:color w:val="231F20"/>
          <w:spacing w:val="-10"/>
        </w:rPr>
        <w:t> </w:t>
      </w:r>
      <w:r>
        <w:rPr>
          <w:color w:val="231F20"/>
          <w:spacing w:val="-2"/>
        </w:rPr>
        <w:t>appointments.</w:t>
      </w:r>
      <w:r>
        <w:rPr>
          <w:color w:val="231F20"/>
          <w:spacing w:val="-2"/>
          <w:vertAlign w:val="superscript"/>
        </w:rPr>
        <w:t>48-49</w:t>
      </w:r>
    </w:p>
    <w:p>
      <w:pPr>
        <w:pStyle w:val="Heading5"/>
        <w:spacing w:before="164"/>
        <w:rPr>
          <w:i/>
        </w:rPr>
      </w:pPr>
      <w:r>
        <w:rPr>
          <w:i/>
          <w:color w:val="1C384B"/>
        </w:rPr>
        <w:t>Outcomes</w:t>
      </w:r>
      <w:r>
        <w:rPr>
          <w:i/>
          <w:color w:val="1C384B"/>
          <w:spacing w:val="-11"/>
        </w:rPr>
        <w:t> </w:t>
      </w:r>
      <w:r>
        <w:rPr>
          <w:i/>
          <w:color w:val="1C384B"/>
        </w:rPr>
        <w:t>Associated</w:t>
      </w:r>
      <w:r>
        <w:rPr>
          <w:i/>
          <w:color w:val="1C384B"/>
          <w:spacing w:val="-1"/>
        </w:rPr>
        <w:t> </w:t>
      </w:r>
      <w:r>
        <w:rPr>
          <w:i/>
          <w:color w:val="1C384B"/>
        </w:rPr>
        <w:t>with</w:t>
      </w:r>
      <w:r>
        <w:rPr>
          <w:i/>
          <w:color w:val="1C384B"/>
          <w:spacing w:val="-2"/>
        </w:rPr>
        <w:t> </w:t>
      </w:r>
      <w:r>
        <w:rPr>
          <w:i/>
          <w:color w:val="1C384B"/>
        </w:rPr>
        <w:t>CM</w:t>
      </w:r>
    </w:p>
    <w:p>
      <w:pPr>
        <w:pStyle w:val="BodyText"/>
        <w:spacing w:line="266" w:lineRule="auto" w:before="184"/>
        <w:ind w:left="159" w:right="122"/>
      </w:pPr>
      <w:r>
        <w:rPr>
          <w:color w:val="231F20"/>
          <w:spacing w:val="-1"/>
        </w:rPr>
        <w:t>CM</w:t>
      </w:r>
      <w:r>
        <w:rPr>
          <w:color w:val="231F20"/>
          <w:spacing w:val="-13"/>
        </w:rPr>
        <w:t> </w:t>
      </w:r>
      <w:r>
        <w:rPr>
          <w:color w:val="231F20"/>
          <w:spacing w:val="-1"/>
        </w:rPr>
        <w:t>is</w:t>
      </w:r>
      <w:r>
        <w:rPr>
          <w:color w:val="231F20"/>
          <w:spacing w:val="-12"/>
        </w:rPr>
        <w:t> </w:t>
      </w:r>
      <w:r>
        <w:rPr>
          <w:color w:val="231F20"/>
          <w:spacing w:val="-1"/>
        </w:rPr>
        <w:t>an</w:t>
      </w:r>
      <w:r>
        <w:rPr>
          <w:color w:val="231F20"/>
          <w:spacing w:val="-13"/>
        </w:rPr>
        <w:t> </w:t>
      </w:r>
      <w:r>
        <w:rPr>
          <w:color w:val="231F20"/>
          <w:spacing w:val="-1"/>
        </w:rPr>
        <w:t>effective</w:t>
      </w:r>
      <w:r>
        <w:rPr>
          <w:color w:val="231F20"/>
          <w:spacing w:val="-12"/>
        </w:rPr>
        <w:t> </w:t>
      </w:r>
      <w:r>
        <w:rPr>
          <w:color w:val="231F20"/>
          <w:spacing w:val="-1"/>
        </w:rPr>
        <w:t>psychosocial</w:t>
      </w:r>
      <w:r>
        <w:rPr>
          <w:color w:val="231F20"/>
          <w:spacing w:val="-12"/>
        </w:rPr>
        <w:t> </w:t>
      </w:r>
      <w:r>
        <w:rPr>
          <w:color w:val="231F20"/>
          <w:spacing w:val="-1"/>
        </w:rPr>
        <w:t>intervention</w:t>
      </w:r>
      <w:r>
        <w:rPr>
          <w:color w:val="231F20"/>
          <w:spacing w:val="-13"/>
        </w:rPr>
        <w:t> </w:t>
      </w:r>
      <w:r>
        <w:rPr>
          <w:color w:val="231F20"/>
          <w:spacing w:val="-1"/>
        </w:rPr>
        <w:t>for</w:t>
      </w:r>
      <w:r>
        <w:rPr>
          <w:color w:val="231F20"/>
          <w:spacing w:val="-12"/>
        </w:rPr>
        <w:t> </w:t>
      </w:r>
      <w:r>
        <w:rPr>
          <w:color w:val="231F20"/>
        </w:rPr>
        <w:t>reducing</w:t>
      </w:r>
      <w:r>
        <w:rPr>
          <w:color w:val="231F20"/>
          <w:spacing w:val="-52"/>
        </w:rPr>
        <w:t> </w:t>
      </w:r>
      <w:r>
        <w:rPr>
          <w:color w:val="231F20"/>
          <w:spacing w:val="-1"/>
        </w:rPr>
        <w:t>substance use and maintaining substance </w:t>
      </w:r>
      <w:r>
        <w:rPr>
          <w:color w:val="231F20"/>
        </w:rPr>
        <w:t>use abstinence</w:t>
      </w:r>
      <w:r>
        <w:rPr>
          <w:color w:val="231F20"/>
          <w:spacing w:val="1"/>
        </w:rPr>
        <w:t> </w:t>
      </w:r>
      <w:r>
        <w:rPr>
          <w:color w:val="231F20"/>
        </w:rPr>
        <w:t>for periods of up to 1 year.</w:t>
      </w:r>
      <w:r>
        <w:rPr>
          <w:color w:val="231F20"/>
          <w:vertAlign w:val="superscript"/>
        </w:rPr>
        <w:t>50</w:t>
      </w:r>
      <w:r>
        <w:rPr>
          <w:color w:val="231F20"/>
          <w:vertAlign w:val="baseline"/>
        </w:rPr>
        <w:t> In 2006, researchers began</w:t>
      </w:r>
      <w:r>
        <w:rPr>
          <w:color w:val="231F20"/>
          <w:spacing w:val="1"/>
          <w:vertAlign w:val="baseline"/>
        </w:rPr>
        <w:t> </w:t>
      </w:r>
      <w:r>
        <w:rPr>
          <w:color w:val="231F20"/>
          <w:vertAlign w:val="baseline"/>
        </w:rPr>
        <w:t>testing CM principles in the prevention and treatment of</w:t>
      </w:r>
      <w:r>
        <w:rPr>
          <w:color w:val="231F20"/>
          <w:spacing w:val="-52"/>
          <w:vertAlign w:val="baseline"/>
        </w:rPr>
        <w:t> </w:t>
      </w:r>
      <w:r>
        <w:rPr>
          <w:color w:val="231F20"/>
          <w:vertAlign w:val="baseline"/>
        </w:rPr>
        <w:t>HIV.</w:t>
      </w:r>
      <w:r>
        <w:rPr>
          <w:color w:val="231F20"/>
          <w:vertAlign w:val="superscript"/>
        </w:rPr>
        <w:t>51</w:t>
      </w:r>
      <w:r>
        <w:rPr>
          <w:color w:val="231F20"/>
          <w:vertAlign w:val="baseline"/>
        </w:rPr>
        <w:t> Behavior change takes time, and while CM has</w:t>
      </w:r>
      <w:r>
        <w:rPr>
          <w:color w:val="231F20"/>
          <w:spacing w:val="1"/>
          <w:vertAlign w:val="baseline"/>
        </w:rPr>
        <w:t> </w:t>
      </w:r>
      <w:r>
        <w:rPr>
          <w:color w:val="231F20"/>
          <w:vertAlign w:val="baseline"/>
        </w:rPr>
        <w:t>been shown to be effective for periods up to one year, it</w:t>
      </w:r>
      <w:r>
        <w:rPr>
          <w:color w:val="231F20"/>
          <w:spacing w:val="-52"/>
          <w:vertAlign w:val="baseline"/>
        </w:rPr>
        <w:t> </w:t>
      </w:r>
      <w:r>
        <w:rPr>
          <w:color w:val="231F20"/>
          <w:vertAlign w:val="baseline"/>
        </w:rPr>
        <w:t>is</w:t>
      </w:r>
      <w:r>
        <w:rPr>
          <w:color w:val="231F20"/>
          <w:spacing w:val="-12"/>
          <w:vertAlign w:val="baseline"/>
        </w:rPr>
        <w:t> </w:t>
      </w:r>
      <w:r>
        <w:rPr>
          <w:color w:val="231F20"/>
          <w:vertAlign w:val="baseline"/>
        </w:rPr>
        <w:t>important</w:t>
      </w:r>
      <w:r>
        <w:rPr>
          <w:color w:val="231F20"/>
          <w:spacing w:val="-12"/>
          <w:vertAlign w:val="baseline"/>
        </w:rPr>
        <w:t> </w:t>
      </w:r>
      <w:r>
        <w:rPr>
          <w:color w:val="231F20"/>
          <w:vertAlign w:val="baseline"/>
        </w:rPr>
        <w:t>to</w:t>
      </w:r>
      <w:r>
        <w:rPr>
          <w:color w:val="231F20"/>
          <w:spacing w:val="-11"/>
          <w:vertAlign w:val="baseline"/>
        </w:rPr>
        <w:t> </w:t>
      </w:r>
      <w:r>
        <w:rPr>
          <w:color w:val="231F20"/>
          <w:vertAlign w:val="baseline"/>
        </w:rPr>
        <w:t>note</w:t>
      </w:r>
      <w:r>
        <w:rPr>
          <w:color w:val="231F20"/>
          <w:spacing w:val="-12"/>
          <w:vertAlign w:val="baseline"/>
        </w:rPr>
        <w:t> </w:t>
      </w:r>
      <w:r>
        <w:rPr>
          <w:color w:val="231F20"/>
          <w:vertAlign w:val="baseline"/>
        </w:rPr>
        <w:t>that</w:t>
      </w:r>
      <w:r>
        <w:rPr>
          <w:color w:val="231F20"/>
          <w:spacing w:val="-12"/>
          <w:vertAlign w:val="baseline"/>
        </w:rPr>
        <w:t> </w:t>
      </w:r>
      <w:r>
        <w:rPr>
          <w:color w:val="231F20"/>
          <w:vertAlign w:val="baseline"/>
        </w:rPr>
        <w:t>these</w:t>
      </w:r>
      <w:r>
        <w:rPr>
          <w:color w:val="231F20"/>
          <w:spacing w:val="-11"/>
          <w:vertAlign w:val="baseline"/>
        </w:rPr>
        <w:t> </w:t>
      </w:r>
      <w:r>
        <w:rPr>
          <w:color w:val="231F20"/>
          <w:vertAlign w:val="baseline"/>
        </w:rPr>
        <w:t>may</w:t>
      </w:r>
      <w:r>
        <w:rPr>
          <w:color w:val="231F20"/>
          <w:spacing w:val="-12"/>
          <w:vertAlign w:val="baseline"/>
        </w:rPr>
        <w:t> </w:t>
      </w:r>
      <w:r>
        <w:rPr>
          <w:color w:val="231F20"/>
          <w:vertAlign w:val="baseline"/>
        </w:rPr>
        <w:t>be</w:t>
      </w:r>
      <w:r>
        <w:rPr>
          <w:color w:val="231F20"/>
          <w:spacing w:val="-12"/>
          <w:vertAlign w:val="baseline"/>
        </w:rPr>
        <w:t> </w:t>
      </w:r>
      <w:r>
        <w:rPr>
          <w:color w:val="231F20"/>
          <w:vertAlign w:val="baseline"/>
        </w:rPr>
        <w:t>temporary</w:t>
      </w:r>
      <w:r>
        <w:rPr>
          <w:color w:val="231F20"/>
          <w:spacing w:val="-11"/>
          <w:vertAlign w:val="baseline"/>
        </w:rPr>
        <w:t> </w:t>
      </w:r>
      <w:r>
        <w:rPr>
          <w:color w:val="231F20"/>
          <w:vertAlign w:val="baseline"/>
        </w:rPr>
        <w:t>changes</w:t>
      </w:r>
      <w:r>
        <w:rPr>
          <w:color w:val="231F20"/>
          <w:spacing w:val="-52"/>
          <w:vertAlign w:val="baseline"/>
        </w:rPr>
        <w:t> </w:t>
      </w:r>
      <w:r>
        <w:rPr>
          <w:color w:val="231F20"/>
          <w:vertAlign w:val="baseline"/>
        </w:rPr>
        <w:t>for life-long disorders. HIV prevention and treatment</w:t>
      </w:r>
      <w:r>
        <w:rPr>
          <w:color w:val="231F20"/>
          <w:spacing w:val="1"/>
          <w:vertAlign w:val="baseline"/>
        </w:rPr>
        <w:t> </w:t>
      </w:r>
      <w:r>
        <w:rPr>
          <w:color w:val="231F20"/>
          <w:vertAlign w:val="baseline"/>
        </w:rPr>
        <w:t>outcomes</w:t>
      </w:r>
      <w:r>
        <w:rPr>
          <w:color w:val="231F20"/>
          <w:spacing w:val="-7"/>
          <w:vertAlign w:val="baseline"/>
        </w:rPr>
        <w:t> </w:t>
      </w:r>
      <w:r>
        <w:rPr>
          <w:color w:val="231F20"/>
          <w:vertAlign w:val="baseline"/>
        </w:rPr>
        <w:t>attributed</w:t>
      </w:r>
      <w:r>
        <w:rPr>
          <w:color w:val="231F20"/>
          <w:spacing w:val="-7"/>
          <w:vertAlign w:val="baseline"/>
        </w:rPr>
        <w:t> </w:t>
      </w:r>
      <w:r>
        <w:rPr>
          <w:color w:val="231F20"/>
          <w:vertAlign w:val="baseline"/>
        </w:rPr>
        <w:t>to</w:t>
      </w:r>
      <w:r>
        <w:rPr>
          <w:color w:val="231F20"/>
          <w:spacing w:val="-7"/>
          <w:vertAlign w:val="baseline"/>
        </w:rPr>
        <w:t> </w:t>
      </w:r>
      <w:r>
        <w:rPr>
          <w:color w:val="231F20"/>
          <w:vertAlign w:val="baseline"/>
        </w:rPr>
        <w:t>CM</w:t>
      </w:r>
      <w:r>
        <w:rPr>
          <w:color w:val="231F20"/>
          <w:spacing w:val="-6"/>
          <w:vertAlign w:val="baseline"/>
        </w:rPr>
        <w:t> </w:t>
      </w:r>
      <w:r>
        <w:rPr>
          <w:color w:val="231F20"/>
          <w:vertAlign w:val="baseline"/>
        </w:rPr>
        <w:t>are</w:t>
      </w:r>
      <w:r>
        <w:rPr>
          <w:color w:val="231F20"/>
          <w:spacing w:val="-7"/>
          <w:vertAlign w:val="baseline"/>
        </w:rPr>
        <w:t> </w:t>
      </w:r>
      <w:r>
        <w:rPr>
          <w:color w:val="231F20"/>
          <w:vertAlign w:val="baseline"/>
        </w:rPr>
        <w:t>outlined</w:t>
      </w:r>
      <w:r>
        <w:rPr>
          <w:color w:val="231F20"/>
          <w:spacing w:val="-7"/>
          <w:vertAlign w:val="baseline"/>
        </w:rPr>
        <w:t> </w:t>
      </w:r>
      <w:r>
        <w:rPr>
          <w:color w:val="231F20"/>
          <w:vertAlign w:val="baseline"/>
        </w:rPr>
        <w:t>below:</w:t>
      </w:r>
    </w:p>
    <w:p>
      <w:pPr>
        <w:spacing w:line="240" w:lineRule="auto" w:before="0"/>
        <w:rPr>
          <w:sz w:val="26"/>
        </w:rPr>
      </w:pPr>
      <w:r>
        <w:rPr/>
        <w:br w:type="column"/>
      </w:r>
      <w:r>
        <w:rPr>
          <w:sz w:val="26"/>
        </w:rPr>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
        <w:rPr>
          <w:sz w:val="34"/>
        </w:rPr>
      </w:pPr>
    </w:p>
    <w:p>
      <w:pPr>
        <w:pStyle w:val="Heading5"/>
        <w:ind w:left="159"/>
        <w:rPr>
          <w:i/>
        </w:rPr>
      </w:pPr>
      <w:r>
        <w:rPr>
          <w:i/>
          <w:color w:val="1C384B"/>
        </w:rPr>
        <w:t>Typical</w:t>
      </w:r>
      <w:r>
        <w:rPr>
          <w:i/>
          <w:color w:val="1C384B"/>
          <w:spacing w:val="-9"/>
        </w:rPr>
        <w:t> </w:t>
      </w:r>
      <w:r>
        <w:rPr>
          <w:i/>
          <w:color w:val="1C384B"/>
        </w:rPr>
        <w:t>Settings</w:t>
      </w:r>
    </w:p>
    <w:p>
      <w:pPr>
        <w:pStyle w:val="BodyText"/>
        <w:spacing w:line="266" w:lineRule="auto" w:before="184"/>
        <w:ind w:left="159" w:right="1033"/>
      </w:pPr>
      <w:r>
        <w:rPr>
          <w:color w:val="231F20"/>
          <w:spacing w:val="-1"/>
        </w:rPr>
        <w:t>Practitioners</w:t>
      </w:r>
      <w:r>
        <w:rPr>
          <w:color w:val="231F20"/>
          <w:spacing w:val="-13"/>
        </w:rPr>
        <w:t> </w:t>
      </w:r>
      <w:r>
        <w:rPr>
          <w:color w:val="231F20"/>
          <w:spacing w:val="-1"/>
        </w:rPr>
        <w:t>can</w:t>
      </w:r>
      <w:r>
        <w:rPr>
          <w:color w:val="231F20"/>
          <w:spacing w:val="-11"/>
        </w:rPr>
        <w:t> </w:t>
      </w:r>
      <w:r>
        <w:rPr>
          <w:color w:val="231F20"/>
          <w:spacing w:val="-1"/>
        </w:rPr>
        <w:t>use</w:t>
      </w:r>
      <w:r>
        <w:rPr>
          <w:color w:val="231F20"/>
          <w:spacing w:val="-12"/>
        </w:rPr>
        <w:t> </w:t>
      </w:r>
      <w:r>
        <w:rPr>
          <w:color w:val="231F20"/>
          <w:spacing w:val="-1"/>
        </w:rPr>
        <w:t>CM</w:t>
      </w:r>
      <w:r>
        <w:rPr>
          <w:color w:val="231F20"/>
          <w:spacing w:val="-12"/>
        </w:rPr>
        <w:t> </w:t>
      </w:r>
      <w:r>
        <w:rPr>
          <w:color w:val="231F20"/>
          <w:spacing w:val="-1"/>
        </w:rPr>
        <w:t>across</w:t>
      </w:r>
      <w:r>
        <w:rPr>
          <w:color w:val="231F20"/>
          <w:spacing w:val="-11"/>
        </w:rPr>
        <w:t> </w:t>
      </w:r>
      <w:r>
        <w:rPr>
          <w:color w:val="231F20"/>
        </w:rPr>
        <w:t>a</w:t>
      </w:r>
      <w:r>
        <w:rPr>
          <w:color w:val="231F20"/>
          <w:spacing w:val="-12"/>
        </w:rPr>
        <w:t> </w:t>
      </w:r>
      <w:r>
        <w:rPr>
          <w:color w:val="231F20"/>
        </w:rPr>
        <w:t>variety</w:t>
      </w:r>
      <w:r>
        <w:rPr>
          <w:color w:val="231F20"/>
          <w:spacing w:val="-11"/>
        </w:rPr>
        <w:t> </w:t>
      </w:r>
      <w:r>
        <w:rPr>
          <w:color w:val="231F20"/>
        </w:rPr>
        <w:t>of</w:t>
      </w:r>
      <w:r>
        <w:rPr>
          <w:color w:val="231F20"/>
          <w:spacing w:val="-12"/>
        </w:rPr>
        <w:t> </w:t>
      </w:r>
      <w:r>
        <w:rPr>
          <w:color w:val="231F20"/>
        </w:rPr>
        <w:t>outpatient</w:t>
      </w:r>
      <w:r>
        <w:rPr>
          <w:color w:val="231F20"/>
          <w:spacing w:val="-52"/>
        </w:rPr>
        <w:t> </w:t>
      </w:r>
      <w:r>
        <w:rPr>
          <w:color w:val="231F20"/>
          <w:spacing w:val="-1"/>
        </w:rPr>
        <w:t>and</w:t>
      </w:r>
      <w:r>
        <w:rPr>
          <w:color w:val="231F20"/>
          <w:spacing w:val="-12"/>
        </w:rPr>
        <w:t> </w:t>
      </w:r>
      <w:r>
        <w:rPr>
          <w:color w:val="231F20"/>
          <w:spacing w:val="-1"/>
        </w:rPr>
        <w:t>inpatient</w:t>
      </w:r>
      <w:r>
        <w:rPr>
          <w:color w:val="231F20"/>
          <w:spacing w:val="-12"/>
        </w:rPr>
        <w:t> </w:t>
      </w:r>
      <w:r>
        <w:rPr>
          <w:color w:val="231F20"/>
          <w:spacing w:val="-1"/>
        </w:rPr>
        <w:t>settings</w:t>
      </w:r>
      <w:r>
        <w:rPr>
          <w:color w:val="231F20"/>
          <w:spacing w:val="-12"/>
        </w:rPr>
        <w:t> </w:t>
      </w:r>
      <w:r>
        <w:rPr>
          <w:color w:val="231F20"/>
          <w:spacing w:val="-1"/>
        </w:rPr>
        <w:t>and</w:t>
      </w:r>
      <w:r>
        <w:rPr>
          <w:color w:val="231F20"/>
          <w:spacing w:val="-12"/>
        </w:rPr>
        <w:t> </w:t>
      </w:r>
      <w:r>
        <w:rPr>
          <w:color w:val="231F20"/>
          <w:spacing w:val="-1"/>
        </w:rPr>
        <w:t>across</w:t>
      </w:r>
      <w:r>
        <w:rPr>
          <w:color w:val="231F20"/>
          <w:spacing w:val="-11"/>
        </w:rPr>
        <w:t> </w:t>
      </w:r>
      <w:r>
        <w:rPr>
          <w:color w:val="231F20"/>
        </w:rPr>
        <w:t>urban,</w:t>
      </w:r>
      <w:r>
        <w:rPr>
          <w:color w:val="231F20"/>
          <w:spacing w:val="-12"/>
        </w:rPr>
        <w:t> </w:t>
      </w:r>
      <w:r>
        <w:rPr>
          <w:color w:val="231F20"/>
        </w:rPr>
        <w:t>suburban,</w:t>
      </w:r>
      <w:r>
        <w:rPr>
          <w:color w:val="231F20"/>
          <w:spacing w:val="-13"/>
        </w:rPr>
        <w:t> </w:t>
      </w:r>
      <w:r>
        <w:rPr>
          <w:color w:val="231F20"/>
        </w:rPr>
        <w:t>and</w:t>
      </w:r>
      <w:r>
        <w:rPr>
          <w:color w:val="231F20"/>
          <w:spacing w:val="1"/>
        </w:rPr>
        <w:t> </w:t>
      </w:r>
      <w:r>
        <w:rPr>
          <w:color w:val="231F20"/>
        </w:rPr>
        <w:t>rural</w:t>
      </w:r>
      <w:r>
        <w:rPr>
          <w:color w:val="231F20"/>
          <w:spacing w:val="-5"/>
        </w:rPr>
        <w:t> </w:t>
      </w:r>
      <w:r>
        <w:rPr>
          <w:color w:val="231F20"/>
        </w:rPr>
        <w:t>settings,</w:t>
      </w:r>
      <w:r>
        <w:rPr>
          <w:color w:val="231F20"/>
          <w:spacing w:val="-6"/>
        </w:rPr>
        <w:t> </w:t>
      </w:r>
      <w:r>
        <w:rPr>
          <w:color w:val="231F20"/>
        </w:rPr>
        <w:t>including:</w:t>
      </w:r>
    </w:p>
    <w:p>
      <w:pPr>
        <w:pStyle w:val="ListParagraph"/>
        <w:numPr>
          <w:ilvl w:val="0"/>
          <w:numId w:val="4"/>
        </w:numPr>
        <w:tabs>
          <w:tab w:pos="879" w:val="left" w:leader="none"/>
          <w:tab w:pos="880" w:val="left" w:leader="none"/>
        </w:tabs>
        <w:spacing w:line="267" w:lineRule="exact" w:before="146" w:after="0"/>
        <w:ind w:left="879" w:right="0" w:hanging="361"/>
        <w:jc w:val="left"/>
        <w:rPr>
          <w:rFonts w:ascii="Symbol" w:hAnsi="Symbol"/>
          <w:color w:val="010202"/>
          <w:sz w:val="22"/>
        </w:rPr>
      </w:pPr>
      <w:r>
        <w:rPr>
          <w:color w:val="010202"/>
          <w:w w:val="95"/>
          <w:sz w:val="22"/>
        </w:rPr>
        <w:t>Outpatient</w:t>
      </w:r>
      <w:r>
        <w:rPr>
          <w:color w:val="010202"/>
          <w:spacing w:val="15"/>
          <w:w w:val="95"/>
          <w:sz w:val="22"/>
        </w:rPr>
        <w:t> </w:t>
      </w:r>
      <w:r>
        <w:rPr>
          <w:color w:val="010202"/>
          <w:w w:val="95"/>
          <w:sz w:val="22"/>
        </w:rPr>
        <w:t>treatment</w:t>
      </w:r>
      <w:r>
        <w:rPr>
          <w:color w:val="010202"/>
          <w:spacing w:val="16"/>
          <w:w w:val="95"/>
          <w:sz w:val="22"/>
        </w:rPr>
        <w:t> </w:t>
      </w:r>
      <w:r>
        <w:rPr>
          <w:color w:val="010202"/>
          <w:w w:val="95"/>
          <w:sz w:val="22"/>
        </w:rPr>
        <w:t>clinics</w:t>
      </w:r>
      <w:r>
        <w:rPr>
          <w:color w:val="010202"/>
          <w:w w:val="95"/>
          <w:sz w:val="22"/>
          <w:vertAlign w:val="superscript"/>
        </w:rPr>
        <w:t>42,</w:t>
      </w:r>
      <w:r>
        <w:rPr>
          <w:color w:val="010202"/>
          <w:spacing w:val="-13"/>
          <w:w w:val="95"/>
          <w:sz w:val="22"/>
          <w:vertAlign w:val="baseline"/>
        </w:rPr>
        <w:t> </w:t>
      </w:r>
      <w:r>
        <w:rPr>
          <w:color w:val="010202"/>
          <w:w w:val="95"/>
          <w:sz w:val="22"/>
          <w:vertAlign w:val="superscript"/>
        </w:rPr>
        <w:t>44,</w:t>
      </w:r>
      <w:r>
        <w:rPr>
          <w:color w:val="010202"/>
          <w:spacing w:val="-12"/>
          <w:w w:val="95"/>
          <w:sz w:val="22"/>
          <w:vertAlign w:val="baseline"/>
        </w:rPr>
        <w:t> </w:t>
      </w:r>
      <w:r>
        <w:rPr>
          <w:color w:val="010202"/>
          <w:w w:val="95"/>
          <w:sz w:val="22"/>
          <w:vertAlign w:val="superscript"/>
        </w:rPr>
        <w:t>48-49,</w:t>
      </w:r>
      <w:r>
        <w:rPr>
          <w:color w:val="010202"/>
          <w:spacing w:val="-12"/>
          <w:w w:val="95"/>
          <w:sz w:val="22"/>
          <w:vertAlign w:val="baseline"/>
        </w:rPr>
        <w:t> </w:t>
      </w:r>
      <w:r>
        <w:rPr>
          <w:color w:val="010202"/>
          <w:w w:val="95"/>
          <w:sz w:val="22"/>
          <w:vertAlign w:val="superscript"/>
        </w:rPr>
        <w:t>52</w:t>
      </w:r>
    </w:p>
    <w:p>
      <w:pPr>
        <w:pStyle w:val="ListParagraph"/>
        <w:numPr>
          <w:ilvl w:val="0"/>
          <w:numId w:val="4"/>
        </w:numPr>
        <w:tabs>
          <w:tab w:pos="879" w:val="left" w:leader="none"/>
          <w:tab w:pos="880" w:val="left" w:leader="none"/>
        </w:tabs>
        <w:spacing w:line="249" w:lineRule="auto" w:before="0" w:after="0"/>
        <w:ind w:left="879" w:right="1449" w:hanging="360"/>
        <w:jc w:val="left"/>
        <w:rPr>
          <w:rFonts w:ascii="Symbol" w:hAnsi="Symbol"/>
          <w:color w:val="010202"/>
          <w:sz w:val="22"/>
        </w:rPr>
      </w:pPr>
      <w:r>
        <w:rPr>
          <w:color w:val="010202"/>
          <w:sz w:val="22"/>
        </w:rPr>
        <w:t>SUD treatment settings (e.g., methadone</w:t>
      </w:r>
      <w:r>
        <w:rPr>
          <w:color w:val="010202"/>
          <w:spacing w:val="-52"/>
          <w:sz w:val="22"/>
        </w:rPr>
        <w:t> </w:t>
      </w:r>
      <w:r>
        <w:rPr>
          <w:color w:val="010202"/>
          <w:sz w:val="22"/>
        </w:rPr>
        <w:t>clinics)</w:t>
      </w:r>
      <w:r>
        <w:rPr>
          <w:color w:val="010202"/>
          <w:sz w:val="22"/>
          <w:vertAlign w:val="superscript"/>
        </w:rPr>
        <w:t>49</w:t>
      </w:r>
    </w:p>
    <w:p>
      <w:pPr>
        <w:pStyle w:val="ListParagraph"/>
        <w:numPr>
          <w:ilvl w:val="0"/>
          <w:numId w:val="4"/>
        </w:numPr>
        <w:tabs>
          <w:tab w:pos="879" w:val="left" w:leader="none"/>
          <w:tab w:pos="880" w:val="left" w:leader="none"/>
        </w:tabs>
        <w:spacing w:line="251" w:lineRule="exact" w:before="0" w:after="0"/>
        <w:ind w:left="879" w:right="0" w:hanging="361"/>
        <w:jc w:val="left"/>
        <w:rPr>
          <w:rFonts w:ascii="Symbol" w:hAnsi="Symbol"/>
          <w:color w:val="010202"/>
          <w:sz w:val="22"/>
        </w:rPr>
      </w:pPr>
      <w:r>
        <w:rPr>
          <w:color w:val="010202"/>
          <w:w w:val="95"/>
          <w:sz w:val="22"/>
        </w:rPr>
        <w:t>Counseling</w:t>
      </w:r>
      <w:r>
        <w:rPr>
          <w:color w:val="010202"/>
          <w:spacing w:val="25"/>
          <w:w w:val="95"/>
          <w:sz w:val="22"/>
        </w:rPr>
        <w:t> </w:t>
      </w:r>
      <w:r>
        <w:rPr>
          <w:color w:val="010202"/>
          <w:w w:val="95"/>
          <w:sz w:val="22"/>
        </w:rPr>
        <w:t>centers</w:t>
      </w:r>
      <w:r>
        <w:rPr>
          <w:color w:val="010202"/>
          <w:w w:val="95"/>
          <w:sz w:val="22"/>
          <w:vertAlign w:val="superscript"/>
        </w:rPr>
        <w:t>42,</w:t>
      </w:r>
      <w:r>
        <w:rPr>
          <w:color w:val="010202"/>
          <w:spacing w:val="-7"/>
          <w:w w:val="95"/>
          <w:sz w:val="22"/>
          <w:vertAlign w:val="baseline"/>
        </w:rPr>
        <w:t> </w:t>
      </w:r>
      <w:r>
        <w:rPr>
          <w:color w:val="010202"/>
          <w:w w:val="95"/>
          <w:sz w:val="22"/>
          <w:vertAlign w:val="superscript"/>
        </w:rPr>
        <w:t>25</w:t>
      </w:r>
    </w:p>
    <w:p>
      <w:pPr>
        <w:pStyle w:val="ListParagraph"/>
        <w:numPr>
          <w:ilvl w:val="0"/>
          <w:numId w:val="4"/>
        </w:numPr>
        <w:tabs>
          <w:tab w:pos="879" w:val="left" w:leader="none"/>
          <w:tab w:pos="880" w:val="left" w:leader="none"/>
        </w:tabs>
        <w:spacing w:line="267" w:lineRule="exact" w:before="0" w:after="0"/>
        <w:ind w:left="879" w:right="0" w:hanging="361"/>
        <w:jc w:val="left"/>
        <w:rPr>
          <w:rFonts w:ascii="Symbol" w:hAnsi="Symbol"/>
          <w:color w:val="010202"/>
          <w:sz w:val="22"/>
        </w:rPr>
      </w:pPr>
      <w:r>
        <w:rPr>
          <w:color w:val="010202"/>
          <w:sz w:val="22"/>
        </w:rPr>
        <w:t>HIV-focused</w:t>
      </w:r>
      <w:r>
        <w:rPr>
          <w:color w:val="010202"/>
          <w:spacing w:val="-12"/>
          <w:sz w:val="22"/>
        </w:rPr>
        <w:t> </w:t>
      </w:r>
      <w:r>
        <w:rPr>
          <w:color w:val="010202"/>
          <w:sz w:val="22"/>
        </w:rPr>
        <w:t>drop-in</w:t>
      </w:r>
      <w:r>
        <w:rPr>
          <w:color w:val="010202"/>
          <w:spacing w:val="-11"/>
          <w:sz w:val="22"/>
        </w:rPr>
        <w:t> </w:t>
      </w:r>
      <w:r>
        <w:rPr>
          <w:color w:val="010202"/>
          <w:sz w:val="22"/>
        </w:rPr>
        <w:t>centers</w:t>
      </w:r>
      <w:r>
        <w:rPr>
          <w:color w:val="010202"/>
          <w:sz w:val="22"/>
          <w:vertAlign w:val="superscript"/>
        </w:rPr>
        <w:t>44</w:t>
      </w:r>
    </w:p>
    <w:p>
      <w:pPr>
        <w:pStyle w:val="Heading5"/>
        <w:spacing w:before="192"/>
        <w:ind w:left="159"/>
        <w:rPr>
          <w:i/>
        </w:rPr>
      </w:pPr>
      <w:r>
        <w:rPr/>
        <w:pict>
          <v:shape style="position:absolute;margin-left:324.719086pt;margin-top:32.855846pt;width:252.5pt;height:223.75pt;mso-position-horizontal-relative:page;mso-position-vertical-relative:paragraph;z-index:15753216" type="#_x0000_t202" id="docshape105" filled="false" stroked="false">
            <v:textbox inset="0,0,0,0">
              <w:txbxContent>
                <w:tbl>
                  <w:tblPr>
                    <w:tblW w:w="0" w:type="auto"/>
                    <w:jc w:val="left"/>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22"/>
                    <w:gridCol w:w="3998"/>
                  </w:tblGrid>
                  <w:tr>
                    <w:trPr>
                      <w:trHeight w:val="2205" w:hRule="atLeast"/>
                    </w:trPr>
                    <w:tc>
                      <w:tcPr>
                        <w:tcW w:w="1022" w:type="dxa"/>
                        <w:shd w:val="clear" w:color="auto" w:fill="CE384B"/>
                      </w:tcPr>
                      <w:p>
                        <w:pPr>
                          <w:pStyle w:val="TableParagraph"/>
                          <w:rPr>
                            <w:i/>
                            <w:sz w:val="20"/>
                          </w:rPr>
                        </w:pPr>
                      </w:p>
                      <w:p>
                        <w:pPr>
                          <w:pStyle w:val="TableParagraph"/>
                          <w:rPr>
                            <w:i/>
                            <w:sz w:val="20"/>
                          </w:rPr>
                        </w:pPr>
                      </w:p>
                      <w:p>
                        <w:pPr>
                          <w:pStyle w:val="TableParagraph"/>
                          <w:spacing w:before="5"/>
                          <w:rPr>
                            <w:i/>
                            <w:sz w:val="21"/>
                          </w:rPr>
                        </w:pPr>
                      </w:p>
                      <w:p>
                        <w:pPr>
                          <w:pStyle w:val="TableParagraph"/>
                          <w:ind w:left="115"/>
                          <w:rPr>
                            <w:sz w:val="20"/>
                          </w:rPr>
                        </w:pPr>
                        <w:r>
                          <w:rPr>
                            <w:sz w:val="20"/>
                          </w:rPr>
                          <w:drawing>
                            <wp:inline distT="0" distB="0" distL="0" distR="0">
                              <wp:extent cx="507111" cy="507111"/>
                              <wp:effectExtent l="0" t="0" r="0" b="0"/>
                              <wp:docPr id="39" name="image18.png"/>
                              <wp:cNvGraphicFramePr>
                                <a:graphicFrameLocks noChangeAspect="1"/>
                              </wp:cNvGraphicFramePr>
                              <a:graphic>
                                <a:graphicData uri="http://schemas.openxmlformats.org/drawingml/2006/picture">
                                  <pic:pic>
                                    <pic:nvPicPr>
                                      <pic:cNvPr id="40" name="image18.png"/>
                                      <pic:cNvPicPr/>
                                    </pic:nvPicPr>
                                    <pic:blipFill>
                                      <a:blip r:embed="rId148" cstate="print"/>
                                      <a:stretch>
                                        <a:fillRect/>
                                      </a:stretch>
                                    </pic:blipFill>
                                    <pic:spPr>
                                      <a:xfrm>
                                        <a:off x="0" y="0"/>
                                        <a:ext cx="507111" cy="507111"/>
                                      </a:xfrm>
                                      <a:prstGeom prst="rect">
                                        <a:avLst/>
                                      </a:prstGeom>
                                    </pic:spPr>
                                  </pic:pic>
                                </a:graphicData>
                              </a:graphic>
                            </wp:inline>
                          </w:drawing>
                        </w:r>
                        <w:r>
                          <w:rPr>
                            <w:sz w:val="20"/>
                          </w:rPr>
                        </w:r>
                      </w:p>
                    </w:tc>
                    <w:tc>
                      <w:tcPr>
                        <w:tcW w:w="3998" w:type="dxa"/>
                        <w:shd w:val="clear" w:color="auto" w:fill="F7E4E6"/>
                      </w:tcPr>
                      <w:p>
                        <w:pPr>
                          <w:pStyle w:val="TableParagraph"/>
                          <w:numPr>
                            <w:ilvl w:val="0"/>
                            <w:numId w:val="9"/>
                          </w:numPr>
                          <w:tabs>
                            <w:tab w:pos="439" w:val="left" w:leader="none"/>
                            <w:tab w:pos="440" w:val="left" w:leader="none"/>
                          </w:tabs>
                          <w:spacing w:line="249" w:lineRule="auto" w:before="14" w:after="0"/>
                          <w:ind w:left="440" w:right="101" w:hanging="361"/>
                          <w:jc w:val="left"/>
                          <w:rPr>
                            <w:sz w:val="20"/>
                          </w:rPr>
                        </w:pPr>
                        <w:r>
                          <w:rPr>
                            <w:color w:val="231F20"/>
                            <w:sz w:val="20"/>
                          </w:rPr>
                          <w:t>CM has been effective in preventing</w:t>
                        </w:r>
                        <w:r>
                          <w:rPr>
                            <w:color w:val="231F20"/>
                            <w:spacing w:val="1"/>
                            <w:sz w:val="20"/>
                          </w:rPr>
                          <w:t> </w:t>
                        </w:r>
                        <w:r>
                          <w:rPr>
                            <w:color w:val="231F20"/>
                            <w:sz w:val="20"/>
                          </w:rPr>
                          <w:t>HIV</w:t>
                        </w:r>
                        <w:r>
                          <w:rPr>
                            <w:color w:val="231F20"/>
                            <w:spacing w:val="-5"/>
                            <w:sz w:val="20"/>
                          </w:rPr>
                          <w:t> </w:t>
                        </w:r>
                        <w:r>
                          <w:rPr>
                            <w:color w:val="231F20"/>
                            <w:sz w:val="20"/>
                          </w:rPr>
                          <w:t>among</w:t>
                        </w:r>
                        <w:r>
                          <w:rPr>
                            <w:color w:val="231F20"/>
                            <w:spacing w:val="-4"/>
                            <w:sz w:val="20"/>
                          </w:rPr>
                          <w:t> </w:t>
                        </w:r>
                        <w:r>
                          <w:rPr>
                            <w:color w:val="231F20"/>
                            <w:sz w:val="20"/>
                          </w:rPr>
                          <w:t>adults</w:t>
                        </w:r>
                        <w:r>
                          <w:rPr>
                            <w:color w:val="231F20"/>
                            <w:spacing w:val="-4"/>
                            <w:sz w:val="20"/>
                          </w:rPr>
                          <w:t> </w:t>
                        </w:r>
                        <w:r>
                          <w:rPr>
                            <w:color w:val="231F20"/>
                            <w:sz w:val="20"/>
                          </w:rPr>
                          <w:t>aged</w:t>
                        </w:r>
                        <w:r>
                          <w:rPr>
                            <w:color w:val="231F20"/>
                            <w:spacing w:val="-4"/>
                            <w:sz w:val="20"/>
                          </w:rPr>
                          <w:t> </w:t>
                        </w:r>
                        <w:r>
                          <w:rPr>
                            <w:color w:val="231F20"/>
                            <w:sz w:val="20"/>
                          </w:rPr>
                          <w:t>18</w:t>
                        </w:r>
                        <w:r>
                          <w:rPr>
                            <w:color w:val="231F20"/>
                            <w:spacing w:val="-4"/>
                            <w:sz w:val="20"/>
                          </w:rPr>
                          <w:t> </w:t>
                        </w:r>
                        <w:r>
                          <w:rPr>
                            <w:color w:val="231F20"/>
                            <w:sz w:val="20"/>
                          </w:rPr>
                          <w:t>to</w:t>
                        </w:r>
                        <w:r>
                          <w:rPr>
                            <w:color w:val="231F20"/>
                            <w:spacing w:val="-3"/>
                            <w:sz w:val="20"/>
                          </w:rPr>
                          <w:t> </w:t>
                        </w:r>
                        <w:r>
                          <w:rPr>
                            <w:color w:val="231F20"/>
                            <w:sz w:val="20"/>
                          </w:rPr>
                          <w:t>65,</w:t>
                        </w:r>
                        <w:r>
                          <w:rPr>
                            <w:color w:val="231F20"/>
                            <w:spacing w:val="-4"/>
                            <w:sz w:val="20"/>
                          </w:rPr>
                          <w:t> </w:t>
                        </w:r>
                        <w:r>
                          <w:rPr>
                            <w:color w:val="231F20"/>
                            <w:sz w:val="20"/>
                          </w:rPr>
                          <w:t>living</w:t>
                        </w:r>
                        <w:r>
                          <w:rPr>
                            <w:color w:val="231F20"/>
                            <w:spacing w:val="-52"/>
                            <w:sz w:val="20"/>
                          </w:rPr>
                          <w:t> </w:t>
                        </w:r>
                        <w:r>
                          <w:rPr>
                            <w:color w:val="231F20"/>
                            <w:sz w:val="20"/>
                          </w:rPr>
                          <w:t>in</w:t>
                        </w:r>
                        <w:r>
                          <w:rPr>
                            <w:color w:val="231F20"/>
                            <w:spacing w:val="-3"/>
                            <w:sz w:val="20"/>
                          </w:rPr>
                          <w:t> </w:t>
                        </w:r>
                        <w:r>
                          <w:rPr>
                            <w:color w:val="231F20"/>
                            <w:sz w:val="20"/>
                          </w:rPr>
                          <w:t>urban</w:t>
                        </w:r>
                        <w:r>
                          <w:rPr>
                            <w:color w:val="231F20"/>
                            <w:spacing w:val="-2"/>
                            <w:sz w:val="20"/>
                          </w:rPr>
                          <w:t> </w:t>
                        </w:r>
                        <w:r>
                          <w:rPr>
                            <w:color w:val="231F20"/>
                            <w:sz w:val="20"/>
                          </w:rPr>
                          <w:t>and</w:t>
                        </w:r>
                        <w:r>
                          <w:rPr>
                            <w:color w:val="231F20"/>
                            <w:spacing w:val="-2"/>
                            <w:sz w:val="20"/>
                          </w:rPr>
                          <w:t> </w:t>
                        </w:r>
                        <w:r>
                          <w:rPr>
                            <w:color w:val="231F20"/>
                            <w:sz w:val="20"/>
                          </w:rPr>
                          <w:t>suburban</w:t>
                        </w:r>
                        <w:r>
                          <w:rPr>
                            <w:color w:val="231F20"/>
                            <w:spacing w:val="-1"/>
                            <w:sz w:val="20"/>
                          </w:rPr>
                          <w:t> </w:t>
                        </w:r>
                        <w:r>
                          <w:rPr>
                            <w:color w:val="231F20"/>
                            <w:sz w:val="20"/>
                          </w:rPr>
                          <w:t>areas,</w:t>
                        </w:r>
                        <w:r>
                          <w:rPr>
                            <w:color w:val="231F20"/>
                            <w:spacing w:val="-2"/>
                            <w:sz w:val="20"/>
                          </w:rPr>
                          <w:t> </w:t>
                        </w:r>
                        <w:r>
                          <w:rPr>
                            <w:color w:val="231F20"/>
                            <w:sz w:val="20"/>
                          </w:rPr>
                          <w:t>who</w:t>
                        </w:r>
                      </w:p>
                      <w:p>
                        <w:pPr>
                          <w:pStyle w:val="TableParagraph"/>
                          <w:spacing w:line="254" w:lineRule="auto" w:before="1"/>
                          <w:ind w:left="440" w:right="212"/>
                          <w:rPr>
                            <w:sz w:val="11"/>
                          </w:rPr>
                        </w:pPr>
                        <w:r>
                          <w:rPr>
                            <w:color w:val="231F20"/>
                            <w:sz w:val="20"/>
                          </w:rPr>
                          <w:t>use cocaine and opioids and who are</w:t>
                        </w:r>
                        <w:r>
                          <w:rPr>
                            <w:color w:val="231F20"/>
                            <w:spacing w:val="-53"/>
                            <w:sz w:val="20"/>
                          </w:rPr>
                          <w:t> </w:t>
                        </w:r>
                        <w:r>
                          <w:rPr>
                            <w:color w:val="231F20"/>
                            <w:sz w:val="20"/>
                          </w:rPr>
                          <w:t>taking methadone. It has also been</w:t>
                        </w:r>
                        <w:r>
                          <w:rPr>
                            <w:color w:val="231F20"/>
                            <w:spacing w:val="1"/>
                            <w:sz w:val="20"/>
                          </w:rPr>
                          <w:t> </w:t>
                        </w:r>
                        <w:r>
                          <w:rPr>
                            <w:color w:val="231F20"/>
                            <w:sz w:val="20"/>
                          </w:rPr>
                          <w:t>effective</w:t>
                        </w:r>
                        <w:r>
                          <w:rPr>
                            <w:color w:val="231F20"/>
                            <w:spacing w:val="6"/>
                            <w:sz w:val="20"/>
                          </w:rPr>
                          <w:t> </w:t>
                        </w:r>
                        <w:r>
                          <w:rPr>
                            <w:color w:val="231F20"/>
                            <w:sz w:val="20"/>
                          </w:rPr>
                          <w:t>among</w:t>
                        </w:r>
                        <w:r>
                          <w:rPr>
                            <w:color w:val="231F20"/>
                            <w:spacing w:val="6"/>
                            <w:sz w:val="20"/>
                          </w:rPr>
                          <w:t> </w:t>
                        </w:r>
                        <w:r>
                          <w:rPr>
                            <w:color w:val="231F20"/>
                            <w:sz w:val="20"/>
                          </w:rPr>
                          <w:t>adults</w:t>
                        </w:r>
                        <w:r>
                          <w:rPr>
                            <w:color w:val="231F20"/>
                            <w:spacing w:val="6"/>
                            <w:sz w:val="20"/>
                          </w:rPr>
                          <w:t> </w:t>
                        </w:r>
                        <w:r>
                          <w:rPr>
                            <w:color w:val="231F20"/>
                            <w:sz w:val="20"/>
                          </w:rPr>
                          <w:t>who</w:t>
                        </w:r>
                        <w:r>
                          <w:rPr>
                            <w:color w:val="231F20"/>
                            <w:spacing w:val="5"/>
                            <w:sz w:val="20"/>
                          </w:rPr>
                          <w:t> </w:t>
                        </w:r>
                        <w:r>
                          <w:rPr>
                            <w:color w:val="231F20"/>
                            <w:sz w:val="20"/>
                          </w:rPr>
                          <w:t>engage</w:t>
                        </w:r>
                        <w:r>
                          <w:rPr>
                            <w:color w:val="231F20"/>
                            <w:spacing w:val="1"/>
                            <w:sz w:val="20"/>
                          </w:rPr>
                          <w:t> </w:t>
                        </w:r>
                        <w:r>
                          <w:rPr>
                            <w:color w:val="231F20"/>
                            <w:sz w:val="20"/>
                          </w:rPr>
                          <w:t>in</w:t>
                        </w:r>
                        <w:r>
                          <w:rPr>
                            <w:color w:val="231F20"/>
                            <w:spacing w:val="-4"/>
                            <w:sz w:val="20"/>
                          </w:rPr>
                          <w:t> </w:t>
                        </w:r>
                        <w:r>
                          <w:rPr>
                            <w:color w:val="231F20"/>
                            <w:sz w:val="20"/>
                          </w:rPr>
                          <w:t>sexual</w:t>
                        </w:r>
                        <w:r>
                          <w:rPr>
                            <w:color w:val="231F20"/>
                            <w:spacing w:val="-3"/>
                            <w:sz w:val="20"/>
                          </w:rPr>
                          <w:t> </w:t>
                        </w:r>
                        <w:r>
                          <w:rPr>
                            <w:color w:val="231F20"/>
                            <w:sz w:val="20"/>
                          </w:rPr>
                          <w:t>and</w:t>
                        </w:r>
                        <w:r>
                          <w:rPr>
                            <w:color w:val="231F20"/>
                            <w:spacing w:val="-3"/>
                            <w:sz w:val="20"/>
                          </w:rPr>
                          <w:t> </w:t>
                        </w:r>
                        <w:r>
                          <w:rPr>
                            <w:color w:val="231F20"/>
                            <w:sz w:val="20"/>
                          </w:rPr>
                          <w:t>drug</w:t>
                        </w:r>
                        <w:r>
                          <w:rPr>
                            <w:color w:val="231F20"/>
                            <w:spacing w:val="-3"/>
                            <w:sz w:val="20"/>
                          </w:rPr>
                          <w:t> </w:t>
                        </w:r>
                        <w:r>
                          <w:rPr>
                            <w:color w:val="231F20"/>
                            <w:sz w:val="20"/>
                          </w:rPr>
                          <w:t>use</w:t>
                        </w:r>
                        <w:r>
                          <w:rPr>
                            <w:color w:val="231F20"/>
                            <w:spacing w:val="-4"/>
                            <w:sz w:val="20"/>
                          </w:rPr>
                          <w:t> </w:t>
                        </w:r>
                        <w:r>
                          <w:rPr>
                            <w:color w:val="231F20"/>
                            <w:sz w:val="20"/>
                          </w:rPr>
                          <w:t>behaviors</w:t>
                        </w:r>
                        <w:r>
                          <w:rPr>
                            <w:color w:val="231F20"/>
                            <w:spacing w:val="-3"/>
                            <w:sz w:val="20"/>
                          </w:rPr>
                          <w:t> </w:t>
                        </w:r>
                        <w:r>
                          <w:rPr>
                            <w:color w:val="231F20"/>
                            <w:sz w:val="20"/>
                          </w:rPr>
                          <w:t>that</w:t>
                        </w:r>
                        <w:r>
                          <w:rPr>
                            <w:color w:val="231F20"/>
                            <w:spacing w:val="-53"/>
                            <w:sz w:val="20"/>
                          </w:rPr>
                          <w:t> </w:t>
                        </w:r>
                        <w:r>
                          <w:rPr>
                            <w:color w:val="231F20"/>
                            <w:sz w:val="20"/>
                          </w:rPr>
                          <w:t>increase likelihood of getting HIV.</w:t>
                        </w:r>
                        <w:r>
                          <w:rPr>
                            <w:color w:val="231F20"/>
                            <w:position w:val="7"/>
                            <w:sz w:val="11"/>
                          </w:rPr>
                          <w:t>42, 44,</w:t>
                        </w:r>
                        <w:r>
                          <w:rPr>
                            <w:color w:val="231F20"/>
                            <w:spacing w:val="-28"/>
                            <w:position w:val="7"/>
                            <w:sz w:val="11"/>
                          </w:rPr>
                          <w:t> </w:t>
                        </w:r>
                        <w:r>
                          <w:rPr>
                            <w:color w:val="231F20"/>
                            <w:sz w:val="11"/>
                          </w:rPr>
                          <w:t>48-49</w:t>
                        </w:r>
                      </w:p>
                    </w:tc>
                  </w:tr>
                  <w:tr>
                    <w:trPr>
                      <w:trHeight w:val="2200" w:hRule="atLeast"/>
                    </w:trPr>
                    <w:tc>
                      <w:tcPr>
                        <w:tcW w:w="1022" w:type="dxa"/>
                        <w:tcBorders>
                          <w:bottom w:val="single" w:sz="12" w:space="0" w:color="231F20"/>
                        </w:tcBorders>
                        <w:shd w:val="clear" w:color="auto" w:fill="CE384B"/>
                      </w:tcPr>
                      <w:p>
                        <w:pPr>
                          <w:pStyle w:val="TableParagraph"/>
                          <w:spacing w:before="1"/>
                          <w:rPr>
                            <w:i/>
                            <w:sz w:val="6"/>
                          </w:rPr>
                        </w:pPr>
                      </w:p>
                      <w:p>
                        <w:pPr>
                          <w:pStyle w:val="TableParagraph"/>
                          <w:ind w:left="117"/>
                          <w:rPr>
                            <w:sz w:val="20"/>
                          </w:rPr>
                        </w:pPr>
                        <w:r>
                          <w:rPr>
                            <w:sz w:val="20"/>
                          </w:rPr>
                          <w:drawing>
                            <wp:inline distT="0" distB="0" distL="0" distR="0">
                              <wp:extent cx="502920" cy="502919"/>
                              <wp:effectExtent l="0" t="0" r="0" b="0"/>
                              <wp:docPr id="41" name="image20.png"/>
                              <wp:cNvGraphicFramePr>
                                <a:graphicFrameLocks noChangeAspect="1"/>
                              </wp:cNvGraphicFramePr>
                              <a:graphic>
                                <a:graphicData uri="http://schemas.openxmlformats.org/drawingml/2006/picture">
                                  <pic:pic>
                                    <pic:nvPicPr>
                                      <pic:cNvPr id="42" name="image20.png"/>
                                      <pic:cNvPicPr/>
                                    </pic:nvPicPr>
                                    <pic:blipFill>
                                      <a:blip r:embed="rId150" cstate="print"/>
                                      <a:stretch>
                                        <a:fillRect/>
                                      </a:stretch>
                                    </pic:blipFill>
                                    <pic:spPr>
                                      <a:xfrm>
                                        <a:off x="0" y="0"/>
                                        <a:ext cx="502920" cy="502919"/>
                                      </a:xfrm>
                                      <a:prstGeom prst="rect">
                                        <a:avLst/>
                                      </a:prstGeom>
                                    </pic:spPr>
                                  </pic:pic>
                                </a:graphicData>
                              </a:graphic>
                            </wp:inline>
                          </w:drawing>
                        </w:r>
                        <w:r>
                          <w:rPr>
                            <w:sz w:val="20"/>
                          </w:rPr>
                        </w:r>
                      </w:p>
                    </w:tc>
                    <w:tc>
                      <w:tcPr>
                        <w:tcW w:w="3998" w:type="dxa"/>
                        <w:tcBorders>
                          <w:bottom w:val="single" w:sz="12" w:space="0" w:color="231F20"/>
                        </w:tcBorders>
                        <w:shd w:val="clear" w:color="auto" w:fill="F7E4E6"/>
                      </w:tcPr>
                      <w:p>
                        <w:pPr>
                          <w:pStyle w:val="TableParagraph"/>
                          <w:numPr>
                            <w:ilvl w:val="0"/>
                            <w:numId w:val="10"/>
                          </w:numPr>
                          <w:tabs>
                            <w:tab w:pos="439" w:val="left" w:leader="none"/>
                            <w:tab w:pos="440" w:val="left" w:leader="none"/>
                          </w:tabs>
                          <w:spacing w:line="247" w:lineRule="auto" w:before="14" w:after="0"/>
                          <w:ind w:left="439" w:right="361" w:hanging="360"/>
                          <w:jc w:val="left"/>
                          <w:rPr>
                            <w:sz w:val="20"/>
                          </w:rPr>
                        </w:pPr>
                        <w:r>
                          <w:rPr>
                            <w:color w:val="231F20"/>
                            <w:sz w:val="20"/>
                          </w:rPr>
                          <w:t>CM</w:t>
                        </w:r>
                        <w:r>
                          <w:rPr>
                            <w:color w:val="231F20"/>
                            <w:spacing w:val="-6"/>
                            <w:sz w:val="20"/>
                          </w:rPr>
                          <w:t> </w:t>
                        </w:r>
                        <w:r>
                          <w:rPr>
                            <w:color w:val="231F20"/>
                            <w:sz w:val="20"/>
                          </w:rPr>
                          <w:t>is</w:t>
                        </w:r>
                        <w:r>
                          <w:rPr>
                            <w:color w:val="231F20"/>
                            <w:spacing w:val="-5"/>
                            <w:sz w:val="20"/>
                          </w:rPr>
                          <w:t> </w:t>
                        </w:r>
                        <w:r>
                          <w:rPr>
                            <w:color w:val="231F20"/>
                            <w:sz w:val="20"/>
                          </w:rPr>
                          <w:t>effective</w:t>
                        </w:r>
                        <w:r>
                          <w:rPr>
                            <w:color w:val="231F20"/>
                            <w:spacing w:val="-5"/>
                            <w:sz w:val="20"/>
                          </w:rPr>
                          <w:t> </w:t>
                        </w:r>
                        <w:r>
                          <w:rPr>
                            <w:color w:val="231F20"/>
                            <w:sz w:val="20"/>
                          </w:rPr>
                          <w:t>in</w:t>
                        </w:r>
                        <w:r>
                          <w:rPr>
                            <w:color w:val="231F20"/>
                            <w:spacing w:val="-5"/>
                            <w:sz w:val="20"/>
                          </w:rPr>
                          <w:t> </w:t>
                        </w:r>
                        <w:r>
                          <w:rPr>
                            <w:color w:val="231F20"/>
                            <w:sz w:val="20"/>
                          </w:rPr>
                          <w:t>increasing</w:t>
                        </w:r>
                        <w:r>
                          <w:rPr>
                            <w:color w:val="231F20"/>
                            <w:spacing w:val="-5"/>
                            <w:sz w:val="20"/>
                          </w:rPr>
                          <w:t> </w:t>
                        </w:r>
                        <w:r>
                          <w:rPr>
                            <w:color w:val="231F20"/>
                            <w:sz w:val="20"/>
                          </w:rPr>
                          <w:t>linkage</w:t>
                        </w:r>
                        <w:r>
                          <w:rPr>
                            <w:color w:val="231F20"/>
                            <w:spacing w:val="-53"/>
                            <w:sz w:val="20"/>
                          </w:rPr>
                          <w:t> </w:t>
                        </w:r>
                        <w:r>
                          <w:rPr>
                            <w:color w:val="231F20"/>
                            <w:sz w:val="20"/>
                          </w:rPr>
                          <w:t>to</w:t>
                        </w:r>
                        <w:r>
                          <w:rPr>
                            <w:color w:val="231F20"/>
                            <w:spacing w:val="-2"/>
                            <w:sz w:val="20"/>
                          </w:rPr>
                          <w:t> </w:t>
                        </w:r>
                        <w:r>
                          <w:rPr>
                            <w:color w:val="231F20"/>
                            <w:sz w:val="20"/>
                          </w:rPr>
                          <w:t>and</w:t>
                        </w:r>
                        <w:r>
                          <w:rPr>
                            <w:color w:val="231F20"/>
                            <w:spacing w:val="-2"/>
                            <w:sz w:val="20"/>
                          </w:rPr>
                          <w:t> </w:t>
                        </w:r>
                        <w:r>
                          <w:rPr>
                            <w:color w:val="231F20"/>
                            <w:sz w:val="20"/>
                          </w:rPr>
                          <w:t>retention</w:t>
                        </w:r>
                        <w:r>
                          <w:rPr>
                            <w:color w:val="231F20"/>
                            <w:spacing w:val="-1"/>
                            <w:sz w:val="20"/>
                          </w:rPr>
                          <w:t> </w:t>
                        </w:r>
                        <w:r>
                          <w:rPr>
                            <w:color w:val="231F20"/>
                            <w:sz w:val="20"/>
                          </w:rPr>
                          <w:t>in</w:t>
                        </w:r>
                        <w:r>
                          <w:rPr>
                            <w:color w:val="231F20"/>
                            <w:spacing w:val="-3"/>
                            <w:sz w:val="20"/>
                          </w:rPr>
                          <w:t> </w:t>
                        </w:r>
                        <w:r>
                          <w:rPr>
                            <w:color w:val="231F20"/>
                            <w:sz w:val="20"/>
                          </w:rPr>
                          <w:t>HIV</w:t>
                        </w:r>
                        <w:r>
                          <w:rPr>
                            <w:color w:val="231F20"/>
                            <w:spacing w:val="-2"/>
                            <w:sz w:val="20"/>
                          </w:rPr>
                          <w:t> </w:t>
                        </w:r>
                        <w:r>
                          <w:rPr>
                            <w:color w:val="231F20"/>
                            <w:sz w:val="20"/>
                          </w:rPr>
                          <w:t>care</w:t>
                        </w:r>
                        <w:r>
                          <w:rPr>
                            <w:color w:val="231F20"/>
                            <w:spacing w:val="-1"/>
                            <w:sz w:val="20"/>
                          </w:rPr>
                          <w:t> </w:t>
                        </w:r>
                        <w:r>
                          <w:rPr>
                            <w:color w:val="231F20"/>
                            <w:sz w:val="20"/>
                          </w:rPr>
                          <w:t>among</w:t>
                        </w:r>
                      </w:p>
                      <w:p>
                        <w:pPr>
                          <w:pStyle w:val="TableParagraph"/>
                          <w:spacing w:line="249" w:lineRule="auto" w:before="4"/>
                          <w:ind w:left="439" w:right="92"/>
                          <w:rPr>
                            <w:sz w:val="11"/>
                          </w:rPr>
                        </w:pPr>
                        <w:r>
                          <w:rPr>
                            <w:color w:val="231F20"/>
                            <w:sz w:val="20"/>
                          </w:rPr>
                          <w:t>people with co-occurring HIV and SUD</w:t>
                        </w:r>
                        <w:r>
                          <w:rPr>
                            <w:color w:val="231F20"/>
                            <w:spacing w:val="-53"/>
                            <w:sz w:val="20"/>
                          </w:rPr>
                          <w:t> </w:t>
                        </w:r>
                        <w:r>
                          <w:rPr>
                            <w:color w:val="231F20"/>
                            <w:sz w:val="20"/>
                          </w:rPr>
                          <w:t>including adults aged 18 to 65, living in</w:t>
                        </w:r>
                        <w:r>
                          <w:rPr>
                            <w:color w:val="231F20"/>
                            <w:spacing w:val="-54"/>
                            <w:sz w:val="20"/>
                          </w:rPr>
                          <w:t> </w:t>
                        </w:r>
                        <w:r>
                          <w:rPr>
                            <w:color w:val="231F20"/>
                            <w:sz w:val="20"/>
                          </w:rPr>
                          <w:t>urban</w:t>
                        </w:r>
                        <w:r>
                          <w:rPr>
                            <w:color w:val="231F20"/>
                            <w:spacing w:val="-7"/>
                            <w:sz w:val="20"/>
                          </w:rPr>
                          <w:t> </w:t>
                        </w:r>
                        <w:r>
                          <w:rPr>
                            <w:color w:val="231F20"/>
                            <w:sz w:val="20"/>
                          </w:rPr>
                          <w:t>and</w:t>
                        </w:r>
                        <w:r>
                          <w:rPr>
                            <w:color w:val="231F20"/>
                            <w:spacing w:val="-6"/>
                            <w:sz w:val="20"/>
                          </w:rPr>
                          <w:t> </w:t>
                        </w:r>
                        <w:r>
                          <w:rPr>
                            <w:color w:val="231F20"/>
                            <w:sz w:val="20"/>
                          </w:rPr>
                          <w:t>suburban</w:t>
                        </w:r>
                        <w:r>
                          <w:rPr>
                            <w:color w:val="231F20"/>
                            <w:spacing w:val="-6"/>
                            <w:sz w:val="20"/>
                          </w:rPr>
                          <w:t> </w:t>
                        </w:r>
                        <w:r>
                          <w:rPr>
                            <w:color w:val="231F20"/>
                            <w:sz w:val="20"/>
                          </w:rPr>
                          <w:t>settings,</w:t>
                        </w:r>
                        <w:r>
                          <w:rPr>
                            <w:color w:val="231F20"/>
                            <w:spacing w:val="-6"/>
                            <w:sz w:val="20"/>
                          </w:rPr>
                          <w:t> </w:t>
                        </w:r>
                        <w:r>
                          <w:rPr>
                            <w:color w:val="231F20"/>
                            <w:sz w:val="20"/>
                          </w:rPr>
                          <w:t>with</w:t>
                        </w:r>
                        <w:r>
                          <w:rPr>
                            <w:color w:val="231F20"/>
                            <w:spacing w:val="-6"/>
                            <w:sz w:val="20"/>
                          </w:rPr>
                          <w:t> </w:t>
                        </w:r>
                        <w:r>
                          <w:rPr>
                            <w:color w:val="231F20"/>
                            <w:sz w:val="20"/>
                          </w:rPr>
                          <w:t>HIV,</w:t>
                        </w:r>
                        <w:r>
                          <w:rPr>
                            <w:color w:val="231F20"/>
                            <w:spacing w:val="-53"/>
                            <w:sz w:val="20"/>
                          </w:rPr>
                          <w:t> </w:t>
                        </w:r>
                        <w:r>
                          <w:rPr>
                            <w:color w:val="231F20"/>
                            <w:sz w:val="20"/>
                          </w:rPr>
                          <w:t>and who use cocaine and opioids It</w:t>
                        </w:r>
                        <w:r>
                          <w:rPr>
                            <w:color w:val="231F20"/>
                            <w:spacing w:val="1"/>
                            <w:sz w:val="20"/>
                          </w:rPr>
                          <w:t> </w:t>
                        </w:r>
                        <w:r>
                          <w:rPr>
                            <w:color w:val="231F20"/>
                            <w:sz w:val="20"/>
                          </w:rPr>
                          <w:t>has also shown efficacy among PWID</w:t>
                        </w:r>
                        <w:r>
                          <w:rPr>
                            <w:color w:val="231F20"/>
                            <w:spacing w:val="1"/>
                            <w:sz w:val="20"/>
                          </w:rPr>
                          <w:t> </w:t>
                        </w:r>
                        <w:r>
                          <w:rPr>
                            <w:color w:val="231F20"/>
                            <w:sz w:val="20"/>
                          </w:rPr>
                          <w:t>and</w:t>
                        </w:r>
                        <w:r>
                          <w:rPr>
                            <w:color w:val="231F20"/>
                            <w:spacing w:val="-1"/>
                            <w:sz w:val="20"/>
                          </w:rPr>
                          <w:t> </w:t>
                        </w:r>
                        <w:r>
                          <w:rPr>
                            <w:color w:val="231F20"/>
                            <w:sz w:val="20"/>
                          </w:rPr>
                          <w:t>adults who</w:t>
                        </w:r>
                        <w:r>
                          <w:rPr>
                            <w:color w:val="231F20"/>
                            <w:spacing w:val="-1"/>
                            <w:sz w:val="20"/>
                          </w:rPr>
                          <w:t> </w:t>
                        </w:r>
                        <w:r>
                          <w:rPr>
                            <w:color w:val="231F20"/>
                            <w:sz w:val="20"/>
                          </w:rPr>
                          <w:t>take</w:t>
                        </w:r>
                        <w:r>
                          <w:rPr>
                            <w:color w:val="231F20"/>
                            <w:spacing w:val="1"/>
                            <w:sz w:val="20"/>
                          </w:rPr>
                          <w:t> </w:t>
                        </w:r>
                        <w:r>
                          <w:rPr>
                            <w:color w:val="231F20"/>
                            <w:sz w:val="20"/>
                          </w:rPr>
                          <w:t>methadone.</w:t>
                        </w:r>
                        <w:r>
                          <w:rPr>
                            <w:color w:val="231F20"/>
                            <w:position w:val="7"/>
                            <w:sz w:val="11"/>
                          </w:rPr>
                          <w:t>42,</w:t>
                        </w:r>
                        <w:r>
                          <w:rPr>
                            <w:color w:val="231F20"/>
                            <w:spacing w:val="1"/>
                            <w:position w:val="7"/>
                            <w:sz w:val="11"/>
                          </w:rPr>
                          <w:t> </w:t>
                        </w:r>
                        <w:r>
                          <w:rPr>
                            <w:color w:val="231F20"/>
                            <w:position w:val="7"/>
                            <w:sz w:val="11"/>
                          </w:rPr>
                          <w:t>44,</w:t>
                        </w:r>
                      </w:p>
                      <w:p>
                        <w:pPr>
                          <w:pStyle w:val="TableParagraph"/>
                          <w:spacing w:before="23"/>
                          <w:ind w:left="440"/>
                          <w:rPr>
                            <w:sz w:val="11"/>
                          </w:rPr>
                        </w:pPr>
                        <w:r>
                          <w:rPr>
                            <w:color w:val="231F20"/>
                            <w:w w:val="105"/>
                            <w:sz w:val="11"/>
                          </w:rPr>
                          <w:t>48-49,</w:t>
                        </w:r>
                        <w:r>
                          <w:rPr>
                            <w:color w:val="231F20"/>
                            <w:spacing w:val="-2"/>
                            <w:w w:val="105"/>
                            <w:sz w:val="11"/>
                          </w:rPr>
                          <w:t> </w:t>
                        </w:r>
                        <w:r>
                          <w:rPr>
                            <w:color w:val="231F20"/>
                            <w:w w:val="105"/>
                            <w:sz w:val="11"/>
                          </w:rPr>
                          <w:t>52</w:t>
                        </w:r>
                      </w:p>
                    </w:tc>
                  </w:tr>
                </w:tbl>
                <w:p>
                  <w:pPr>
                    <w:pStyle w:val="BodyText"/>
                  </w:pPr>
                </w:p>
              </w:txbxContent>
            </v:textbox>
            <w10:wrap type="none"/>
          </v:shape>
        </w:pict>
      </w:r>
      <w:r>
        <w:rPr>
          <w:i/>
          <w:color w:val="1C384B"/>
        </w:rPr>
        <w:t>Demographic</w:t>
      </w:r>
      <w:r>
        <w:rPr>
          <w:i/>
          <w:color w:val="1C384B"/>
          <w:spacing w:val="-6"/>
        </w:rPr>
        <w:t> </w:t>
      </w:r>
      <w:r>
        <w:rPr>
          <w:i/>
          <w:color w:val="1C384B"/>
        </w:rPr>
        <w:t>Groups</w:t>
      </w:r>
    </w:p>
    <w:p>
      <w:pPr>
        <w:spacing w:after="0"/>
        <w:sectPr>
          <w:type w:val="continuous"/>
          <w:pgSz w:w="12240" w:h="15840"/>
          <w:pgMar w:header="0" w:footer="666" w:top="1500" w:bottom="0" w:left="560" w:right="0"/>
          <w:cols w:num="2" w:equalWidth="0">
            <w:col w:w="5250" w:space="524"/>
            <w:col w:w="5906"/>
          </w:cols>
        </w:sectPr>
      </w:pPr>
    </w:p>
    <w:p>
      <w:pPr>
        <w:pStyle w:val="BodyText"/>
        <w:rPr>
          <w:rFonts w:ascii="Arial"/>
          <w:i/>
          <w:sz w:val="20"/>
        </w:rPr>
      </w:pPr>
    </w:p>
    <w:p>
      <w:pPr>
        <w:pStyle w:val="BodyText"/>
        <w:spacing w:before="2"/>
        <w:rPr>
          <w:rFonts w:ascii="Arial"/>
          <w:i/>
          <w:sz w:val="27"/>
        </w:rPr>
      </w:pPr>
    </w:p>
    <w:p>
      <w:pPr>
        <w:spacing w:after="0"/>
        <w:rPr>
          <w:rFonts w:ascii="Arial"/>
          <w:sz w:val="27"/>
        </w:rPr>
        <w:sectPr>
          <w:pgSz w:w="12240" w:h="15840"/>
          <w:pgMar w:header="0" w:footer="666" w:top="380" w:bottom="860" w:left="560" w:right="0"/>
        </w:sectPr>
      </w:pPr>
    </w:p>
    <w:p>
      <w:pPr>
        <w:spacing w:before="93"/>
        <w:ind w:left="160" w:right="0" w:firstLine="0"/>
        <w:jc w:val="left"/>
        <w:rPr>
          <w:rFonts w:ascii="Arial"/>
          <w:i/>
          <w:sz w:val="24"/>
        </w:rPr>
      </w:pPr>
      <w:bookmarkStart w:name="Practitioner Types" w:id="57"/>
      <w:bookmarkEnd w:id="57"/>
      <w:r>
        <w:rPr/>
      </w:r>
      <w:bookmarkStart w:name="Intensity and Duration" w:id="58"/>
      <w:bookmarkEnd w:id="58"/>
      <w:r>
        <w:rPr/>
      </w:r>
      <w:bookmarkStart w:name="Cognitive Behavioral Therapy (CBT)" w:id="59"/>
      <w:bookmarkEnd w:id="59"/>
      <w:r>
        <w:rPr/>
      </w:r>
      <w:bookmarkStart w:name="Goal" w:id="60"/>
      <w:bookmarkEnd w:id="60"/>
      <w:r>
        <w:rPr/>
      </w:r>
      <w:r>
        <w:rPr>
          <w:rFonts w:ascii="Arial"/>
          <w:i/>
          <w:color w:val="1C384B"/>
          <w:spacing w:val="-1"/>
          <w:sz w:val="24"/>
        </w:rPr>
        <w:t>Practitioner</w:t>
      </w:r>
      <w:r>
        <w:rPr>
          <w:rFonts w:ascii="Arial"/>
          <w:i/>
          <w:color w:val="1C384B"/>
          <w:spacing w:val="-6"/>
          <w:sz w:val="24"/>
        </w:rPr>
        <w:t> </w:t>
      </w:r>
      <w:r>
        <w:rPr>
          <w:rFonts w:ascii="Arial"/>
          <w:i/>
          <w:color w:val="1C384B"/>
          <w:sz w:val="24"/>
        </w:rPr>
        <w:t>Types</w:t>
      </w:r>
    </w:p>
    <w:p>
      <w:pPr>
        <w:pStyle w:val="BodyText"/>
        <w:spacing w:line="266" w:lineRule="auto" w:before="204"/>
        <w:ind w:left="160" w:right="431"/>
      </w:pPr>
      <w:r>
        <w:rPr>
          <w:color w:val="231F20"/>
          <w:spacing w:val="-1"/>
        </w:rPr>
        <w:t>CM</w:t>
      </w:r>
      <w:r>
        <w:rPr>
          <w:color w:val="231F20"/>
          <w:spacing w:val="-13"/>
        </w:rPr>
        <w:t> </w:t>
      </w:r>
      <w:r>
        <w:rPr>
          <w:color w:val="231F20"/>
          <w:spacing w:val="-1"/>
        </w:rPr>
        <w:t>can</w:t>
      </w:r>
      <w:r>
        <w:rPr>
          <w:color w:val="231F20"/>
          <w:spacing w:val="-12"/>
        </w:rPr>
        <w:t> </w:t>
      </w:r>
      <w:r>
        <w:rPr>
          <w:color w:val="231F20"/>
          <w:spacing w:val="-1"/>
        </w:rPr>
        <w:t>be</w:t>
      </w:r>
      <w:r>
        <w:rPr>
          <w:color w:val="231F20"/>
          <w:spacing w:val="-12"/>
        </w:rPr>
        <w:t> </w:t>
      </w:r>
      <w:r>
        <w:rPr>
          <w:color w:val="231F20"/>
          <w:spacing w:val="-1"/>
        </w:rPr>
        <w:t>implemented</w:t>
      </w:r>
      <w:r>
        <w:rPr>
          <w:color w:val="231F20"/>
          <w:spacing w:val="-12"/>
        </w:rPr>
        <w:t> </w:t>
      </w:r>
      <w:r>
        <w:rPr>
          <w:color w:val="231F20"/>
        </w:rPr>
        <w:t>by</w:t>
      </w:r>
      <w:r>
        <w:rPr>
          <w:color w:val="231F20"/>
          <w:spacing w:val="-13"/>
        </w:rPr>
        <w:t> </w:t>
      </w:r>
      <w:r>
        <w:rPr>
          <w:color w:val="231F20"/>
        </w:rPr>
        <w:t>a</w:t>
      </w:r>
      <w:r>
        <w:rPr>
          <w:color w:val="231F20"/>
          <w:spacing w:val="-12"/>
        </w:rPr>
        <w:t> </w:t>
      </w:r>
      <w:r>
        <w:rPr>
          <w:color w:val="231F20"/>
        </w:rPr>
        <w:t>variety</w:t>
      </w:r>
      <w:r>
        <w:rPr>
          <w:color w:val="231F20"/>
          <w:spacing w:val="-12"/>
        </w:rPr>
        <w:t> </w:t>
      </w:r>
      <w:r>
        <w:rPr>
          <w:color w:val="231F20"/>
        </w:rPr>
        <w:t>of</w:t>
      </w:r>
      <w:r>
        <w:rPr>
          <w:color w:val="231F20"/>
          <w:spacing w:val="-12"/>
        </w:rPr>
        <w:t> </w:t>
      </w:r>
      <w:r>
        <w:rPr>
          <w:color w:val="231F20"/>
        </w:rPr>
        <w:t>practitioners,</w:t>
      </w:r>
      <w:r>
        <w:rPr>
          <w:color w:val="231F20"/>
          <w:spacing w:val="-52"/>
        </w:rPr>
        <w:t> </w:t>
      </w:r>
      <w:r>
        <w:rPr>
          <w:color w:val="231F20"/>
        </w:rPr>
        <w:t>including:</w:t>
      </w:r>
    </w:p>
    <w:p>
      <w:pPr>
        <w:pStyle w:val="ListParagraph"/>
        <w:numPr>
          <w:ilvl w:val="0"/>
          <w:numId w:val="4"/>
        </w:numPr>
        <w:tabs>
          <w:tab w:pos="879" w:val="left" w:leader="none"/>
          <w:tab w:pos="880" w:val="left" w:leader="none"/>
        </w:tabs>
        <w:spacing w:line="267" w:lineRule="exact" w:before="147" w:after="0"/>
        <w:ind w:left="879" w:right="0" w:hanging="361"/>
        <w:jc w:val="left"/>
        <w:rPr>
          <w:rFonts w:ascii="Symbol" w:hAnsi="Symbol"/>
          <w:color w:val="010202"/>
          <w:sz w:val="22"/>
        </w:rPr>
      </w:pPr>
      <w:r>
        <w:rPr>
          <w:color w:val="010202"/>
          <w:w w:val="95"/>
          <w:sz w:val="22"/>
        </w:rPr>
        <w:t>Counselors</w:t>
      </w:r>
      <w:r>
        <w:rPr>
          <w:color w:val="010202"/>
          <w:w w:val="95"/>
          <w:sz w:val="22"/>
          <w:vertAlign w:val="superscript"/>
        </w:rPr>
        <w:t>42,</w:t>
      </w:r>
      <w:r>
        <w:rPr>
          <w:color w:val="010202"/>
          <w:spacing w:val="-10"/>
          <w:w w:val="95"/>
          <w:sz w:val="22"/>
          <w:vertAlign w:val="baseline"/>
        </w:rPr>
        <w:t> </w:t>
      </w:r>
      <w:r>
        <w:rPr>
          <w:color w:val="010202"/>
          <w:w w:val="95"/>
          <w:sz w:val="22"/>
          <w:vertAlign w:val="superscript"/>
        </w:rPr>
        <w:t>53</w:t>
      </w:r>
    </w:p>
    <w:p>
      <w:pPr>
        <w:pStyle w:val="ListParagraph"/>
        <w:numPr>
          <w:ilvl w:val="0"/>
          <w:numId w:val="4"/>
        </w:numPr>
        <w:tabs>
          <w:tab w:pos="879" w:val="left" w:leader="none"/>
          <w:tab w:pos="880" w:val="left" w:leader="none"/>
        </w:tabs>
        <w:spacing w:line="249" w:lineRule="auto" w:before="0" w:after="0"/>
        <w:ind w:left="879" w:right="444" w:hanging="360"/>
        <w:jc w:val="left"/>
        <w:rPr>
          <w:rFonts w:ascii="Symbol" w:hAnsi="Symbol"/>
          <w:color w:val="010202"/>
          <w:sz w:val="22"/>
        </w:rPr>
      </w:pPr>
      <w:r>
        <w:rPr>
          <w:color w:val="010202"/>
          <w:sz w:val="22"/>
        </w:rPr>
        <w:t>Post-doctoral fellows in psychology (who</w:t>
      </w:r>
      <w:r>
        <w:rPr>
          <w:color w:val="010202"/>
          <w:spacing w:val="1"/>
          <w:sz w:val="22"/>
        </w:rPr>
        <w:t> </w:t>
      </w:r>
      <w:r>
        <w:rPr>
          <w:color w:val="010202"/>
          <w:sz w:val="22"/>
        </w:rPr>
        <w:t>are provided with supervision from licensed</w:t>
      </w:r>
      <w:r>
        <w:rPr>
          <w:color w:val="010202"/>
          <w:spacing w:val="-52"/>
          <w:sz w:val="22"/>
        </w:rPr>
        <w:t> </w:t>
      </w:r>
      <w:r>
        <w:rPr>
          <w:color w:val="010202"/>
          <w:sz w:val="22"/>
        </w:rPr>
        <w:t>psychologists)</w:t>
      </w:r>
      <w:r>
        <w:rPr>
          <w:color w:val="010202"/>
          <w:sz w:val="22"/>
          <w:vertAlign w:val="superscript"/>
        </w:rPr>
        <w:t>44</w:t>
      </w:r>
    </w:p>
    <w:p>
      <w:pPr>
        <w:pStyle w:val="ListParagraph"/>
        <w:numPr>
          <w:ilvl w:val="0"/>
          <w:numId w:val="4"/>
        </w:numPr>
        <w:tabs>
          <w:tab w:pos="879" w:val="left" w:leader="none"/>
          <w:tab w:pos="880" w:val="left" w:leader="none"/>
        </w:tabs>
        <w:spacing w:line="255" w:lineRule="exact" w:before="0" w:after="0"/>
        <w:ind w:left="879" w:right="0" w:hanging="360"/>
        <w:jc w:val="left"/>
        <w:rPr>
          <w:rFonts w:ascii="Symbol" w:hAnsi="Symbol"/>
          <w:color w:val="010202"/>
          <w:sz w:val="22"/>
        </w:rPr>
      </w:pPr>
      <w:r>
        <w:rPr>
          <w:color w:val="010202"/>
          <w:sz w:val="22"/>
        </w:rPr>
        <w:t>Clinic</w:t>
      </w:r>
      <w:r>
        <w:rPr>
          <w:color w:val="010202"/>
          <w:spacing w:val="-2"/>
          <w:sz w:val="22"/>
        </w:rPr>
        <w:t> </w:t>
      </w:r>
      <w:r>
        <w:rPr>
          <w:color w:val="010202"/>
          <w:sz w:val="22"/>
        </w:rPr>
        <w:t>staff</w:t>
      </w:r>
      <w:r>
        <w:rPr>
          <w:color w:val="010202"/>
          <w:spacing w:val="-1"/>
          <w:sz w:val="22"/>
        </w:rPr>
        <w:t> </w:t>
      </w:r>
      <w:r>
        <w:rPr>
          <w:color w:val="010202"/>
          <w:sz w:val="22"/>
        </w:rPr>
        <w:t>with</w:t>
      </w:r>
      <w:r>
        <w:rPr>
          <w:color w:val="010202"/>
          <w:spacing w:val="-3"/>
          <w:sz w:val="22"/>
        </w:rPr>
        <w:t> </w:t>
      </w:r>
      <w:r>
        <w:rPr>
          <w:color w:val="010202"/>
          <w:sz w:val="22"/>
        </w:rPr>
        <w:t>education</w:t>
      </w:r>
      <w:r>
        <w:rPr>
          <w:color w:val="010202"/>
          <w:spacing w:val="-1"/>
          <w:sz w:val="22"/>
        </w:rPr>
        <w:t> </w:t>
      </w:r>
      <w:r>
        <w:rPr>
          <w:color w:val="010202"/>
          <w:sz w:val="22"/>
        </w:rPr>
        <w:t>levels</w:t>
      </w:r>
      <w:r>
        <w:rPr>
          <w:color w:val="010202"/>
          <w:spacing w:val="-2"/>
          <w:sz w:val="22"/>
        </w:rPr>
        <w:t> </w:t>
      </w:r>
      <w:r>
        <w:rPr>
          <w:color w:val="010202"/>
          <w:sz w:val="22"/>
        </w:rPr>
        <w:t>ranging</w:t>
      </w:r>
      <w:r>
        <w:rPr>
          <w:color w:val="010202"/>
          <w:spacing w:val="-1"/>
          <w:sz w:val="22"/>
        </w:rPr>
        <w:t> </w:t>
      </w:r>
      <w:r>
        <w:rPr>
          <w:color w:val="010202"/>
          <w:sz w:val="22"/>
        </w:rPr>
        <w:t>from</w:t>
      </w:r>
    </w:p>
    <w:p>
      <w:pPr>
        <w:pStyle w:val="BodyText"/>
        <w:spacing w:line="247" w:lineRule="auto" w:before="7"/>
        <w:ind w:left="879" w:right="30"/>
        <w:rPr>
          <w:sz w:val="13"/>
        </w:rPr>
      </w:pPr>
      <w:r>
        <w:rPr>
          <w:color w:val="010202"/>
        </w:rPr>
        <w:t>no</w:t>
      </w:r>
      <w:r>
        <w:rPr>
          <w:color w:val="010202"/>
          <w:spacing w:val="-3"/>
        </w:rPr>
        <w:t> </w:t>
      </w:r>
      <w:r>
        <w:rPr>
          <w:color w:val="010202"/>
        </w:rPr>
        <w:t>bachelor’s</w:t>
      </w:r>
      <w:r>
        <w:rPr>
          <w:color w:val="010202"/>
          <w:spacing w:val="-3"/>
        </w:rPr>
        <w:t> </w:t>
      </w:r>
      <w:r>
        <w:rPr>
          <w:color w:val="010202"/>
        </w:rPr>
        <w:t>degree</w:t>
      </w:r>
      <w:r>
        <w:rPr>
          <w:color w:val="010202"/>
          <w:spacing w:val="-2"/>
        </w:rPr>
        <w:t> </w:t>
      </w:r>
      <w:r>
        <w:rPr>
          <w:color w:val="010202"/>
        </w:rPr>
        <w:t>to</w:t>
      </w:r>
      <w:r>
        <w:rPr>
          <w:color w:val="010202"/>
          <w:spacing w:val="-2"/>
        </w:rPr>
        <w:t> </w:t>
      </w:r>
      <w:r>
        <w:rPr>
          <w:color w:val="010202"/>
        </w:rPr>
        <w:t>master’s</w:t>
      </w:r>
      <w:r>
        <w:rPr>
          <w:color w:val="010202"/>
          <w:spacing w:val="-4"/>
        </w:rPr>
        <w:t> </w:t>
      </w:r>
      <w:r>
        <w:rPr>
          <w:color w:val="010202"/>
        </w:rPr>
        <w:t>degree</w:t>
      </w:r>
      <w:r>
        <w:rPr>
          <w:color w:val="010202"/>
          <w:spacing w:val="-2"/>
        </w:rPr>
        <w:t> </w:t>
      </w:r>
      <w:r>
        <w:rPr>
          <w:color w:val="010202"/>
        </w:rPr>
        <w:t>in</w:t>
      </w:r>
      <w:r>
        <w:rPr>
          <w:color w:val="010202"/>
          <w:spacing w:val="-2"/>
        </w:rPr>
        <w:t> </w:t>
      </w:r>
      <w:r>
        <w:rPr>
          <w:color w:val="010202"/>
        </w:rPr>
        <w:t>social</w:t>
      </w:r>
      <w:r>
        <w:rPr>
          <w:color w:val="010202"/>
          <w:spacing w:val="-52"/>
        </w:rPr>
        <w:t> </w:t>
      </w:r>
      <w:r>
        <w:rPr>
          <w:color w:val="010202"/>
          <w:position w:val="-6"/>
        </w:rPr>
        <w:t>work</w:t>
      </w:r>
      <w:r>
        <w:rPr>
          <w:color w:val="010202"/>
          <w:spacing w:val="-1"/>
          <w:position w:val="-6"/>
        </w:rPr>
        <w:t> </w:t>
      </w:r>
      <w:r>
        <w:rPr>
          <w:color w:val="010202"/>
          <w:sz w:val="13"/>
        </w:rPr>
        <w:t>48-49</w:t>
      </w:r>
    </w:p>
    <w:p>
      <w:pPr>
        <w:pStyle w:val="BodyText"/>
        <w:spacing w:line="266" w:lineRule="auto" w:before="203"/>
        <w:ind w:left="160" w:right="171"/>
      </w:pPr>
      <w:r>
        <w:rPr>
          <w:color w:val="231F20"/>
          <w:spacing w:val="-1"/>
        </w:rPr>
        <w:t>Formal</w:t>
      </w:r>
      <w:r>
        <w:rPr>
          <w:color w:val="231F20"/>
          <w:spacing w:val="-13"/>
        </w:rPr>
        <w:t> </w:t>
      </w:r>
      <w:r>
        <w:rPr>
          <w:color w:val="231F20"/>
          <w:spacing w:val="-1"/>
        </w:rPr>
        <w:t>CM-specific</w:t>
      </w:r>
      <w:r>
        <w:rPr>
          <w:color w:val="231F20"/>
          <w:spacing w:val="-11"/>
        </w:rPr>
        <w:t> </w:t>
      </w:r>
      <w:r>
        <w:rPr>
          <w:color w:val="231F20"/>
          <w:spacing w:val="-1"/>
        </w:rPr>
        <w:t>training</w:t>
      </w:r>
      <w:r>
        <w:rPr>
          <w:color w:val="231F20"/>
          <w:spacing w:val="-11"/>
        </w:rPr>
        <w:t> </w:t>
      </w:r>
      <w:r>
        <w:rPr>
          <w:color w:val="231F20"/>
          <w:spacing w:val="-1"/>
        </w:rPr>
        <w:t>is</w:t>
      </w:r>
      <w:r>
        <w:rPr>
          <w:color w:val="231F20"/>
          <w:spacing w:val="-12"/>
        </w:rPr>
        <w:t> </w:t>
      </w:r>
      <w:r>
        <w:rPr>
          <w:color w:val="231F20"/>
          <w:spacing w:val="-1"/>
        </w:rPr>
        <w:t>not</w:t>
      </w:r>
      <w:r>
        <w:rPr>
          <w:color w:val="231F20"/>
          <w:spacing w:val="-11"/>
        </w:rPr>
        <w:t> </w:t>
      </w:r>
      <w:r>
        <w:rPr>
          <w:color w:val="231F20"/>
          <w:spacing w:val="-1"/>
        </w:rPr>
        <w:t>required,</w:t>
      </w:r>
      <w:r>
        <w:rPr>
          <w:color w:val="231F20"/>
          <w:spacing w:val="-11"/>
        </w:rPr>
        <w:t> </w:t>
      </w:r>
      <w:r>
        <w:rPr>
          <w:color w:val="231F20"/>
          <w:spacing w:val="-1"/>
        </w:rPr>
        <w:t>but</w:t>
      </w:r>
      <w:r>
        <w:rPr>
          <w:color w:val="231F20"/>
          <w:spacing w:val="-12"/>
        </w:rPr>
        <w:t> </w:t>
      </w:r>
      <w:r>
        <w:rPr>
          <w:color w:val="231F20"/>
          <w:spacing w:val="-1"/>
        </w:rPr>
        <w:t>training</w:t>
      </w:r>
      <w:r>
        <w:rPr>
          <w:color w:val="231F20"/>
          <w:spacing w:val="-52"/>
        </w:rPr>
        <w:t> </w:t>
      </w:r>
      <w:r>
        <w:rPr>
          <w:color w:val="231F20"/>
        </w:rPr>
        <w:t>or coursework in behavioral analysis is available to</w:t>
      </w:r>
      <w:r>
        <w:rPr>
          <w:color w:val="231F20"/>
          <w:spacing w:val="1"/>
        </w:rPr>
        <w:t> </w:t>
      </w:r>
      <w:r>
        <w:rPr>
          <w:color w:val="231F20"/>
        </w:rPr>
        <w:t>support</w:t>
      </w:r>
      <w:r>
        <w:rPr>
          <w:color w:val="231F20"/>
          <w:spacing w:val="-8"/>
        </w:rPr>
        <w:t> </w:t>
      </w:r>
      <w:r>
        <w:rPr>
          <w:color w:val="231F20"/>
        </w:rPr>
        <w:t>implementation</w:t>
      </w:r>
      <w:r>
        <w:rPr>
          <w:color w:val="231F20"/>
          <w:spacing w:val="-6"/>
        </w:rPr>
        <w:t> </w:t>
      </w:r>
      <w:r>
        <w:rPr>
          <w:color w:val="231F20"/>
        </w:rPr>
        <w:t>of</w:t>
      </w:r>
      <w:r>
        <w:rPr>
          <w:color w:val="231F20"/>
          <w:spacing w:val="-6"/>
        </w:rPr>
        <w:t> </w:t>
      </w:r>
      <w:r>
        <w:rPr>
          <w:color w:val="231F20"/>
        </w:rPr>
        <w:t>this</w:t>
      </w:r>
      <w:r>
        <w:rPr>
          <w:color w:val="231F20"/>
          <w:spacing w:val="-6"/>
        </w:rPr>
        <w:t> </w:t>
      </w:r>
      <w:r>
        <w:rPr>
          <w:color w:val="231F20"/>
        </w:rPr>
        <w:t>practice.</w:t>
      </w:r>
    </w:p>
    <w:p>
      <w:pPr>
        <w:pStyle w:val="Heading5"/>
        <w:spacing w:before="166"/>
        <w:rPr>
          <w:i/>
        </w:rPr>
      </w:pPr>
      <w:r>
        <w:rPr>
          <w:i/>
          <w:color w:val="1C384B"/>
        </w:rPr>
        <w:t>Intensity</w:t>
      </w:r>
      <w:r>
        <w:rPr>
          <w:i/>
          <w:color w:val="1C384B"/>
          <w:spacing w:val="-4"/>
        </w:rPr>
        <w:t> </w:t>
      </w:r>
      <w:r>
        <w:rPr>
          <w:i/>
          <w:color w:val="1C384B"/>
        </w:rPr>
        <w:t>and</w:t>
      </w:r>
      <w:r>
        <w:rPr>
          <w:i/>
          <w:color w:val="1C384B"/>
          <w:spacing w:val="-4"/>
        </w:rPr>
        <w:t> </w:t>
      </w:r>
      <w:r>
        <w:rPr>
          <w:i/>
          <w:color w:val="1C384B"/>
        </w:rPr>
        <w:t>Duration</w:t>
      </w:r>
    </w:p>
    <w:p>
      <w:pPr>
        <w:pStyle w:val="BodyText"/>
        <w:spacing w:before="184"/>
        <w:ind w:left="160"/>
      </w:pPr>
      <w:r>
        <w:rPr>
          <w:color w:val="231F20"/>
        </w:rPr>
        <w:t>CM</w:t>
      </w:r>
      <w:r>
        <w:rPr>
          <w:color w:val="231F20"/>
          <w:spacing w:val="-1"/>
        </w:rPr>
        <w:t> </w:t>
      </w:r>
      <w:r>
        <w:rPr>
          <w:color w:val="231F20"/>
        </w:rPr>
        <w:t>does</w:t>
      </w:r>
      <w:r>
        <w:rPr>
          <w:color w:val="231F20"/>
          <w:spacing w:val="-1"/>
        </w:rPr>
        <w:t> </w:t>
      </w:r>
      <w:r>
        <w:rPr>
          <w:color w:val="231F20"/>
        </w:rPr>
        <w:t>not</w:t>
      </w:r>
      <w:r>
        <w:rPr>
          <w:color w:val="231F20"/>
          <w:spacing w:val="-1"/>
        </w:rPr>
        <w:t> </w:t>
      </w:r>
      <w:r>
        <w:rPr>
          <w:color w:val="231F20"/>
        </w:rPr>
        <w:t>require</w:t>
      </w:r>
      <w:r>
        <w:rPr>
          <w:color w:val="231F20"/>
          <w:spacing w:val="-1"/>
        </w:rPr>
        <w:t> </w:t>
      </w:r>
      <w:r>
        <w:rPr>
          <w:color w:val="231F20"/>
        </w:rPr>
        <w:t>a</w:t>
      </w:r>
      <w:r>
        <w:rPr>
          <w:color w:val="231F20"/>
          <w:spacing w:val="-1"/>
        </w:rPr>
        <w:t> </w:t>
      </w:r>
      <w:r>
        <w:rPr>
          <w:color w:val="231F20"/>
        </w:rPr>
        <w:t>prescribed</w:t>
      </w:r>
      <w:r>
        <w:rPr>
          <w:color w:val="231F20"/>
          <w:spacing w:val="-1"/>
        </w:rPr>
        <w:t> </w:t>
      </w:r>
      <w:r>
        <w:rPr>
          <w:color w:val="231F20"/>
        </w:rPr>
        <w:t>number of</w:t>
      </w:r>
      <w:r>
        <w:rPr>
          <w:color w:val="231F20"/>
          <w:spacing w:val="-1"/>
        </w:rPr>
        <w:t> </w:t>
      </w:r>
      <w:r>
        <w:rPr>
          <w:color w:val="231F20"/>
        </w:rPr>
        <w:t>sessions</w:t>
      </w:r>
    </w:p>
    <w:p>
      <w:pPr>
        <w:pStyle w:val="BodyText"/>
        <w:spacing w:before="27"/>
        <w:ind w:left="160"/>
      </w:pPr>
      <w:r>
        <w:rPr>
          <w:color w:val="231F20"/>
        </w:rPr>
        <w:t>or</w:t>
      </w:r>
      <w:r>
        <w:rPr>
          <w:color w:val="231F20"/>
          <w:spacing w:val="-4"/>
        </w:rPr>
        <w:t> </w:t>
      </w:r>
      <w:r>
        <w:rPr>
          <w:color w:val="231F20"/>
        </w:rPr>
        <w:t>specified</w:t>
      </w:r>
      <w:r>
        <w:rPr>
          <w:color w:val="231F20"/>
          <w:spacing w:val="-4"/>
        </w:rPr>
        <w:t> </w:t>
      </w:r>
      <w:r>
        <w:rPr>
          <w:color w:val="231F20"/>
        </w:rPr>
        <w:t>length</w:t>
      </w:r>
      <w:r>
        <w:rPr>
          <w:color w:val="231F20"/>
          <w:spacing w:val="-4"/>
        </w:rPr>
        <w:t> </w:t>
      </w:r>
      <w:r>
        <w:rPr>
          <w:color w:val="231F20"/>
        </w:rPr>
        <w:t>of</w:t>
      </w:r>
      <w:r>
        <w:rPr>
          <w:color w:val="231F20"/>
          <w:spacing w:val="-3"/>
        </w:rPr>
        <w:t> </w:t>
      </w:r>
      <w:r>
        <w:rPr>
          <w:color w:val="231F20"/>
        </w:rPr>
        <w:t>individual</w:t>
      </w:r>
      <w:r>
        <w:rPr>
          <w:color w:val="231F20"/>
          <w:spacing w:val="-3"/>
        </w:rPr>
        <w:t> </w:t>
      </w:r>
      <w:r>
        <w:rPr>
          <w:color w:val="231F20"/>
        </w:rPr>
        <w:t>sessions,</w:t>
      </w:r>
      <w:r>
        <w:rPr>
          <w:color w:val="231F20"/>
          <w:spacing w:val="-5"/>
        </w:rPr>
        <w:t> </w:t>
      </w:r>
      <w:r>
        <w:rPr>
          <w:color w:val="231F20"/>
        </w:rPr>
        <w:t>and</w:t>
      </w:r>
      <w:r>
        <w:rPr>
          <w:color w:val="231F20"/>
          <w:spacing w:val="-3"/>
        </w:rPr>
        <w:t> </w:t>
      </w:r>
      <w:r>
        <w:rPr>
          <w:color w:val="231F20"/>
        </w:rPr>
        <w:t>has</w:t>
      </w:r>
    </w:p>
    <w:p>
      <w:pPr>
        <w:pStyle w:val="BodyText"/>
        <w:spacing w:before="91"/>
        <w:ind w:left="160"/>
      </w:pPr>
      <w:r>
        <w:rPr/>
        <w:br w:type="column"/>
      </w:r>
      <w:r>
        <w:rPr>
          <w:color w:val="231F20"/>
        </w:rPr>
        <w:t>demonstrated</w:t>
      </w:r>
      <w:r>
        <w:rPr>
          <w:color w:val="231F20"/>
          <w:spacing w:val="-4"/>
        </w:rPr>
        <w:t> </w:t>
      </w:r>
      <w:r>
        <w:rPr>
          <w:color w:val="231F20"/>
        </w:rPr>
        <w:t>efficacy</w:t>
      </w:r>
      <w:r>
        <w:rPr>
          <w:color w:val="231F20"/>
          <w:spacing w:val="-3"/>
        </w:rPr>
        <w:t> </w:t>
      </w:r>
      <w:r>
        <w:rPr>
          <w:color w:val="231F20"/>
        </w:rPr>
        <w:t>when</w:t>
      </w:r>
      <w:r>
        <w:rPr>
          <w:color w:val="231F20"/>
          <w:spacing w:val="-3"/>
        </w:rPr>
        <w:t> </w:t>
      </w:r>
      <w:r>
        <w:rPr>
          <w:color w:val="231F20"/>
        </w:rPr>
        <w:t>implemented</w:t>
      </w:r>
      <w:r>
        <w:rPr>
          <w:color w:val="231F20"/>
          <w:spacing w:val="-3"/>
        </w:rPr>
        <w:t> </w:t>
      </w:r>
      <w:r>
        <w:rPr>
          <w:color w:val="231F20"/>
        </w:rPr>
        <w:t>in</w:t>
      </w:r>
      <w:r>
        <w:rPr>
          <w:color w:val="231F20"/>
          <w:spacing w:val="-4"/>
        </w:rPr>
        <w:t> </w:t>
      </w:r>
      <w:r>
        <w:rPr>
          <w:color w:val="231F20"/>
        </w:rPr>
        <w:t>the</w:t>
      </w:r>
    </w:p>
    <w:p>
      <w:pPr>
        <w:pStyle w:val="BodyText"/>
        <w:spacing w:before="27"/>
        <w:ind w:left="160"/>
      </w:pPr>
      <w:r>
        <w:rPr>
          <w:color w:val="231F20"/>
        </w:rPr>
        <w:t>following</w:t>
      </w:r>
      <w:r>
        <w:rPr>
          <w:color w:val="231F20"/>
          <w:spacing w:val="-2"/>
        </w:rPr>
        <w:t> </w:t>
      </w:r>
      <w:r>
        <w:rPr>
          <w:color w:val="231F20"/>
        </w:rPr>
        <w:t>settings</w:t>
      </w:r>
      <w:r>
        <w:rPr>
          <w:color w:val="231F20"/>
          <w:spacing w:val="-2"/>
        </w:rPr>
        <w:t> </w:t>
      </w:r>
      <w:r>
        <w:rPr>
          <w:color w:val="231F20"/>
        </w:rPr>
        <w:t>for</w:t>
      </w:r>
      <w:r>
        <w:rPr>
          <w:color w:val="231F20"/>
          <w:spacing w:val="-1"/>
        </w:rPr>
        <w:t> </w:t>
      </w:r>
      <w:r>
        <w:rPr>
          <w:color w:val="231F20"/>
        </w:rPr>
        <w:t>the</w:t>
      </w:r>
      <w:r>
        <w:rPr>
          <w:color w:val="231F20"/>
          <w:spacing w:val="-1"/>
        </w:rPr>
        <w:t> </w:t>
      </w:r>
      <w:r>
        <w:rPr>
          <w:color w:val="231F20"/>
        </w:rPr>
        <w:t>following</w:t>
      </w:r>
      <w:r>
        <w:rPr>
          <w:color w:val="231F20"/>
          <w:spacing w:val="-1"/>
        </w:rPr>
        <w:t> </w:t>
      </w:r>
      <w:r>
        <w:rPr>
          <w:color w:val="231F20"/>
        </w:rPr>
        <w:t>durations:</w:t>
      </w:r>
    </w:p>
    <w:p>
      <w:pPr>
        <w:pStyle w:val="ListParagraph"/>
        <w:numPr>
          <w:ilvl w:val="0"/>
          <w:numId w:val="4"/>
        </w:numPr>
        <w:tabs>
          <w:tab w:pos="879" w:val="left" w:leader="none"/>
          <w:tab w:pos="880" w:val="left" w:leader="none"/>
        </w:tabs>
        <w:spacing w:line="249" w:lineRule="auto" w:before="175" w:after="0"/>
        <w:ind w:left="879" w:right="1402" w:hanging="360"/>
        <w:jc w:val="left"/>
        <w:rPr>
          <w:rFonts w:ascii="Symbol" w:hAnsi="Symbol"/>
          <w:color w:val="010202"/>
          <w:sz w:val="22"/>
        </w:rPr>
      </w:pPr>
      <w:r>
        <w:rPr>
          <w:color w:val="010202"/>
          <w:sz w:val="22"/>
        </w:rPr>
        <w:t>An intensive outpatient setting with daily</w:t>
      </w:r>
      <w:r>
        <w:rPr>
          <w:color w:val="010202"/>
          <w:spacing w:val="-52"/>
          <w:sz w:val="22"/>
        </w:rPr>
        <w:t> </w:t>
      </w:r>
      <w:r>
        <w:rPr>
          <w:color w:val="010202"/>
          <w:sz w:val="22"/>
        </w:rPr>
        <w:t>counseling</w:t>
      </w:r>
      <w:r>
        <w:rPr>
          <w:color w:val="010202"/>
          <w:spacing w:val="-1"/>
          <w:sz w:val="22"/>
        </w:rPr>
        <w:t> </w:t>
      </w:r>
      <w:r>
        <w:rPr>
          <w:color w:val="010202"/>
          <w:sz w:val="22"/>
        </w:rPr>
        <w:t>over</w:t>
      </w:r>
      <w:r>
        <w:rPr>
          <w:color w:val="010202"/>
          <w:spacing w:val="-1"/>
          <w:sz w:val="22"/>
        </w:rPr>
        <w:t> </w:t>
      </w:r>
      <w:r>
        <w:rPr>
          <w:color w:val="010202"/>
          <w:sz w:val="22"/>
        </w:rPr>
        <w:t>6</w:t>
      </w:r>
      <w:r>
        <w:rPr>
          <w:color w:val="010202"/>
          <w:spacing w:val="-1"/>
          <w:sz w:val="22"/>
        </w:rPr>
        <w:t> </w:t>
      </w:r>
      <w:r>
        <w:rPr>
          <w:color w:val="010202"/>
          <w:sz w:val="22"/>
        </w:rPr>
        <w:t>weeks</w:t>
      </w:r>
      <w:r>
        <w:rPr>
          <w:color w:val="010202"/>
          <w:sz w:val="22"/>
          <w:vertAlign w:val="superscript"/>
        </w:rPr>
        <w:t>48</w:t>
      </w:r>
    </w:p>
    <w:p>
      <w:pPr>
        <w:pStyle w:val="ListParagraph"/>
        <w:numPr>
          <w:ilvl w:val="0"/>
          <w:numId w:val="4"/>
        </w:numPr>
        <w:tabs>
          <w:tab w:pos="879" w:val="left" w:leader="none"/>
          <w:tab w:pos="880" w:val="left" w:leader="none"/>
        </w:tabs>
        <w:spacing w:line="254" w:lineRule="exact" w:before="0" w:after="0"/>
        <w:ind w:left="879" w:right="0" w:hanging="360"/>
        <w:jc w:val="left"/>
        <w:rPr>
          <w:rFonts w:ascii="Symbol" w:hAnsi="Symbol"/>
          <w:color w:val="010202"/>
          <w:sz w:val="22"/>
        </w:rPr>
      </w:pPr>
      <w:r>
        <w:rPr>
          <w:color w:val="010202"/>
          <w:sz w:val="22"/>
        </w:rPr>
        <w:t>A</w:t>
      </w:r>
      <w:r>
        <w:rPr>
          <w:color w:val="010202"/>
          <w:spacing w:val="-14"/>
          <w:sz w:val="22"/>
        </w:rPr>
        <w:t> </w:t>
      </w:r>
      <w:r>
        <w:rPr>
          <w:color w:val="010202"/>
          <w:sz w:val="22"/>
        </w:rPr>
        <w:t>methadone clinic</w:t>
      </w:r>
      <w:r>
        <w:rPr>
          <w:color w:val="010202"/>
          <w:spacing w:val="-1"/>
          <w:sz w:val="22"/>
        </w:rPr>
        <w:t> </w:t>
      </w:r>
      <w:r>
        <w:rPr>
          <w:color w:val="010202"/>
          <w:sz w:val="22"/>
        </w:rPr>
        <w:t>with</w:t>
      </w:r>
      <w:r>
        <w:rPr>
          <w:color w:val="010202"/>
          <w:spacing w:val="-1"/>
          <w:sz w:val="22"/>
        </w:rPr>
        <w:t> </w:t>
      </w:r>
      <w:r>
        <w:rPr>
          <w:color w:val="010202"/>
          <w:sz w:val="22"/>
        </w:rPr>
        <w:t>daily</w:t>
      </w:r>
      <w:r>
        <w:rPr>
          <w:color w:val="010202"/>
          <w:spacing w:val="-1"/>
          <w:sz w:val="22"/>
        </w:rPr>
        <w:t> </w:t>
      </w:r>
      <w:r>
        <w:rPr>
          <w:color w:val="010202"/>
          <w:sz w:val="22"/>
        </w:rPr>
        <w:t>methadone dosing</w:t>
      </w:r>
    </w:p>
    <w:p>
      <w:pPr>
        <w:pStyle w:val="BodyText"/>
        <w:spacing w:line="249" w:lineRule="auto" w:before="10"/>
        <w:ind w:left="879" w:right="1116"/>
      </w:pPr>
      <w:r>
        <w:rPr>
          <w:color w:val="010202"/>
        </w:rPr>
        <w:t>and weekly individual and group counseling</w:t>
      </w:r>
      <w:r>
        <w:rPr>
          <w:color w:val="010202"/>
          <w:spacing w:val="-52"/>
        </w:rPr>
        <w:t> </w:t>
      </w:r>
      <w:r>
        <w:rPr>
          <w:color w:val="010202"/>
          <w:w w:val="95"/>
        </w:rPr>
        <w:t>over</w:t>
      </w:r>
      <w:r>
        <w:rPr>
          <w:color w:val="010202"/>
          <w:spacing w:val="3"/>
          <w:w w:val="95"/>
        </w:rPr>
        <w:t> </w:t>
      </w:r>
      <w:r>
        <w:rPr>
          <w:color w:val="010202"/>
          <w:w w:val="95"/>
        </w:rPr>
        <w:t>12</w:t>
      </w:r>
      <w:r>
        <w:rPr>
          <w:color w:val="010202"/>
          <w:spacing w:val="4"/>
          <w:w w:val="95"/>
        </w:rPr>
        <w:t> </w:t>
      </w:r>
      <w:r>
        <w:rPr>
          <w:color w:val="010202"/>
          <w:w w:val="95"/>
        </w:rPr>
        <w:t>weeks</w:t>
      </w:r>
      <w:r>
        <w:rPr>
          <w:color w:val="010202"/>
          <w:w w:val="95"/>
          <w:vertAlign w:val="superscript"/>
        </w:rPr>
        <w:t>42,</w:t>
      </w:r>
      <w:r>
        <w:rPr>
          <w:color w:val="010202"/>
          <w:spacing w:val="-20"/>
          <w:w w:val="95"/>
          <w:vertAlign w:val="baseline"/>
        </w:rPr>
        <w:t> </w:t>
      </w:r>
      <w:r>
        <w:rPr>
          <w:color w:val="010202"/>
          <w:w w:val="95"/>
          <w:vertAlign w:val="superscript"/>
        </w:rPr>
        <w:t>49</w:t>
      </w:r>
    </w:p>
    <w:p>
      <w:pPr>
        <w:pStyle w:val="ListParagraph"/>
        <w:numPr>
          <w:ilvl w:val="0"/>
          <w:numId w:val="4"/>
        </w:numPr>
        <w:tabs>
          <w:tab w:pos="879" w:val="left" w:leader="none"/>
          <w:tab w:pos="880" w:val="left" w:leader="none"/>
        </w:tabs>
        <w:spacing w:line="256" w:lineRule="exact" w:before="0" w:after="0"/>
        <w:ind w:left="879" w:right="0" w:hanging="361"/>
        <w:jc w:val="left"/>
        <w:rPr>
          <w:rFonts w:ascii="Symbol" w:hAnsi="Symbol"/>
          <w:color w:val="010202"/>
          <w:sz w:val="22"/>
        </w:rPr>
      </w:pPr>
      <w:r>
        <w:rPr>
          <w:color w:val="010202"/>
          <w:sz w:val="22"/>
        </w:rPr>
        <w:t>A</w:t>
      </w:r>
      <w:r>
        <w:rPr>
          <w:color w:val="010202"/>
          <w:spacing w:val="-14"/>
          <w:sz w:val="22"/>
        </w:rPr>
        <w:t> </w:t>
      </w:r>
      <w:r>
        <w:rPr>
          <w:color w:val="010202"/>
          <w:sz w:val="22"/>
        </w:rPr>
        <w:t>counseling center</w:t>
      </w:r>
      <w:r>
        <w:rPr>
          <w:color w:val="010202"/>
          <w:spacing w:val="-1"/>
          <w:sz w:val="22"/>
        </w:rPr>
        <w:t> </w:t>
      </w:r>
      <w:r>
        <w:rPr>
          <w:color w:val="010202"/>
          <w:sz w:val="22"/>
        </w:rPr>
        <w:t>with</w:t>
      </w:r>
      <w:r>
        <w:rPr>
          <w:color w:val="010202"/>
          <w:spacing w:val="-1"/>
          <w:sz w:val="22"/>
        </w:rPr>
        <w:t> </w:t>
      </w:r>
      <w:r>
        <w:rPr>
          <w:color w:val="010202"/>
          <w:sz w:val="22"/>
        </w:rPr>
        <w:t>individual</w:t>
      </w:r>
      <w:r>
        <w:rPr>
          <w:color w:val="010202"/>
          <w:spacing w:val="-1"/>
          <w:sz w:val="22"/>
        </w:rPr>
        <w:t> </w:t>
      </w:r>
      <w:r>
        <w:rPr>
          <w:color w:val="010202"/>
          <w:sz w:val="22"/>
        </w:rPr>
        <w:t>counseling</w:t>
      </w:r>
    </w:p>
    <w:p>
      <w:pPr>
        <w:pStyle w:val="BodyText"/>
        <w:spacing w:line="251" w:lineRule="exact" w:before="11"/>
        <w:ind w:left="879"/>
      </w:pPr>
      <w:r>
        <w:rPr>
          <w:color w:val="010202"/>
        </w:rPr>
        <w:t>over</w:t>
      </w:r>
      <w:r>
        <w:rPr>
          <w:color w:val="010202"/>
          <w:spacing w:val="-6"/>
        </w:rPr>
        <w:t> </w:t>
      </w:r>
      <w:r>
        <w:rPr>
          <w:color w:val="010202"/>
        </w:rPr>
        <w:t>16</w:t>
      </w:r>
      <w:r>
        <w:rPr>
          <w:color w:val="010202"/>
          <w:spacing w:val="-5"/>
        </w:rPr>
        <w:t> </w:t>
      </w:r>
      <w:r>
        <w:rPr>
          <w:color w:val="010202"/>
        </w:rPr>
        <w:t>weeks</w:t>
      </w:r>
      <w:r>
        <w:rPr>
          <w:color w:val="010202"/>
          <w:vertAlign w:val="superscript"/>
        </w:rPr>
        <w:t>52</w:t>
      </w:r>
    </w:p>
    <w:p>
      <w:pPr>
        <w:pStyle w:val="ListParagraph"/>
        <w:numPr>
          <w:ilvl w:val="0"/>
          <w:numId w:val="4"/>
        </w:numPr>
        <w:tabs>
          <w:tab w:pos="879" w:val="left" w:leader="none"/>
          <w:tab w:pos="880" w:val="left" w:leader="none"/>
        </w:tabs>
        <w:spacing w:line="249" w:lineRule="auto" w:before="0" w:after="0"/>
        <w:ind w:left="879" w:right="1585" w:hanging="360"/>
        <w:jc w:val="left"/>
        <w:rPr>
          <w:rFonts w:ascii="Symbol" w:hAnsi="Symbol"/>
          <w:color w:val="010202"/>
          <w:sz w:val="22"/>
        </w:rPr>
      </w:pPr>
      <w:r>
        <w:rPr>
          <w:color w:val="010202"/>
          <w:spacing w:val="-1"/>
          <w:sz w:val="22"/>
        </w:rPr>
        <w:t>A counseling </w:t>
      </w:r>
      <w:r>
        <w:rPr>
          <w:color w:val="010202"/>
          <w:sz w:val="22"/>
        </w:rPr>
        <w:t>center with weekly group</w:t>
      </w:r>
      <w:r>
        <w:rPr>
          <w:color w:val="010202"/>
          <w:spacing w:val="-52"/>
          <w:sz w:val="22"/>
        </w:rPr>
        <w:t> </w:t>
      </w:r>
      <w:r>
        <w:rPr>
          <w:color w:val="010202"/>
          <w:sz w:val="22"/>
        </w:rPr>
        <w:t>counseling</w:t>
      </w:r>
      <w:r>
        <w:rPr>
          <w:color w:val="010202"/>
          <w:spacing w:val="-3"/>
          <w:sz w:val="22"/>
        </w:rPr>
        <w:t> </w:t>
      </w:r>
      <w:r>
        <w:rPr>
          <w:color w:val="010202"/>
          <w:sz w:val="22"/>
        </w:rPr>
        <w:t>sessions</w:t>
      </w:r>
      <w:r>
        <w:rPr>
          <w:color w:val="010202"/>
          <w:spacing w:val="-4"/>
          <w:sz w:val="22"/>
        </w:rPr>
        <w:t> </w:t>
      </w:r>
      <w:r>
        <w:rPr>
          <w:color w:val="010202"/>
          <w:sz w:val="22"/>
        </w:rPr>
        <w:t>over</w:t>
      </w:r>
      <w:r>
        <w:rPr>
          <w:color w:val="010202"/>
          <w:spacing w:val="-2"/>
          <w:sz w:val="22"/>
        </w:rPr>
        <w:t> </w:t>
      </w:r>
      <w:r>
        <w:rPr>
          <w:color w:val="010202"/>
          <w:sz w:val="22"/>
        </w:rPr>
        <w:t>24</w:t>
      </w:r>
      <w:r>
        <w:rPr>
          <w:color w:val="010202"/>
          <w:spacing w:val="-3"/>
          <w:sz w:val="22"/>
        </w:rPr>
        <w:t> </w:t>
      </w:r>
      <w:r>
        <w:rPr>
          <w:color w:val="010202"/>
          <w:sz w:val="22"/>
        </w:rPr>
        <w:t>weeks</w:t>
      </w:r>
      <w:r>
        <w:rPr>
          <w:color w:val="010202"/>
          <w:sz w:val="22"/>
          <w:vertAlign w:val="superscript"/>
        </w:rPr>
        <w:t>44</w:t>
      </w:r>
    </w:p>
    <w:p>
      <w:pPr>
        <w:pStyle w:val="BodyText"/>
        <w:spacing w:line="266" w:lineRule="auto" w:before="194"/>
        <w:ind w:left="160" w:right="710"/>
      </w:pPr>
      <w:r>
        <w:rPr>
          <w:color w:val="231F20"/>
        </w:rPr>
        <w:t>CM can also act as a “buy-in” for other behavioral</w:t>
      </w:r>
      <w:r>
        <w:rPr>
          <w:color w:val="231F20"/>
          <w:spacing w:val="1"/>
        </w:rPr>
        <w:t> </w:t>
      </w:r>
      <w:r>
        <w:rPr>
          <w:color w:val="231F20"/>
          <w:spacing w:val="-1"/>
        </w:rPr>
        <w:t>interventions </w:t>
      </w:r>
      <w:r>
        <w:rPr>
          <w:color w:val="231F20"/>
        </w:rPr>
        <w:t>associated with longer-term benefits. For</w:t>
      </w:r>
      <w:r>
        <w:rPr>
          <w:color w:val="231F20"/>
          <w:spacing w:val="1"/>
        </w:rPr>
        <w:t> </w:t>
      </w:r>
      <w:r>
        <w:rPr>
          <w:color w:val="231F20"/>
          <w:spacing w:val="-1"/>
        </w:rPr>
        <w:t>example,</w:t>
      </w:r>
      <w:r>
        <w:rPr>
          <w:color w:val="231F20"/>
          <w:spacing w:val="-13"/>
        </w:rPr>
        <w:t> </w:t>
      </w:r>
      <w:r>
        <w:rPr>
          <w:color w:val="231F20"/>
          <w:spacing w:val="-1"/>
        </w:rPr>
        <w:t>when</w:t>
      </w:r>
      <w:r>
        <w:rPr>
          <w:color w:val="231F20"/>
          <w:spacing w:val="-12"/>
        </w:rPr>
        <w:t> </w:t>
      </w:r>
      <w:r>
        <w:rPr>
          <w:color w:val="231F20"/>
          <w:spacing w:val="-1"/>
        </w:rPr>
        <w:t>combined</w:t>
      </w:r>
      <w:r>
        <w:rPr>
          <w:color w:val="231F20"/>
          <w:spacing w:val="-12"/>
        </w:rPr>
        <w:t> </w:t>
      </w:r>
      <w:r>
        <w:rPr>
          <w:color w:val="231F20"/>
          <w:spacing w:val="-1"/>
        </w:rPr>
        <w:t>with</w:t>
      </w:r>
      <w:r>
        <w:rPr>
          <w:color w:val="231F20"/>
          <w:spacing w:val="-12"/>
        </w:rPr>
        <w:t> </w:t>
      </w:r>
      <w:r>
        <w:rPr>
          <w:color w:val="231F20"/>
          <w:spacing w:val="-1"/>
        </w:rPr>
        <w:t>counseling,</w:t>
      </w:r>
      <w:r>
        <w:rPr>
          <w:color w:val="231F20"/>
          <w:spacing w:val="-13"/>
        </w:rPr>
        <w:t> </w:t>
      </w:r>
      <w:r>
        <w:rPr>
          <w:color w:val="231F20"/>
        </w:rPr>
        <w:t>it</w:t>
      </w:r>
      <w:r>
        <w:rPr>
          <w:color w:val="231F20"/>
          <w:spacing w:val="-12"/>
        </w:rPr>
        <w:t> </w:t>
      </w:r>
      <w:r>
        <w:rPr>
          <w:color w:val="231F20"/>
        </w:rPr>
        <w:t>may</w:t>
      </w:r>
      <w:r>
        <w:rPr>
          <w:color w:val="231F20"/>
          <w:spacing w:val="-12"/>
        </w:rPr>
        <w:t> </w:t>
      </w:r>
      <w:r>
        <w:rPr>
          <w:color w:val="231F20"/>
        </w:rPr>
        <w:t>increase</w:t>
      </w:r>
      <w:r>
        <w:rPr>
          <w:color w:val="231F20"/>
          <w:spacing w:val="-52"/>
        </w:rPr>
        <w:t> </w:t>
      </w:r>
      <w:r>
        <w:rPr>
          <w:color w:val="231F20"/>
        </w:rPr>
        <w:t>attendance at sessions, which in turn can have long-term</w:t>
      </w:r>
      <w:r>
        <w:rPr>
          <w:color w:val="231F20"/>
          <w:spacing w:val="1"/>
        </w:rPr>
        <w:t> </w:t>
      </w:r>
      <w:r>
        <w:rPr>
          <w:color w:val="231F20"/>
        </w:rPr>
        <w:t>therapeutic</w:t>
      </w:r>
      <w:r>
        <w:rPr>
          <w:color w:val="231F20"/>
          <w:spacing w:val="-6"/>
        </w:rPr>
        <w:t> </w:t>
      </w:r>
      <w:r>
        <w:rPr>
          <w:color w:val="231F20"/>
        </w:rPr>
        <w:t>benefits.</w:t>
      </w:r>
      <w:r>
        <w:rPr>
          <w:color w:val="231F20"/>
          <w:vertAlign w:val="superscript"/>
        </w:rPr>
        <w:t>48</w:t>
      </w:r>
    </w:p>
    <w:p>
      <w:pPr>
        <w:spacing w:after="0" w:line="266" w:lineRule="auto"/>
        <w:sectPr>
          <w:type w:val="continuous"/>
          <w:pgSz w:w="12240" w:h="15840"/>
          <w:pgMar w:header="0" w:footer="666" w:top="1500" w:bottom="0" w:left="560" w:right="0"/>
          <w:cols w:num="2" w:equalWidth="0">
            <w:col w:w="5206" w:space="554"/>
            <w:col w:w="5920"/>
          </w:cols>
        </w:sectPr>
      </w:pPr>
    </w:p>
    <w:p>
      <w:pPr>
        <w:pStyle w:val="BodyText"/>
        <w:spacing w:before="4"/>
        <w:rPr>
          <w:sz w:val="28"/>
        </w:rPr>
      </w:pPr>
    </w:p>
    <w:p>
      <w:pPr>
        <w:pStyle w:val="BodyText"/>
        <w:spacing w:line="20" w:lineRule="exact"/>
        <w:ind w:left="160"/>
        <w:rPr>
          <w:sz w:val="2"/>
        </w:rPr>
      </w:pPr>
      <w:r>
        <w:rPr>
          <w:sz w:val="2"/>
        </w:rPr>
        <w:pict>
          <v:group style="width:540pt;height:1pt;mso-position-horizontal-relative:char;mso-position-vertical-relative:line" id="docshapegroup106" coordorigin="0,0" coordsize="10800,20">
            <v:line style="position:absolute" from="0,10" to="10800,10" stroked="true" strokeweight="1pt" strokecolor="#1c384b">
              <v:stroke dashstyle="solid"/>
            </v:line>
          </v:group>
        </w:pict>
      </w:r>
      <w:r>
        <w:rPr>
          <w:sz w:val="2"/>
        </w:rPr>
      </w:r>
    </w:p>
    <w:p>
      <w:pPr>
        <w:pStyle w:val="Heading3"/>
        <w:spacing w:before="146"/>
        <w:ind w:left="5920"/>
        <w:rPr>
          <w:rFonts w:ascii="Arial"/>
        </w:rPr>
      </w:pPr>
      <w:r>
        <w:rPr/>
        <w:drawing>
          <wp:anchor distT="0" distB="0" distL="0" distR="0" allowOverlap="1" layoutInCell="1" locked="0" behindDoc="0" simplePos="0" relativeHeight="15754752">
            <wp:simplePos x="0" y="0"/>
            <wp:positionH relativeFrom="page">
              <wp:posOffset>457200</wp:posOffset>
            </wp:positionH>
            <wp:positionV relativeFrom="paragraph">
              <wp:posOffset>112007</wp:posOffset>
            </wp:positionV>
            <wp:extent cx="3200400" cy="4965190"/>
            <wp:effectExtent l="0" t="0" r="0" b="0"/>
            <wp:wrapNone/>
            <wp:docPr id="43" name="image21.png"/>
            <wp:cNvGraphicFramePr>
              <a:graphicFrameLocks noChangeAspect="1"/>
            </wp:cNvGraphicFramePr>
            <a:graphic>
              <a:graphicData uri="http://schemas.openxmlformats.org/drawingml/2006/picture">
                <pic:pic>
                  <pic:nvPicPr>
                    <pic:cNvPr id="44" name="image21.png"/>
                    <pic:cNvPicPr/>
                  </pic:nvPicPr>
                  <pic:blipFill>
                    <a:blip r:embed="rId151" cstate="print"/>
                    <a:stretch>
                      <a:fillRect/>
                    </a:stretch>
                  </pic:blipFill>
                  <pic:spPr>
                    <a:xfrm>
                      <a:off x="0" y="0"/>
                      <a:ext cx="3200400" cy="4965190"/>
                    </a:xfrm>
                    <a:prstGeom prst="rect">
                      <a:avLst/>
                    </a:prstGeom>
                  </pic:spPr>
                </pic:pic>
              </a:graphicData>
            </a:graphic>
          </wp:anchor>
        </w:drawing>
      </w:r>
      <w:r>
        <w:rPr>
          <w:rFonts w:ascii="Arial"/>
          <w:color w:val="CE384B"/>
        </w:rPr>
        <w:t>Cognitive</w:t>
      </w:r>
      <w:r>
        <w:rPr>
          <w:rFonts w:ascii="Arial"/>
          <w:color w:val="CE384B"/>
          <w:spacing w:val="-6"/>
        </w:rPr>
        <w:t> </w:t>
      </w:r>
      <w:r>
        <w:rPr>
          <w:rFonts w:ascii="Arial"/>
          <w:color w:val="CE384B"/>
        </w:rPr>
        <w:t>Behavioral</w:t>
      </w:r>
      <w:r>
        <w:rPr>
          <w:rFonts w:ascii="Arial"/>
          <w:color w:val="CE384B"/>
          <w:spacing w:val="-5"/>
        </w:rPr>
        <w:t> </w:t>
      </w:r>
      <w:r>
        <w:rPr>
          <w:rFonts w:ascii="Arial"/>
          <w:color w:val="CE384B"/>
        </w:rPr>
        <w:t>Therapy</w:t>
      </w:r>
      <w:r>
        <w:rPr>
          <w:rFonts w:ascii="Arial"/>
          <w:color w:val="CE384B"/>
          <w:spacing w:val="-4"/>
        </w:rPr>
        <w:t> </w:t>
      </w:r>
      <w:r>
        <w:rPr>
          <w:rFonts w:ascii="Arial"/>
          <w:color w:val="CE384B"/>
        </w:rPr>
        <w:t>(CBT)</w:t>
      </w:r>
    </w:p>
    <w:p>
      <w:pPr>
        <w:pStyle w:val="BodyText"/>
        <w:spacing w:before="1"/>
        <w:rPr>
          <w:rFonts w:ascii="Arial"/>
          <w:b/>
          <w:sz w:val="17"/>
        </w:rPr>
      </w:pPr>
      <w:r>
        <w:rPr/>
        <w:drawing>
          <wp:anchor distT="0" distB="0" distL="0" distR="0" allowOverlap="1" layoutInCell="1" locked="0" behindDoc="0" simplePos="0" relativeHeight="50">
            <wp:simplePos x="0" y="0"/>
            <wp:positionH relativeFrom="page">
              <wp:posOffset>4134605</wp:posOffset>
            </wp:positionH>
            <wp:positionV relativeFrom="paragraph">
              <wp:posOffset>140563</wp:posOffset>
            </wp:positionV>
            <wp:extent cx="2964405" cy="336803"/>
            <wp:effectExtent l="0" t="0" r="0" b="0"/>
            <wp:wrapTopAndBottom/>
            <wp:docPr id="45" name="image19.jpeg"/>
            <wp:cNvGraphicFramePr>
              <a:graphicFrameLocks noChangeAspect="1"/>
            </wp:cNvGraphicFramePr>
            <a:graphic>
              <a:graphicData uri="http://schemas.openxmlformats.org/drawingml/2006/picture">
                <pic:pic>
                  <pic:nvPicPr>
                    <pic:cNvPr id="46" name="image19.jpeg"/>
                    <pic:cNvPicPr/>
                  </pic:nvPicPr>
                  <pic:blipFill>
                    <a:blip r:embed="rId149" cstate="print"/>
                    <a:stretch>
                      <a:fillRect/>
                    </a:stretch>
                  </pic:blipFill>
                  <pic:spPr>
                    <a:xfrm>
                      <a:off x="0" y="0"/>
                      <a:ext cx="2964405" cy="336803"/>
                    </a:xfrm>
                    <a:prstGeom prst="rect">
                      <a:avLst/>
                    </a:prstGeom>
                  </pic:spPr>
                </pic:pic>
              </a:graphicData>
            </a:graphic>
          </wp:anchor>
        </w:drawing>
      </w:r>
    </w:p>
    <w:p>
      <w:pPr>
        <w:pStyle w:val="Heading5"/>
        <w:spacing w:before="124"/>
        <w:ind w:left="5920"/>
        <w:rPr>
          <w:i/>
        </w:rPr>
      </w:pPr>
      <w:r>
        <w:rPr>
          <w:i/>
          <w:color w:val="1C384B"/>
        </w:rPr>
        <w:t>Goal</w:t>
      </w:r>
    </w:p>
    <w:p>
      <w:pPr>
        <w:pStyle w:val="BodyText"/>
        <w:spacing w:line="266" w:lineRule="auto" w:before="184"/>
        <w:ind w:left="5920" w:right="691"/>
      </w:pPr>
      <w:r>
        <w:rPr>
          <w:color w:val="231F20"/>
          <w:spacing w:val="-2"/>
        </w:rPr>
        <w:t>Providers</w:t>
      </w:r>
      <w:r>
        <w:rPr>
          <w:color w:val="231F20"/>
          <w:spacing w:val="-12"/>
        </w:rPr>
        <w:t> </w:t>
      </w:r>
      <w:r>
        <w:rPr>
          <w:color w:val="231F20"/>
          <w:spacing w:val="-2"/>
        </w:rPr>
        <w:t>in</w:t>
      </w:r>
      <w:r>
        <w:rPr>
          <w:color w:val="231F20"/>
          <w:spacing w:val="-11"/>
        </w:rPr>
        <w:t> </w:t>
      </w:r>
      <w:r>
        <w:rPr>
          <w:color w:val="231F20"/>
          <w:spacing w:val="-1"/>
        </w:rPr>
        <w:t>mental</w:t>
      </w:r>
      <w:r>
        <w:rPr>
          <w:color w:val="231F20"/>
          <w:spacing w:val="-10"/>
        </w:rPr>
        <w:t> </w:t>
      </w:r>
      <w:r>
        <w:rPr>
          <w:color w:val="231F20"/>
          <w:spacing w:val="-1"/>
        </w:rPr>
        <w:t>health</w:t>
      </w:r>
      <w:r>
        <w:rPr>
          <w:color w:val="231F20"/>
          <w:spacing w:val="-12"/>
        </w:rPr>
        <w:t> </w:t>
      </w:r>
      <w:r>
        <w:rPr>
          <w:color w:val="231F20"/>
          <w:spacing w:val="-1"/>
        </w:rPr>
        <w:t>settings</w:t>
      </w:r>
      <w:r>
        <w:rPr>
          <w:color w:val="231F20"/>
          <w:spacing w:val="-12"/>
        </w:rPr>
        <w:t> </w:t>
      </w:r>
      <w:r>
        <w:rPr>
          <w:color w:val="231F20"/>
          <w:spacing w:val="-1"/>
        </w:rPr>
        <w:t>are</w:t>
      </w:r>
      <w:r>
        <w:rPr>
          <w:color w:val="231F20"/>
          <w:spacing w:val="-10"/>
        </w:rPr>
        <w:t> </w:t>
      </w:r>
      <w:r>
        <w:rPr>
          <w:color w:val="231F20"/>
          <w:spacing w:val="-1"/>
        </w:rPr>
        <w:t>uniquely</w:t>
      </w:r>
      <w:r>
        <w:rPr>
          <w:color w:val="231F20"/>
          <w:spacing w:val="-12"/>
        </w:rPr>
        <w:t> </w:t>
      </w:r>
      <w:r>
        <w:rPr>
          <w:color w:val="231F20"/>
          <w:spacing w:val="-1"/>
        </w:rPr>
        <w:t>positioned</w:t>
      </w:r>
      <w:r>
        <w:rPr>
          <w:color w:val="231F20"/>
          <w:spacing w:val="-52"/>
        </w:rPr>
        <w:t> </w:t>
      </w:r>
      <w:r>
        <w:rPr>
          <w:color w:val="231F20"/>
          <w:spacing w:val="-1"/>
        </w:rPr>
        <w:t>to prevent HIV and support linkage </w:t>
      </w:r>
      <w:r>
        <w:rPr>
          <w:color w:val="231F20"/>
        </w:rPr>
        <w:t>and retention in HIV</w:t>
      </w:r>
      <w:r>
        <w:rPr>
          <w:color w:val="231F20"/>
          <w:spacing w:val="1"/>
        </w:rPr>
        <w:t> </w:t>
      </w:r>
      <w:r>
        <w:rPr>
          <w:color w:val="231F20"/>
          <w:spacing w:val="-3"/>
        </w:rPr>
        <w:t>care and ART adherence for people with HIV. </w:t>
      </w:r>
      <w:r>
        <w:rPr>
          <w:color w:val="231F20"/>
          <w:spacing w:val="-2"/>
        </w:rPr>
        <w:t>Through</w:t>
      </w:r>
      <w:r>
        <w:rPr>
          <w:color w:val="231F20"/>
          <w:spacing w:val="-1"/>
        </w:rPr>
        <w:t> individual </w:t>
      </w:r>
      <w:r>
        <w:rPr>
          <w:color w:val="231F20"/>
        </w:rPr>
        <w:t>and group counseling such as CBT, providers</w:t>
      </w:r>
      <w:r>
        <w:rPr>
          <w:color w:val="231F20"/>
          <w:spacing w:val="1"/>
        </w:rPr>
        <w:t> </w:t>
      </w:r>
      <w:r>
        <w:rPr>
          <w:color w:val="231F20"/>
        </w:rPr>
        <w:t>can build “reciprocal, robust, and trusting relationships”</w:t>
      </w:r>
      <w:r>
        <w:rPr>
          <w:color w:val="231F20"/>
          <w:spacing w:val="1"/>
        </w:rPr>
        <w:t> </w:t>
      </w:r>
      <w:r>
        <w:rPr>
          <w:color w:val="231F20"/>
        </w:rPr>
        <w:t>by having consistent and confidential interactions with</w:t>
      </w:r>
      <w:r>
        <w:rPr>
          <w:color w:val="231F20"/>
          <w:spacing w:val="1"/>
        </w:rPr>
        <w:t> </w:t>
      </w:r>
      <w:r>
        <w:rPr>
          <w:color w:val="231F20"/>
        </w:rPr>
        <w:t>clients</w:t>
      </w:r>
      <w:r>
        <w:rPr>
          <w:color w:val="231F20"/>
          <w:spacing w:val="-5"/>
        </w:rPr>
        <w:t> </w:t>
      </w:r>
      <w:r>
        <w:rPr>
          <w:color w:val="231F20"/>
        </w:rPr>
        <w:t>over</w:t>
      </w:r>
      <w:r>
        <w:rPr>
          <w:color w:val="231F20"/>
          <w:spacing w:val="-5"/>
        </w:rPr>
        <w:t> </w:t>
      </w:r>
      <w:r>
        <w:rPr>
          <w:color w:val="231F20"/>
        </w:rPr>
        <w:t>time.</w:t>
      </w:r>
      <w:r>
        <w:rPr>
          <w:color w:val="231F20"/>
          <w:vertAlign w:val="superscript"/>
        </w:rPr>
        <w:t>54</w:t>
      </w:r>
    </w:p>
    <w:p>
      <w:pPr>
        <w:pStyle w:val="BodyText"/>
        <w:spacing w:line="266" w:lineRule="auto" w:before="174"/>
        <w:ind w:left="5919" w:right="729"/>
      </w:pPr>
      <w:r>
        <w:rPr>
          <w:color w:val="010202"/>
        </w:rPr>
        <w:t>CBT is a form of psychotherapy that seeks to </w:t>
      </w:r>
      <w:r>
        <w:rPr>
          <w:color w:val="231F20"/>
        </w:rPr>
        <w:t>modify</w:t>
      </w:r>
      <w:r>
        <w:rPr>
          <w:color w:val="231F20"/>
          <w:spacing w:val="1"/>
        </w:rPr>
        <w:t> </w:t>
      </w:r>
      <w:r>
        <w:rPr>
          <w:color w:val="231F20"/>
        </w:rPr>
        <w:t>problematic thinking, beliefs, or behavior through skill-</w:t>
      </w:r>
      <w:r>
        <w:rPr>
          <w:color w:val="231F20"/>
          <w:spacing w:val="1"/>
        </w:rPr>
        <w:t> </w:t>
      </w:r>
      <w:r>
        <w:rPr>
          <w:color w:val="231F20"/>
          <w:spacing w:val="-1"/>
        </w:rPr>
        <w:t>building.</w:t>
      </w:r>
      <w:r>
        <w:rPr>
          <w:color w:val="231F20"/>
          <w:spacing w:val="-9"/>
        </w:rPr>
        <w:t> </w:t>
      </w:r>
      <w:r>
        <w:rPr>
          <w:color w:val="231F20"/>
          <w:spacing w:val="-1"/>
        </w:rPr>
        <w:t>CBT</w:t>
      </w:r>
      <w:r>
        <w:rPr>
          <w:color w:val="231F20"/>
          <w:spacing w:val="-13"/>
        </w:rPr>
        <w:t> </w:t>
      </w:r>
      <w:r>
        <w:rPr>
          <w:color w:val="231F20"/>
          <w:spacing w:val="-1"/>
        </w:rPr>
        <w:t>programs</w:t>
      </w:r>
      <w:r>
        <w:rPr>
          <w:color w:val="231F20"/>
          <w:spacing w:val="-9"/>
        </w:rPr>
        <w:t> </w:t>
      </w:r>
      <w:r>
        <w:rPr>
          <w:color w:val="231F20"/>
          <w:spacing w:val="-1"/>
        </w:rPr>
        <w:t>share</w:t>
      </w:r>
      <w:r>
        <w:rPr>
          <w:color w:val="231F20"/>
          <w:spacing w:val="-10"/>
        </w:rPr>
        <w:t> </w:t>
      </w:r>
      <w:r>
        <w:rPr>
          <w:color w:val="231F20"/>
          <w:spacing w:val="-1"/>
        </w:rPr>
        <w:t>three</w:t>
      </w:r>
      <w:r>
        <w:rPr>
          <w:color w:val="231F20"/>
          <w:spacing w:val="-9"/>
        </w:rPr>
        <w:t> </w:t>
      </w:r>
      <w:r>
        <w:rPr>
          <w:color w:val="231F20"/>
          <w:spacing w:val="-1"/>
        </w:rPr>
        <w:t>core</w:t>
      </w:r>
      <w:r>
        <w:rPr>
          <w:color w:val="231F20"/>
          <w:spacing w:val="-9"/>
        </w:rPr>
        <w:t> </w:t>
      </w:r>
      <w:r>
        <w:rPr>
          <w:color w:val="231F20"/>
          <w:spacing w:val="-1"/>
        </w:rPr>
        <w:t>principles.</w:t>
      </w:r>
      <w:r>
        <w:rPr>
          <w:color w:val="231F20"/>
          <w:spacing w:val="-12"/>
        </w:rPr>
        <w:t> </w:t>
      </w:r>
      <w:r>
        <w:rPr>
          <w:color w:val="231F20"/>
          <w:spacing w:val="-1"/>
        </w:rPr>
        <w:t>They</w:t>
      </w:r>
      <w:r>
        <w:rPr>
          <w:color w:val="231F20"/>
          <w:spacing w:val="-52"/>
        </w:rPr>
        <w:t> </w:t>
      </w:r>
      <w:r>
        <w:rPr>
          <w:color w:val="231F20"/>
          <w:spacing w:val="-1"/>
        </w:rPr>
        <w:t>are 1) goal-oriented; 2) time-limited; </w:t>
      </w:r>
      <w:r>
        <w:rPr>
          <w:color w:val="231F20"/>
        </w:rPr>
        <w:t>and 3) structured.</w:t>
      </w:r>
      <w:r>
        <w:rPr>
          <w:color w:val="231F20"/>
          <w:vertAlign w:val="superscript"/>
        </w:rPr>
        <w:t>55</w:t>
      </w:r>
      <w:r>
        <w:rPr>
          <w:color w:val="231F20"/>
          <w:spacing w:val="1"/>
          <w:vertAlign w:val="baseline"/>
        </w:rPr>
        <w:t> </w:t>
      </w:r>
      <w:r>
        <w:rPr>
          <w:color w:val="231F20"/>
          <w:spacing w:val="-2"/>
          <w:vertAlign w:val="baseline"/>
        </w:rPr>
        <w:t>CBT</w:t>
      </w:r>
      <w:r>
        <w:rPr>
          <w:color w:val="231F20"/>
          <w:spacing w:val="-12"/>
          <w:vertAlign w:val="baseline"/>
        </w:rPr>
        <w:t> </w:t>
      </w:r>
      <w:r>
        <w:rPr>
          <w:color w:val="231F20"/>
          <w:spacing w:val="-2"/>
          <w:vertAlign w:val="baseline"/>
        </w:rPr>
        <w:t>helps</w:t>
      </w:r>
      <w:r>
        <w:rPr>
          <w:color w:val="231F20"/>
          <w:spacing w:val="-8"/>
          <w:vertAlign w:val="baseline"/>
        </w:rPr>
        <w:t> </w:t>
      </w:r>
      <w:r>
        <w:rPr>
          <w:color w:val="231F20"/>
          <w:spacing w:val="-2"/>
          <w:vertAlign w:val="baseline"/>
        </w:rPr>
        <w:t>individuals</w:t>
      </w:r>
      <w:r>
        <w:rPr>
          <w:color w:val="231F20"/>
          <w:spacing w:val="-8"/>
          <w:vertAlign w:val="baseline"/>
        </w:rPr>
        <w:t> </w:t>
      </w:r>
      <w:r>
        <w:rPr>
          <w:color w:val="231F20"/>
          <w:spacing w:val="-2"/>
          <w:vertAlign w:val="baseline"/>
        </w:rPr>
        <w:t>identify</w:t>
      </w:r>
      <w:r>
        <w:rPr>
          <w:color w:val="231F20"/>
          <w:spacing w:val="-8"/>
          <w:vertAlign w:val="baseline"/>
        </w:rPr>
        <w:t> </w:t>
      </w:r>
      <w:r>
        <w:rPr>
          <w:color w:val="231F20"/>
          <w:spacing w:val="-1"/>
          <w:vertAlign w:val="baseline"/>
        </w:rPr>
        <w:t>specific</w:t>
      </w:r>
      <w:r>
        <w:rPr>
          <w:color w:val="231F20"/>
          <w:spacing w:val="-9"/>
          <w:vertAlign w:val="baseline"/>
        </w:rPr>
        <w:t> </w:t>
      </w:r>
      <w:r>
        <w:rPr>
          <w:color w:val="231F20"/>
          <w:spacing w:val="-1"/>
          <w:vertAlign w:val="baseline"/>
        </w:rPr>
        <w:t>problems</w:t>
      </w:r>
      <w:r>
        <w:rPr>
          <w:color w:val="231F20"/>
          <w:spacing w:val="-7"/>
          <w:vertAlign w:val="baseline"/>
        </w:rPr>
        <w:t> </w:t>
      </w:r>
      <w:r>
        <w:rPr>
          <w:color w:val="231F20"/>
          <w:spacing w:val="-1"/>
          <w:vertAlign w:val="baseline"/>
        </w:rPr>
        <w:t>and</w:t>
      </w:r>
      <w:r>
        <w:rPr>
          <w:color w:val="231F20"/>
          <w:spacing w:val="-8"/>
          <w:vertAlign w:val="baseline"/>
        </w:rPr>
        <w:t> </w:t>
      </w:r>
      <w:r>
        <w:rPr>
          <w:color w:val="231F20"/>
          <w:spacing w:val="-1"/>
          <w:vertAlign w:val="baseline"/>
        </w:rPr>
        <w:t>gain</w:t>
      </w:r>
      <w:r>
        <w:rPr>
          <w:color w:val="231F20"/>
          <w:spacing w:val="-52"/>
          <w:vertAlign w:val="baseline"/>
        </w:rPr>
        <w:t> </w:t>
      </w:r>
      <w:r>
        <w:rPr>
          <w:color w:val="231F20"/>
          <w:spacing w:val="-3"/>
          <w:vertAlign w:val="baseline"/>
        </w:rPr>
        <w:t>the skills to manage </w:t>
      </w:r>
      <w:r>
        <w:rPr>
          <w:color w:val="231F20"/>
          <w:spacing w:val="-2"/>
          <w:vertAlign w:val="baseline"/>
        </w:rPr>
        <w:t>and solve them.</w:t>
      </w:r>
      <w:r>
        <w:rPr>
          <w:color w:val="231F20"/>
          <w:spacing w:val="-2"/>
          <w:vertAlign w:val="superscript"/>
        </w:rPr>
        <w:t>56</w:t>
      </w:r>
      <w:r>
        <w:rPr>
          <w:color w:val="231F20"/>
          <w:spacing w:val="-2"/>
          <w:vertAlign w:val="baseline"/>
        </w:rPr>
        <w:t> All studies included</w:t>
      </w:r>
      <w:r>
        <w:rPr>
          <w:color w:val="231F20"/>
          <w:spacing w:val="-52"/>
          <w:vertAlign w:val="baseline"/>
        </w:rPr>
        <w:t> </w:t>
      </w:r>
      <w:r>
        <w:rPr>
          <w:color w:val="231F20"/>
          <w:vertAlign w:val="baseline"/>
        </w:rPr>
        <w:t>in</w:t>
      </w:r>
      <w:r>
        <w:rPr>
          <w:color w:val="231F20"/>
          <w:spacing w:val="-11"/>
          <w:vertAlign w:val="baseline"/>
        </w:rPr>
        <w:t> </w:t>
      </w:r>
      <w:r>
        <w:rPr>
          <w:color w:val="231F20"/>
          <w:vertAlign w:val="baseline"/>
        </w:rPr>
        <w:t>this</w:t>
      </w:r>
      <w:r>
        <w:rPr>
          <w:color w:val="231F20"/>
          <w:spacing w:val="-10"/>
          <w:vertAlign w:val="baseline"/>
        </w:rPr>
        <w:t> </w:t>
      </w:r>
      <w:r>
        <w:rPr>
          <w:color w:val="231F20"/>
          <w:vertAlign w:val="baseline"/>
        </w:rPr>
        <w:t>evidence</w:t>
      </w:r>
      <w:r>
        <w:rPr>
          <w:color w:val="231F20"/>
          <w:spacing w:val="-10"/>
          <w:vertAlign w:val="baseline"/>
        </w:rPr>
        <w:t> </w:t>
      </w:r>
      <w:r>
        <w:rPr>
          <w:color w:val="231F20"/>
          <w:vertAlign w:val="baseline"/>
        </w:rPr>
        <w:t>review</w:t>
      </w:r>
      <w:r>
        <w:rPr>
          <w:color w:val="231F20"/>
          <w:spacing w:val="-10"/>
          <w:vertAlign w:val="baseline"/>
        </w:rPr>
        <w:t> </w:t>
      </w:r>
      <w:r>
        <w:rPr>
          <w:color w:val="231F20"/>
          <w:vertAlign w:val="baseline"/>
        </w:rPr>
        <w:t>employed</w:t>
      </w:r>
      <w:r>
        <w:rPr>
          <w:color w:val="231F20"/>
          <w:spacing w:val="-10"/>
          <w:vertAlign w:val="baseline"/>
        </w:rPr>
        <w:t> </w:t>
      </w:r>
      <w:r>
        <w:rPr>
          <w:color w:val="231F20"/>
          <w:vertAlign w:val="baseline"/>
        </w:rPr>
        <w:t>the</w:t>
      </w:r>
      <w:r>
        <w:rPr>
          <w:color w:val="231F20"/>
          <w:spacing w:val="-10"/>
          <w:vertAlign w:val="baseline"/>
        </w:rPr>
        <w:t> </w:t>
      </w:r>
      <w:r>
        <w:rPr>
          <w:color w:val="231F20"/>
          <w:vertAlign w:val="baseline"/>
        </w:rPr>
        <w:t>core</w:t>
      </w:r>
      <w:r>
        <w:rPr>
          <w:color w:val="231F20"/>
          <w:spacing w:val="-10"/>
          <w:vertAlign w:val="baseline"/>
        </w:rPr>
        <w:t> </w:t>
      </w:r>
      <w:r>
        <w:rPr>
          <w:color w:val="231F20"/>
          <w:vertAlign w:val="baseline"/>
        </w:rPr>
        <w:t>components</w:t>
      </w:r>
    </w:p>
    <w:p>
      <w:pPr>
        <w:pStyle w:val="BodyText"/>
        <w:spacing w:line="266" w:lineRule="auto"/>
        <w:ind w:left="5920" w:right="957"/>
      </w:pPr>
      <w:r>
        <w:rPr>
          <w:color w:val="231F20"/>
          <w:spacing w:val="-2"/>
        </w:rPr>
        <w:t>of</w:t>
      </w:r>
      <w:r>
        <w:rPr>
          <w:color w:val="231F20"/>
          <w:spacing w:val="-10"/>
        </w:rPr>
        <w:t> </w:t>
      </w:r>
      <w:r>
        <w:rPr>
          <w:color w:val="231F20"/>
          <w:spacing w:val="-1"/>
        </w:rPr>
        <w:t>CBT</w:t>
      </w:r>
      <w:r>
        <w:rPr>
          <w:color w:val="231F20"/>
          <w:spacing w:val="-12"/>
        </w:rPr>
        <w:t> </w:t>
      </w:r>
      <w:r>
        <w:rPr>
          <w:color w:val="231F20"/>
          <w:spacing w:val="-1"/>
        </w:rPr>
        <w:t>(basing</w:t>
      </w:r>
      <w:r>
        <w:rPr>
          <w:color w:val="231F20"/>
          <w:spacing w:val="-9"/>
        </w:rPr>
        <w:t> </w:t>
      </w:r>
      <w:r>
        <w:rPr>
          <w:color w:val="231F20"/>
          <w:spacing w:val="-1"/>
        </w:rPr>
        <w:t>individual</w:t>
      </w:r>
      <w:r>
        <w:rPr>
          <w:color w:val="231F20"/>
          <w:spacing w:val="-9"/>
        </w:rPr>
        <w:t> </w:t>
      </w:r>
      <w:r>
        <w:rPr>
          <w:color w:val="231F20"/>
          <w:spacing w:val="-1"/>
        </w:rPr>
        <w:t>and</w:t>
      </w:r>
      <w:r>
        <w:rPr>
          <w:color w:val="231F20"/>
          <w:spacing w:val="-9"/>
        </w:rPr>
        <w:t> </w:t>
      </w:r>
      <w:r>
        <w:rPr>
          <w:color w:val="231F20"/>
          <w:spacing w:val="-1"/>
        </w:rPr>
        <w:t>group</w:t>
      </w:r>
      <w:r>
        <w:rPr>
          <w:color w:val="231F20"/>
          <w:spacing w:val="-9"/>
        </w:rPr>
        <w:t> </w:t>
      </w:r>
      <w:r>
        <w:rPr>
          <w:color w:val="231F20"/>
          <w:spacing w:val="-1"/>
        </w:rPr>
        <w:t>work</w:t>
      </w:r>
      <w:r>
        <w:rPr>
          <w:color w:val="231F20"/>
          <w:spacing w:val="-10"/>
        </w:rPr>
        <w:t> </w:t>
      </w:r>
      <w:r>
        <w:rPr>
          <w:color w:val="231F20"/>
          <w:spacing w:val="-1"/>
        </w:rPr>
        <w:t>on</w:t>
      </w:r>
      <w:r>
        <w:rPr>
          <w:color w:val="231F20"/>
          <w:spacing w:val="-9"/>
        </w:rPr>
        <w:t> </w:t>
      </w:r>
      <w:r>
        <w:rPr>
          <w:color w:val="231F20"/>
          <w:spacing w:val="-1"/>
        </w:rPr>
        <w:t>thoughts,</w:t>
      </w:r>
      <w:r>
        <w:rPr>
          <w:color w:val="231F20"/>
          <w:spacing w:val="-52"/>
        </w:rPr>
        <w:t> </w:t>
      </w:r>
      <w:r>
        <w:rPr>
          <w:color w:val="231F20"/>
        </w:rPr>
        <w:t>feelings,</w:t>
      </w:r>
      <w:r>
        <w:rPr>
          <w:color w:val="231F20"/>
          <w:spacing w:val="-7"/>
        </w:rPr>
        <w:t> </w:t>
      </w:r>
      <w:r>
        <w:rPr>
          <w:color w:val="231F20"/>
        </w:rPr>
        <w:t>emotions,</w:t>
      </w:r>
      <w:r>
        <w:rPr>
          <w:color w:val="231F20"/>
          <w:spacing w:val="-7"/>
        </w:rPr>
        <w:t> </w:t>
      </w:r>
      <w:r>
        <w:rPr>
          <w:color w:val="231F20"/>
        </w:rPr>
        <w:t>and</w:t>
      </w:r>
      <w:r>
        <w:rPr>
          <w:color w:val="231F20"/>
          <w:spacing w:val="-6"/>
        </w:rPr>
        <w:t> </w:t>
      </w:r>
      <w:r>
        <w:rPr>
          <w:color w:val="231F20"/>
        </w:rPr>
        <w:t>skill-building).</w:t>
      </w:r>
    </w:p>
    <w:p>
      <w:pPr>
        <w:pStyle w:val="BodyText"/>
        <w:spacing w:line="266" w:lineRule="auto" w:before="173"/>
        <w:ind w:left="5920" w:right="884"/>
      </w:pPr>
      <w:r>
        <w:rPr>
          <w:color w:val="231F20"/>
          <w:spacing w:val="-4"/>
        </w:rPr>
        <w:t>This evidence review </w:t>
      </w:r>
      <w:r>
        <w:rPr>
          <w:color w:val="231F20"/>
          <w:spacing w:val="-3"/>
        </w:rPr>
        <w:t>includes specific applications of</w:t>
      </w:r>
      <w:r>
        <w:rPr>
          <w:color w:val="231F20"/>
          <w:spacing w:val="-2"/>
        </w:rPr>
        <w:t> </w:t>
      </w:r>
      <w:r>
        <w:rPr>
          <w:color w:val="231F20"/>
          <w:spacing w:val="-4"/>
        </w:rPr>
        <w:t>CBT</w:t>
      </w:r>
      <w:r>
        <w:rPr>
          <w:color w:val="231F20"/>
          <w:spacing w:val="-12"/>
        </w:rPr>
        <w:t> </w:t>
      </w:r>
      <w:r>
        <w:rPr>
          <w:color w:val="231F20"/>
          <w:spacing w:val="-4"/>
        </w:rPr>
        <w:t>for</w:t>
      </w:r>
      <w:r>
        <w:rPr>
          <w:color w:val="231F20"/>
          <w:spacing w:val="-8"/>
        </w:rPr>
        <w:t> </w:t>
      </w:r>
      <w:r>
        <w:rPr>
          <w:color w:val="231F20"/>
          <w:spacing w:val="-4"/>
        </w:rPr>
        <w:t>mental</w:t>
      </w:r>
      <w:r>
        <w:rPr>
          <w:color w:val="231F20"/>
          <w:spacing w:val="-8"/>
        </w:rPr>
        <w:t> </w:t>
      </w:r>
      <w:r>
        <w:rPr>
          <w:color w:val="231F20"/>
          <w:spacing w:val="-4"/>
        </w:rPr>
        <w:t>health</w:t>
      </w:r>
      <w:r>
        <w:rPr>
          <w:color w:val="231F20"/>
          <w:spacing w:val="-8"/>
        </w:rPr>
        <w:t> </w:t>
      </w:r>
      <w:r>
        <w:rPr>
          <w:color w:val="231F20"/>
          <w:spacing w:val="-4"/>
        </w:rPr>
        <w:t>clinicians</w:t>
      </w:r>
      <w:r>
        <w:rPr>
          <w:color w:val="231F20"/>
          <w:spacing w:val="-8"/>
        </w:rPr>
        <w:t> </w:t>
      </w:r>
      <w:r>
        <w:rPr>
          <w:color w:val="231F20"/>
          <w:spacing w:val="-3"/>
        </w:rPr>
        <w:t>to</w:t>
      </w:r>
      <w:r>
        <w:rPr>
          <w:color w:val="231F20"/>
          <w:spacing w:val="-8"/>
        </w:rPr>
        <w:t> </w:t>
      </w:r>
      <w:r>
        <w:rPr>
          <w:color w:val="231F20"/>
          <w:spacing w:val="-3"/>
        </w:rPr>
        <w:t>use</w:t>
      </w:r>
      <w:r>
        <w:rPr>
          <w:color w:val="231F20"/>
          <w:spacing w:val="-8"/>
        </w:rPr>
        <w:t> </w:t>
      </w:r>
      <w:r>
        <w:rPr>
          <w:color w:val="231F20"/>
          <w:spacing w:val="-3"/>
        </w:rPr>
        <w:t>with</w:t>
      </w:r>
      <w:r>
        <w:rPr>
          <w:color w:val="231F20"/>
          <w:spacing w:val="-8"/>
        </w:rPr>
        <w:t> </w:t>
      </w:r>
      <w:r>
        <w:rPr>
          <w:color w:val="231F20"/>
          <w:spacing w:val="-3"/>
        </w:rPr>
        <w:t>clients</w:t>
      </w:r>
      <w:r>
        <w:rPr>
          <w:color w:val="231F20"/>
          <w:spacing w:val="-8"/>
        </w:rPr>
        <w:t> </w:t>
      </w:r>
      <w:r>
        <w:rPr>
          <w:color w:val="231F20"/>
          <w:spacing w:val="-3"/>
        </w:rPr>
        <w:t>living</w:t>
      </w:r>
      <w:r>
        <w:rPr>
          <w:color w:val="231F20"/>
          <w:spacing w:val="-52"/>
        </w:rPr>
        <w:t> </w:t>
      </w:r>
      <w:r>
        <w:rPr>
          <w:color w:val="231F20"/>
          <w:spacing w:val="-3"/>
        </w:rPr>
        <w:t>with</w:t>
      </w:r>
      <w:r>
        <w:rPr>
          <w:color w:val="231F20"/>
          <w:spacing w:val="-11"/>
        </w:rPr>
        <w:t> </w:t>
      </w:r>
      <w:r>
        <w:rPr>
          <w:color w:val="231F20"/>
          <w:spacing w:val="-3"/>
        </w:rPr>
        <w:t>mental</w:t>
      </w:r>
      <w:r>
        <w:rPr>
          <w:color w:val="231F20"/>
          <w:spacing w:val="-7"/>
        </w:rPr>
        <w:t> </w:t>
      </w:r>
      <w:r>
        <w:rPr>
          <w:color w:val="231F20"/>
          <w:spacing w:val="-3"/>
        </w:rPr>
        <w:t>illness</w:t>
      </w:r>
      <w:r>
        <w:rPr>
          <w:color w:val="231F20"/>
          <w:spacing w:val="-7"/>
        </w:rPr>
        <w:t> </w:t>
      </w:r>
      <w:r>
        <w:rPr>
          <w:color w:val="231F20"/>
          <w:spacing w:val="-2"/>
        </w:rPr>
        <w:t>and/or</w:t>
      </w:r>
      <w:r>
        <w:rPr>
          <w:color w:val="231F20"/>
          <w:spacing w:val="-6"/>
        </w:rPr>
        <w:t> </w:t>
      </w:r>
      <w:r>
        <w:rPr>
          <w:color w:val="231F20"/>
          <w:spacing w:val="-2"/>
        </w:rPr>
        <w:t>SUD</w:t>
      </w:r>
      <w:r>
        <w:rPr>
          <w:color w:val="231F20"/>
          <w:spacing w:val="-7"/>
        </w:rPr>
        <w:t> </w:t>
      </w:r>
      <w:r>
        <w:rPr>
          <w:color w:val="231F20"/>
          <w:spacing w:val="-2"/>
        </w:rPr>
        <w:t>with</w:t>
      </w:r>
      <w:r>
        <w:rPr>
          <w:color w:val="231F20"/>
          <w:spacing w:val="-11"/>
        </w:rPr>
        <w:t> </w:t>
      </w:r>
      <w:r>
        <w:rPr>
          <w:color w:val="231F20"/>
          <w:spacing w:val="-2"/>
        </w:rPr>
        <w:t>and</w:t>
      </w:r>
      <w:r>
        <w:rPr>
          <w:color w:val="231F20"/>
          <w:spacing w:val="-10"/>
        </w:rPr>
        <w:t> </w:t>
      </w:r>
      <w:r>
        <w:rPr>
          <w:color w:val="231F20"/>
          <w:spacing w:val="-2"/>
        </w:rPr>
        <w:t>at</w:t>
      </w:r>
      <w:r>
        <w:rPr>
          <w:color w:val="231F20"/>
          <w:spacing w:val="-11"/>
        </w:rPr>
        <w:t> </w:t>
      </w:r>
      <w:r>
        <w:rPr>
          <w:color w:val="231F20"/>
          <w:spacing w:val="-2"/>
        </w:rPr>
        <w:t>risk</w:t>
      </w:r>
      <w:r>
        <w:rPr>
          <w:color w:val="231F20"/>
          <w:spacing w:val="-10"/>
        </w:rPr>
        <w:t> </w:t>
      </w:r>
      <w:r>
        <w:rPr>
          <w:color w:val="231F20"/>
          <w:spacing w:val="-2"/>
        </w:rPr>
        <w:t>for</w:t>
      </w:r>
      <w:r>
        <w:rPr>
          <w:color w:val="231F20"/>
          <w:spacing w:val="-11"/>
        </w:rPr>
        <w:t> </w:t>
      </w:r>
      <w:r>
        <w:rPr>
          <w:color w:val="231F20"/>
          <w:spacing w:val="-2"/>
        </w:rPr>
        <w:t>HIV,</w:t>
      </w:r>
      <w:r>
        <w:rPr>
          <w:color w:val="231F20"/>
          <w:spacing w:val="-1"/>
        </w:rPr>
        <w:t> </w:t>
      </w:r>
      <w:r>
        <w:rPr>
          <w:color w:val="231F20"/>
        </w:rPr>
        <w:t>detailed</w:t>
      </w:r>
      <w:r>
        <w:rPr>
          <w:color w:val="231F20"/>
          <w:spacing w:val="-9"/>
        </w:rPr>
        <w:t> </w:t>
      </w:r>
      <w:r>
        <w:rPr>
          <w:color w:val="231F20"/>
        </w:rPr>
        <w:t>below:</w:t>
      </w:r>
    </w:p>
    <w:p>
      <w:pPr>
        <w:spacing w:after="0" w:line="266" w:lineRule="auto"/>
        <w:sectPr>
          <w:type w:val="continuous"/>
          <w:pgSz w:w="12240" w:h="15840"/>
          <w:pgMar w:header="0" w:footer="666" w:top="1500" w:bottom="0" w:left="560" w:right="0"/>
        </w:sectPr>
      </w:pPr>
    </w:p>
    <w:p>
      <w:pPr>
        <w:pStyle w:val="BodyText"/>
        <w:rPr>
          <w:sz w:val="20"/>
        </w:rPr>
      </w:pPr>
    </w:p>
    <w:p>
      <w:pPr>
        <w:pStyle w:val="BodyText"/>
        <w:rPr>
          <w:sz w:val="20"/>
        </w:rPr>
      </w:pPr>
    </w:p>
    <w:p>
      <w:pPr>
        <w:pStyle w:val="BodyText"/>
        <w:spacing w:before="7" w:after="1"/>
        <w:rPr>
          <w:sz w:val="19"/>
        </w:rPr>
      </w:pPr>
    </w:p>
    <w:tbl>
      <w:tblPr>
        <w:tblW w:w="0" w:type="auto"/>
        <w:jc w:val="left"/>
        <w:tblInd w:w="18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75"/>
        <w:gridCol w:w="9705"/>
      </w:tblGrid>
      <w:tr>
        <w:trPr>
          <w:trHeight w:val="1605" w:hRule="atLeast"/>
        </w:trPr>
        <w:tc>
          <w:tcPr>
            <w:tcW w:w="1075" w:type="dxa"/>
            <w:vMerge w:val="restart"/>
            <w:shd w:val="clear" w:color="auto" w:fill="CE384B"/>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21"/>
              </w:rPr>
            </w:pPr>
          </w:p>
          <w:p>
            <w:pPr>
              <w:pStyle w:val="TableParagraph"/>
              <w:ind w:left="148"/>
              <w:rPr>
                <w:rFonts w:ascii="Times New Roman"/>
                <w:sz w:val="20"/>
              </w:rPr>
            </w:pPr>
            <w:r>
              <w:rPr>
                <w:rFonts w:ascii="Times New Roman"/>
                <w:sz w:val="20"/>
              </w:rPr>
              <w:drawing>
                <wp:inline distT="0" distB="0" distL="0" distR="0">
                  <wp:extent cx="507111" cy="507110"/>
                  <wp:effectExtent l="0" t="0" r="0" b="0"/>
                  <wp:docPr id="47" name="image18.png"/>
                  <wp:cNvGraphicFramePr>
                    <a:graphicFrameLocks noChangeAspect="1"/>
                  </wp:cNvGraphicFramePr>
                  <a:graphic>
                    <a:graphicData uri="http://schemas.openxmlformats.org/drawingml/2006/picture">
                      <pic:pic>
                        <pic:nvPicPr>
                          <pic:cNvPr id="48" name="image18.png"/>
                          <pic:cNvPicPr/>
                        </pic:nvPicPr>
                        <pic:blipFill>
                          <a:blip r:embed="rId148" cstate="print"/>
                          <a:stretch>
                            <a:fillRect/>
                          </a:stretch>
                        </pic:blipFill>
                        <pic:spPr>
                          <a:xfrm>
                            <a:off x="0" y="0"/>
                            <a:ext cx="507111" cy="507110"/>
                          </a:xfrm>
                          <a:prstGeom prst="rect">
                            <a:avLst/>
                          </a:prstGeom>
                        </pic:spPr>
                      </pic:pic>
                    </a:graphicData>
                  </a:graphic>
                </wp:inline>
              </w:drawing>
            </w:r>
            <w:r>
              <w:rPr>
                <w:rFonts w:ascii="Times New Roman"/>
                <w:sz w:val="20"/>
              </w:rPr>
            </w:r>
          </w:p>
        </w:tc>
        <w:tc>
          <w:tcPr>
            <w:tcW w:w="9705" w:type="dxa"/>
            <w:shd w:val="clear" w:color="auto" w:fill="F7E4E6"/>
          </w:tcPr>
          <w:p>
            <w:pPr>
              <w:pStyle w:val="TableParagraph"/>
              <w:spacing w:before="28"/>
              <w:ind w:right="2236"/>
              <w:jc w:val="right"/>
              <w:rPr>
                <w:b/>
                <w:sz w:val="20"/>
              </w:rPr>
            </w:pPr>
            <w:bookmarkStart w:name="Cognitive Behavioral Skill Building Inte" w:id="61"/>
            <w:bookmarkEnd w:id="61"/>
            <w:r>
              <w:rPr/>
            </w:r>
            <w:bookmarkStart w:name="Cognitive Behavioral Therapy for Trauma " w:id="62"/>
            <w:bookmarkEnd w:id="62"/>
            <w:r>
              <w:rPr/>
            </w:r>
            <w:bookmarkStart w:name="Behavioral Activation for Methamphetamin" w:id="63"/>
            <w:bookmarkEnd w:id="63"/>
            <w:r>
              <w:rPr/>
            </w:r>
            <w:bookmarkStart w:name="Cognitive Behavioral Therapy for Social " w:id="64"/>
            <w:bookmarkEnd w:id="64"/>
            <w:r>
              <w:rPr/>
            </w:r>
            <w:bookmarkStart w:name="Cognitive Behavioral Therapy for HIV Med" w:id="65"/>
            <w:bookmarkEnd w:id="65"/>
            <w:r>
              <w:rPr/>
            </w:r>
            <w:bookmarkStart w:name="Outcomes Associated with CBT" w:id="66"/>
            <w:bookmarkEnd w:id="66"/>
            <w:r>
              <w:rPr/>
            </w:r>
            <w:r>
              <w:rPr>
                <w:b/>
                <w:color w:val="010202"/>
                <w:sz w:val="20"/>
              </w:rPr>
              <w:t>Cognitive</w:t>
            </w:r>
            <w:r>
              <w:rPr>
                <w:b/>
                <w:color w:val="010202"/>
                <w:spacing w:val="-6"/>
                <w:sz w:val="20"/>
              </w:rPr>
              <w:t> </w:t>
            </w:r>
            <w:r>
              <w:rPr>
                <w:b/>
                <w:color w:val="010202"/>
                <w:sz w:val="20"/>
              </w:rPr>
              <w:t>Behavioral</w:t>
            </w:r>
            <w:r>
              <w:rPr>
                <w:b/>
                <w:color w:val="010202"/>
                <w:spacing w:val="-6"/>
                <w:sz w:val="20"/>
              </w:rPr>
              <w:t> </w:t>
            </w:r>
            <w:r>
              <w:rPr>
                <w:b/>
                <w:color w:val="010202"/>
                <w:sz w:val="20"/>
              </w:rPr>
              <w:t>Skill</w:t>
            </w:r>
            <w:r>
              <w:rPr>
                <w:b/>
                <w:color w:val="010202"/>
                <w:spacing w:val="-5"/>
                <w:sz w:val="20"/>
              </w:rPr>
              <w:t> </w:t>
            </w:r>
            <w:r>
              <w:rPr>
                <w:b/>
                <w:color w:val="010202"/>
                <w:sz w:val="20"/>
              </w:rPr>
              <w:t>Building</w:t>
            </w:r>
            <w:r>
              <w:rPr>
                <w:b/>
                <w:color w:val="010202"/>
                <w:spacing w:val="-6"/>
                <w:sz w:val="20"/>
              </w:rPr>
              <w:t> </w:t>
            </w:r>
            <w:r>
              <w:rPr>
                <w:b/>
                <w:color w:val="010202"/>
                <w:sz w:val="20"/>
              </w:rPr>
              <w:t>Intervention</w:t>
            </w:r>
            <w:r>
              <w:rPr>
                <w:b/>
                <w:color w:val="010202"/>
                <w:spacing w:val="-4"/>
                <w:sz w:val="20"/>
              </w:rPr>
              <w:t> </w:t>
            </w:r>
            <w:r>
              <w:rPr>
                <w:b/>
                <w:color w:val="010202"/>
                <w:sz w:val="20"/>
              </w:rPr>
              <w:t>(E-CB)</w:t>
            </w:r>
          </w:p>
          <w:p>
            <w:pPr>
              <w:pStyle w:val="TableParagraph"/>
              <w:spacing w:before="170"/>
              <w:ind w:right="2264"/>
              <w:jc w:val="right"/>
              <w:rPr>
                <w:sz w:val="20"/>
              </w:rPr>
            </w:pPr>
            <w:r>
              <w:rPr>
                <w:color w:val="231F20"/>
                <w:sz w:val="20"/>
              </w:rPr>
              <w:t>E-CB</w:t>
            </w:r>
            <w:r>
              <w:rPr>
                <w:color w:val="231F20"/>
                <w:spacing w:val="-2"/>
                <w:sz w:val="20"/>
              </w:rPr>
              <w:t> </w:t>
            </w:r>
            <w:r>
              <w:rPr>
                <w:color w:val="231F20"/>
                <w:sz w:val="20"/>
              </w:rPr>
              <w:t>facilitates</w:t>
            </w:r>
            <w:r>
              <w:rPr>
                <w:color w:val="231F20"/>
                <w:spacing w:val="-1"/>
                <w:sz w:val="20"/>
              </w:rPr>
              <w:t> </w:t>
            </w:r>
            <w:r>
              <w:rPr>
                <w:color w:val="231F20"/>
                <w:sz w:val="20"/>
              </w:rPr>
              <w:t>HIV</w:t>
            </w:r>
            <w:r>
              <w:rPr>
                <w:color w:val="231F20"/>
                <w:spacing w:val="-2"/>
                <w:sz w:val="20"/>
              </w:rPr>
              <w:t> </w:t>
            </w:r>
            <w:r>
              <w:rPr>
                <w:color w:val="231F20"/>
                <w:sz w:val="20"/>
              </w:rPr>
              <w:t>prevention</w:t>
            </w:r>
            <w:r>
              <w:rPr>
                <w:color w:val="231F20"/>
                <w:spacing w:val="-2"/>
                <w:sz w:val="20"/>
              </w:rPr>
              <w:t> </w:t>
            </w:r>
            <w:r>
              <w:rPr>
                <w:color w:val="231F20"/>
                <w:sz w:val="20"/>
              </w:rPr>
              <w:t>through</w:t>
            </w:r>
            <w:r>
              <w:rPr>
                <w:color w:val="231F20"/>
                <w:spacing w:val="-1"/>
                <w:sz w:val="20"/>
              </w:rPr>
              <w:t> </w:t>
            </w:r>
            <w:r>
              <w:rPr>
                <w:color w:val="231F20"/>
                <w:sz w:val="20"/>
              </w:rPr>
              <w:t>structured</w:t>
            </w:r>
            <w:r>
              <w:rPr>
                <w:color w:val="231F20"/>
                <w:spacing w:val="-2"/>
                <w:sz w:val="20"/>
              </w:rPr>
              <w:t> </w:t>
            </w:r>
            <w:r>
              <w:rPr>
                <w:color w:val="231F20"/>
                <w:sz w:val="20"/>
              </w:rPr>
              <w:t>sessions</w:t>
            </w:r>
            <w:r>
              <w:rPr>
                <w:color w:val="231F20"/>
                <w:spacing w:val="-1"/>
                <w:sz w:val="20"/>
              </w:rPr>
              <w:t> </w:t>
            </w:r>
            <w:r>
              <w:rPr>
                <w:color w:val="231F20"/>
                <w:sz w:val="20"/>
              </w:rPr>
              <w:t>on</w:t>
            </w:r>
            <w:r>
              <w:rPr>
                <w:color w:val="231F20"/>
                <w:spacing w:val="-2"/>
                <w:sz w:val="20"/>
              </w:rPr>
              <w:t> </w:t>
            </w:r>
            <w:r>
              <w:rPr>
                <w:color w:val="231F20"/>
                <w:sz w:val="20"/>
              </w:rPr>
              <w:t>the</w:t>
            </w:r>
            <w:r>
              <w:rPr>
                <w:color w:val="231F20"/>
                <w:spacing w:val="-1"/>
                <w:sz w:val="20"/>
              </w:rPr>
              <w:t> </w:t>
            </w:r>
            <w:r>
              <w:rPr>
                <w:color w:val="231F20"/>
                <w:sz w:val="20"/>
              </w:rPr>
              <w:t>following</w:t>
            </w:r>
            <w:r>
              <w:rPr>
                <w:color w:val="231F20"/>
                <w:spacing w:val="-1"/>
                <w:sz w:val="20"/>
              </w:rPr>
              <w:t> </w:t>
            </w:r>
            <w:r>
              <w:rPr>
                <w:color w:val="231F20"/>
                <w:sz w:val="20"/>
              </w:rPr>
              <w:t>topics:</w:t>
            </w:r>
          </w:p>
          <w:p>
            <w:pPr>
              <w:pStyle w:val="TableParagraph"/>
              <w:numPr>
                <w:ilvl w:val="0"/>
                <w:numId w:val="11"/>
              </w:numPr>
              <w:tabs>
                <w:tab w:pos="439" w:val="left" w:leader="none"/>
                <w:tab w:pos="441" w:val="left" w:leader="none"/>
              </w:tabs>
              <w:spacing w:line="247" w:lineRule="auto" w:before="196" w:after="0"/>
              <w:ind w:left="440" w:right="737" w:hanging="360"/>
              <w:jc w:val="left"/>
              <w:rPr>
                <w:sz w:val="20"/>
              </w:rPr>
            </w:pPr>
            <w:r>
              <w:rPr>
                <w:color w:val="231F20"/>
                <w:sz w:val="20"/>
              </w:rPr>
              <w:t>HIV</w:t>
            </w:r>
            <w:r>
              <w:rPr>
                <w:color w:val="231F20"/>
                <w:spacing w:val="-7"/>
                <w:sz w:val="20"/>
              </w:rPr>
              <w:t> </w:t>
            </w:r>
            <w:r>
              <w:rPr>
                <w:color w:val="231F20"/>
                <w:sz w:val="20"/>
              </w:rPr>
              <w:t>education,</w:t>
            </w:r>
            <w:r>
              <w:rPr>
                <w:color w:val="231F20"/>
                <w:spacing w:val="-6"/>
                <w:sz w:val="20"/>
              </w:rPr>
              <w:t> </w:t>
            </w:r>
            <w:r>
              <w:rPr>
                <w:color w:val="231F20"/>
                <w:sz w:val="20"/>
              </w:rPr>
              <w:t>including</w:t>
            </w:r>
            <w:r>
              <w:rPr>
                <w:color w:val="231F20"/>
                <w:spacing w:val="-6"/>
                <w:sz w:val="20"/>
              </w:rPr>
              <w:t> </w:t>
            </w:r>
            <w:r>
              <w:rPr>
                <w:color w:val="231F20"/>
                <w:sz w:val="20"/>
              </w:rPr>
              <w:t>personalizing</w:t>
            </w:r>
            <w:r>
              <w:rPr>
                <w:color w:val="231F20"/>
                <w:spacing w:val="-7"/>
                <w:sz w:val="20"/>
              </w:rPr>
              <w:t> </w:t>
            </w:r>
            <w:r>
              <w:rPr>
                <w:color w:val="231F20"/>
                <w:sz w:val="20"/>
              </w:rPr>
              <w:t>risk</w:t>
            </w:r>
            <w:r>
              <w:rPr>
                <w:color w:val="231F20"/>
                <w:spacing w:val="-5"/>
                <w:sz w:val="20"/>
              </w:rPr>
              <w:t> </w:t>
            </w:r>
            <w:r>
              <w:rPr>
                <w:color w:val="231F20"/>
                <w:sz w:val="20"/>
              </w:rPr>
              <w:t>of</w:t>
            </w:r>
            <w:r>
              <w:rPr>
                <w:color w:val="231F20"/>
                <w:spacing w:val="-6"/>
                <w:sz w:val="20"/>
              </w:rPr>
              <w:t> </w:t>
            </w:r>
            <w:r>
              <w:rPr>
                <w:color w:val="231F20"/>
                <w:sz w:val="20"/>
              </w:rPr>
              <w:t>getting</w:t>
            </w:r>
            <w:r>
              <w:rPr>
                <w:color w:val="231F20"/>
                <w:spacing w:val="-6"/>
                <w:sz w:val="20"/>
              </w:rPr>
              <w:t> </w:t>
            </w:r>
            <w:r>
              <w:rPr>
                <w:color w:val="231F20"/>
                <w:sz w:val="20"/>
              </w:rPr>
              <w:t>HIV,</w:t>
            </w:r>
            <w:r>
              <w:rPr>
                <w:color w:val="231F20"/>
                <w:spacing w:val="-6"/>
                <w:sz w:val="20"/>
              </w:rPr>
              <w:t> </w:t>
            </w:r>
            <w:r>
              <w:rPr>
                <w:color w:val="231F20"/>
                <w:sz w:val="20"/>
              </w:rPr>
              <w:t>condom</w:t>
            </w:r>
            <w:r>
              <w:rPr>
                <w:color w:val="231F20"/>
                <w:spacing w:val="-5"/>
                <w:sz w:val="20"/>
              </w:rPr>
              <w:t> </w:t>
            </w:r>
            <w:r>
              <w:rPr>
                <w:color w:val="231F20"/>
                <w:sz w:val="20"/>
              </w:rPr>
              <w:t>use</w:t>
            </w:r>
            <w:r>
              <w:rPr>
                <w:color w:val="231F20"/>
                <w:spacing w:val="-6"/>
                <w:sz w:val="20"/>
              </w:rPr>
              <w:t> </w:t>
            </w:r>
            <w:r>
              <w:rPr>
                <w:color w:val="231F20"/>
                <w:sz w:val="20"/>
              </w:rPr>
              <w:t>and</w:t>
            </w:r>
            <w:r>
              <w:rPr>
                <w:color w:val="231F20"/>
                <w:spacing w:val="-7"/>
                <w:sz w:val="20"/>
              </w:rPr>
              <w:t> </w:t>
            </w:r>
            <w:r>
              <w:rPr>
                <w:color w:val="231F20"/>
                <w:sz w:val="20"/>
              </w:rPr>
              <w:t>negotiation</w:t>
            </w:r>
            <w:r>
              <w:rPr>
                <w:color w:val="231F20"/>
                <w:spacing w:val="-6"/>
                <w:sz w:val="20"/>
              </w:rPr>
              <w:t> </w:t>
            </w:r>
            <w:r>
              <w:rPr>
                <w:color w:val="231F20"/>
                <w:sz w:val="20"/>
              </w:rPr>
              <w:t>skills</w:t>
            </w:r>
            <w:r>
              <w:rPr>
                <w:color w:val="231F20"/>
                <w:spacing w:val="-5"/>
                <w:sz w:val="20"/>
              </w:rPr>
              <w:t> </w:t>
            </w:r>
            <w:r>
              <w:rPr>
                <w:color w:val="231F20"/>
                <w:sz w:val="20"/>
              </w:rPr>
              <w:t>and</w:t>
            </w:r>
            <w:r>
              <w:rPr>
                <w:color w:val="231F20"/>
                <w:spacing w:val="1"/>
                <w:sz w:val="20"/>
              </w:rPr>
              <w:t> </w:t>
            </w:r>
            <w:r>
              <w:rPr>
                <w:color w:val="231F20"/>
                <w:sz w:val="20"/>
              </w:rPr>
              <w:t>identifying</w:t>
            </w:r>
            <w:r>
              <w:rPr>
                <w:color w:val="231F20"/>
                <w:spacing w:val="-2"/>
                <w:sz w:val="20"/>
              </w:rPr>
              <w:t> </w:t>
            </w:r>
            <w:r>
              <w:rPr>
                <w:color w:val="231F20"/>
                <w:sz w:val="20"/>
              </w:rPr>
              <w:t>situations with</w:t>
            </w:r>
            <w:r>
              <w:rPr>
                <w:color w:val="231F20"/>
                <w:spacing w:val="-2"/>
                <w:sz w:val="20"/>
              </w:rPr>
              <w:t> </w:t>
            </w:r>
            <w:r>
              <w:rPr>
                <w:color w:val="231F20"/>
                <w:sz w:val="20"/>
              </w:rPr>
              <w:t>increased</w:t>
            </w:r>
            <w:r>
              <w:rPr>
                <w:color w:val="231F20"/>
                <w:spacing w:val="-1"/>
                <w:sz w:val="20"/>
              </w:rPr>
              <w:t> </w:t>
            </w:r>
            <w:r>
              <w:rPr>
                <w:color w:val="231F20"/>
                <w:sz w:val="20"/>
              </w:rPr>
              <w:t>risk</w:t>
            </w:r>
            <w:r>
              <w:rPr>
                <w:color w:val="231F20"/>
                <w:spacing w:val="-1"/>
                <w:sz w:val="20"/>
              </w:rPr>
              <w:t> </w:t>
            </w:r>
            <w:r>
              <w:rPr>
                <w:color w:val="231F20"/>
                <w:sz w:val="20"/>
              </w:rPr>
              <w:t>of</w:t>
            </w:r>
            <w:r>
              <w:rPr>
                <w:color w:val="231F20"/>
                <w:spacing w:val="-1"/>
                <w:sz w:val="20"/>
              </w:rPr>
              <w:t> </w:t>
            </w:r>
            <w:r>
              <w:rPr>
                <w:color w:val="231F20"/>
                <w:sz w:val="20"/>
              </w:rPr>
              <w:t>getting</w:t>
            </w:r>
            <w:r>
              <w:rPr>
                <w:color w:val="231F20"/>
                <w:spacing w:val="-1"/>
                <w:sz w:val="20"/>
              </w:rPr>
              <w:t> </w:t>
            </w:r>
            <w:r>
              <w:rPr>
                <w:color w:val="231F20"/>
                <w:sz w:val="20"/>
              </w:rPr>
              <w:t>HIV</w:t>
            </w:r>
          </w:p>
          <w:p>
            <w:pPr>
              <w:pStyle w:val="TableParagraph"/>
              <w:numPr>
                <w:ilvl w:val="0"/>
                <w:numId w:val="11"/>
              </w:numPr>
              <w:tabs>
                <w:tab w:pos="439" w:val="left" w:leader="none"/>
                <w:tab w:pos="441" w:val="left" w:leader="none"/>
              </w:tabs>
              <w:spacing w:line="236" w:lineRule="exact" w:before="0" w:after="0"/>
              <w:ind w:left="440" w:right="0" w:hanging="361"/>
              <w:jc w:val="left"/>
              <w:rPr>
                <w:sz w:val="11"/>
              </w:rPr>
            </w:pPr>
            <w:r>
              <w:rPr>
                <w:color w:val="231F20"/>
                <w:sz w:val="20"/>
              </w:rPr>
              <w:t>developing</w:t>
            </w:r>
            <w:r>
              <w:rPr>
                <w:color w:val="231F20"/>
                <w:spacing w:val="-6"/>
                <w:sz w:val="20"/>
              </w:rPr>
              <w:t> </w:t>
            </w:r>
            <w:r>
              <w:rPr>
                <w:color w:val="231F20"/>
                <w:sz w:val="20"/>
              </w:rPr>
              <w:t>and</w:t>
            </w:r>
            <w:r>
              <w:rPr>
                <w:color w:val="231F20"/>
                <w:spacing w:val="-5"/>
                <w:sz w:val="20"/>
              </w:rPr>
              <w:t> </w:t>
            </w:r>
            <w:r>
              <w:rPr>
                <w:color w:val="231F20"/>
                <w:sz w:val="20"/>
              </w:rPr>
              <w:t>practicing</w:t>
            </w:r>
            <w:r>
              <w:rPr>
                <w:color w:val="231F20"/>
                <w:spacing w:val="-5"/>
                <w:sz w:val="20"/>
              </w:rPr>
              <w:t> </w:t>
            </w:r>
            <w:r>
              <w:rPr>
                <w:color w:val="231F20"/>
                <w:sz w:val="20"/>
              </w:rPr>
              <w:t>problem</w:t>
            </w:r>
            <w:r>
              <w:rPr>
                <w:color w:val="231F20"/>
                <w:spacing w:val="-5"/>
                <w:sz w:val="20"/>
              </w:rPr>
              <w:t> </w:t>
            </w:r>
            <w:r>
              <w:rPr>
                <w:color w:val="231F20"/>
                <w:sz w:val="20"/>
              </w:rPr>
              <w:t>solving,</w:t>
            </w:r>
            <w:r>
              <w:rPr>
                <w:color w:val="231F20"/>
                <w:spacing w:val="-5"/>
                <w:sz w:val="20"/>
              </w:rPr>
              <w:t> </w:t>
            </w:r>
            <w:r>
              <w:rPr>
                <w:color w:val="231F20"/>
                <w:sz w:val="20"/>
              </w:rPr>
              <w:t>assertiveness,</w:t>
            </w:r>
            <w:r>
              <w:rPr>
                <w:color w:val="231F20"/>
                <w:spacing w:val="-5"/>
                <w:sz w:val="20"/>
              </w:rPr>
              <w:t> </w:t>
            </w:r>
            <w:r>
              <w:rPr>
                <w:color w:val="231F20"/>
                <w:sz w:val="20"/>
              </w:rPr>
              <w:t>and</w:t>
            </w:r>
            <w:r>
              <w:rPr>
                <w:color w:val="231F20"/>
                <w:spacing w:val="-5"/>
                <w:sz w:val="20"/>
              </w:rPr>
              <w:t> </w:t>
            </w:r>
            <w:r>
              <w:rPr>
                <w:color w:val="231F20"/>
                <w:sz w:val="20"/>
              </w:rPr>
              <w:t>communication</w:t>
            </w:r>
            <w:r>
              <w:rPr>
                <w:color w:val="231F20"/>
                <w:spacing w:val="-5"/>
                <w:sz w:val="20"/>
              </w:rPr>
              <w:t> </w:t>
            </w:r>
            <w:r>
              <w:rPr>
                <w:color w:val="231F20"/>
                <w:sz w:val="20"/>
              </w:rPr>
              <w:t>training</w:t>
            </w:r>
            <w:r>
              <w:rPr>
                <w:color w:val="231F20"/>
                <w:spacing w:val="-4"/>
                <w:sz w:val="20"/>
              </w:rPr>
              <w:t> </w:t>
            </w:r>
            <w:r>
              <w:rPr>
                <w:color w:val="231F20"/>
                <w:sz w:val="20"/>
              </w:rPr>
              <w:t>approaches.</w:t>
            </w:r>
            <w:r>
              <w:rPr>
                <w:color w:val="231F20"/>
                <w:position w:val="7"/>
                <w:sz w:val="11"/>
              </w:rPr>
              <w:t>57</w:t>
            </w:r>
          </w:p>
        </w:tc>
      </w:tr>
      <w:tr>
        <w:trPr>
          <w:trHeight w:val="1405" w:hRule="atLeast"/>
        </w:trPr>
        <w:tc>
          <w:tcPr>
            <w:tcW w:w="1075" w:type="dxa"/>
            <w:vMerge/>
            <w:tcBorders>
              <w:top w:val="nil"/>
            </w:tcBorders>
            <w:shd w:val="clear" w:color="auto" w:fill="CE384B"/>
          </w:tcPr>
          <w:p>
            <w:pPr>
              <w:rPr>
                <w:sz w:val="2"/>
                <w:szCs w:val="2"/>
              </w:rPr>
            </w:pPr>
          </w:p>
        </w:tc>
        <w:tc>
          <w:tcPr>
            <w:tcW w:w="9705" w:type="dxa"/>
            <w:shd w:val="clear" w:color="auto" w:fill="F7E4E6"/>
          </w:tcPr>
          <w:p>
            <w:pPr>
              <w:pStyle w:val="TableParagraph"/>
              <w:spacing w:before="28"/>
              <w:ind w:left="1211" w:right="1197"/>
              <w:jc w:val="center"/>
              <w:rPr>
                <w:b/>
                <w:sz w:val="20"/>
              </w:rPr>
            </w:pPr>
            <w:r>
              <w:rPr>
                <w:b/>
                <w:color w:val="010202"/>
                <w:spacing w:val="-4"/>
                <w:sz w:val="20"/>
              </w:rPr>
              <w:t>Cognitive</w:t>
            </w:r>
            <w:r>
              <w:rPr>
                <w:b/>
                <w:color w:val="010202"/>
                <w:spacing w:val="-10"/>
                <w:sz w:val="20"/>
              </w:rPr>
              <w:t> </w:t>
            </w:r>
            <w:r>
              <w:rPr>
                <w:b/>
                <w:color w:val="010202"/>
                <w:spacing w:val="-4"/>
                <w:sz w:val="20"/>
              </w:rPr>
              <w:t>Behavioral</w:t>
            </w:r>
            <w:r>
              <w:rPr>
                <w:b/>
                <w:color w:val="010202"/>
                <w:spacing w:val="-10"/>
                <w:sz w:val="20"/>
              </w:rPr>
              <w:t> </w:t>
            </w:r>
            <w:r>
              <w:rPr>
                <w:b/>
                <w:color w:val="010202"/>
                <w:spacing w:val="-4"/>
                <w:sz w:val="20"/>
              </w:rPr>
              <w:t>Therapy</w:t>
            </w:r>
            <w:r>
              <w:rPr>
                <w:b/>
                <w:color w:val="010202"/>
                <w:spacing w:val="-9"/>
                <w:sz w:val="20"/>
              </w:rPr>
              <w:t> </w:t>
            </w:r>
            <w:r>
              <w:rPr>
                <w:b/>
                <w:color w:val="010202"/>
                <w:spacing w:val="-4"/>
                <w:sz w:val="20"/>
              </w:rPr>
              <w:t>for</w:t>
            </w:r>
            <w:r>
              <w:rPr>
                <w:b/>
                <w:color w:val="010202"/>
                <w:spacing w:val="-9"/>
                <w:sz w:val="20"/>
              </w:rPr>
              <w:t> </w:t>
            </w:r>
            <w:r>
              <w:rPr>
                <w:b/>
                <w:color w:val="010202"/>
                <w:spacing w:val="-4"/>
                <w:sz w:val="20"/>
              </w:rPr>
              <w:t>Trauma</w:t>
            </w:r>
            <w:r>
              <w:rPr>
                <w:b/>
                <w:color w:val="010202"/>
                <w:spacing w:val="-10"/>
                <w:sz w:val="20"/>
              </w:rPr>
              <w:t> </w:t>
            </w:r>
            <w:r>
              <w:rPr>
                <w:b/>
                <w:color w:val="010202"/>
                <w:spacing w:val="-4"/>
                <w:sz w:val="20"/>
              </w:rPr>
              <w:t>and</w:t>
            </w:r>
            <w:r>
              <w:rPr>
                <w:b/>
                <w:color w:val="010202"/>
                <w:spacing w:val="-10"/>
                <w:sz w:val="20"/>
              </w:rPr>
              <w:t> </w:t>
            </w:r>
            <w:r>
              <w:rPr>
                <w:b/>
                <w:color w:val="010202"/>
                <w:spacing w:val="-4"/>
                <w:sz w:val="20"/>
              </w:rPr>
              <w:t>Self</w:t>
            </w:r>
            <w:r>
              <w:rPr>
                <w:b/>
                <w:color w:val="010202"/>
                <w:spacing w:val="-9"/>
                <w:sz w:val="20"/>
              </w:rPr>
              <w:t> </w:t>
            </w:r>
            <w:r>
              <w:rPr>
                <w:b/>
                <w:color w:val="010202"/>
                <w:spacing w:val="-4"/>
                <w:sz w:val="20"/>
              </w:rPr>
              <w:t>Care</w:t>
            </w:r>
            <w:r>
              <w:rPr>
                <w:b/>
                <w:color w:val="010202"/>
                <w:spacing w:val="-9"/>
                <w:sz w:val="20"/>
              </w:rPr>
              <w:t> </w:t>
            </w:r>
            <w:r>
              <w:rPr>
                <w:b/>
                <w:color w:val="010202"/>
                <w:spacing w:val="-4"/>
                <w:sz w:val="20"/>
              </w:rPr>
              <w:t>(Project</w:t>
            </w:r>
            <w:r>
              <w:rPr>
                <w:b/>
                <w:color w:val="010202"/>
                <w:spacing w:val="-9"/>
                <w:sz w:val="20"/>
              </w:rPr>
              <w:t> </w:t>
            </w:r>
            <w:r>
              <w:rPr>
                <w:b/>
                <w:color w:val="010202"/>
                <w:spacing w:val="-3"/>
                <w:sz w:val="20"/>
              </w:rPr>
              <w:t>Thrive)</w:t>
            </w:r>
          </w:p>
          <w:p>
            <w:pPr>
              <w:pStyle w:val="TableParagraph"/>
              <w:spacing w:line="249" w:lineRule="auto" w:before="170"/>
              <w:ind w:left="80" w:right="246"/>
              <w:rPr>
                <w:sz w:val="11"/>
              </w:rPr>
            </w:pPr>
            <w:r>
              <w:rPr>
                <w:color w:val="231F20"/>
                <w:sz w:val="20"/>
              </w:rPr>
              <w:t>Project</w:t>
            </w:r>
            <w:r>
              <w:rPr>
                <w:color w:val="231F20"/>
                <w:spacing w:val="-7"/>
                <w:sz w:val="20"/>
              </w:rPr>
              <w:t> </w:t>
            </w:r>
            <w:r>
              <w:rPr>
                <w:color w:val="231F20"/>
                <w:sz w:val="20"/>
              </w:rPr>
              <w:t>Thrive</w:t>
            </w:r>
            <w:r>
              <w:rPr>
                <w:color w:val="231F20"/>
                <w:spacing w:val="-3"/>
                <w:sz w:val="20"/>
              </w:rPr>
              <w:t> </w:t>
            </w:r>
            <w:r>
              <w:rPr>
                <w:color w:val="231F20"/>
                <w:sz w:val="20"/>
              </w:rPr>
              <w:t>addresses</w:t>
            </w:r>
            <w:r>
              <w:rPr>
                <w:color w:val="231F20"/>
                <w:spacing w:val="-4"/>
                <w:sz w:val="20"/>
              </w:rPr>
              <w:t> </w:t>
            </w:r>
            <w:r>
              <w:rPr>
                <w:color w:val="231F20"/>
                <w:sz w:val="20"/>
              </w:rPr>
              <w:t>posttraumatic</w:t>
            </w:r>
            <w:r>
              <w:rPr>
                <w:color w:val="231F20"/>
                <w:spacing w:val="-3"/>
                <w:sz w:val="20"/>
              </w:rPr>
              <w:t> </w:t>
            </w:r>
            <w:r>
              <w:rPr>
                <w:color w:val="231F20"/>
                <w:sz w:val="20"/>
              </w:rPr>
              <w:t>stress</w:t>
            </w:r>
            <w:r>
              <w:rPr>
                <w:color w:val="231F20"/>
                <w:spacing w:val="-3"/>
                <w:sz w:val="20"/>
              </w:rPr>
              <w:t> </w:t>
            </w:r>
            <w:r>
              <w:rPr>
                <w:color w:val="231F20"/>
                <w:sz w:val="20"/>
              </w:rPr>
              <w:t>responses</w:t>
            </w:r>
            <w:r>
              <w:rPr>
                <w:color w:val="231F20"/>
                <w:spacing w:val="-3"/>
                <w:sz w:val="20"/>
              </w:rPr>
              <w:t> </w:t>
            </w:r>
            <w:r>
              <w:rPr>
                <w:color w:val="231F20"/>
                <w:sz w:val="20"/>
              </w:rPr>
              <w:t>in</w:t>
            </w:r>
            <w:r>
              <w:rPr>
                <w:color w:val="231F20"/>
                <w:spacing w:val="-4"/>
                <w:sz w:val="20"/>
              </w:rPr>
              <w:t> </w:t>
            </w:r>
            <w:r>
              <w:rPr>
                <w:color w:val="231F20"/>
                <w:sz w:val="20"/>
              </w:rPr>
              <w:t>MSM</w:t>
            </w:r>
            <w:r>
              <w:rPr>
                <w:color w:val="231F20"/>
                <w:spacing w:val="-2"/>
                <w:sz w:val="20"/>
              </w:rPr>
              <w:t> </w:t>
            </w:r>
            <w:r>
              <w:rPr>
                <w:color w:val="231F20"/>
                <w:sz w:val="20"/>
              </w:rPr>
              <w:t>with</w:t>
            </w:r>
            <w:r>
              <w:rPr>
                <w:color w:val="231F20"/>
                <w:spacing w:val="-4"/>
                <w:sz w:val="20"/>
              </w:rPr>
              <w:t> </w:t>
            </w:r>
            <w:r>
              <w:rPr>
                <w:color w:val="231F20"/>
                <w:sz w:val="20"/>
              </w:rPr>
              <w:t>histories</w:t>
            </w:r>
            <w:r>
              <w:rPr>
                <w:color w:val="231F20"/>
                <w:spacing w:val="-4"/>
                <w:sz w:val="20"/>
              </w:rPr>
              <w:t> </w:t>
            </w:r>
            <w:r>
              <w:rPr>
                <w:color w:val="231F20"/>
                <w:sz w:val="20"/>
              </w:rPr>
              <w:t>of</w:t>
            </w:r>
            <w:r>
              <w:rPr>
                <w:color w:val="231F20"/>
                <w:spacing w:val="-4"/>
                <w:sz w:val="20"/>
              </w:rPr>
              <w:t> </w:t>
            </w:r>
            <w:r>
              <w:rPr>
                <w:color w:val="231F20"/>
                <w:sz w:val="20"/>
              </w:rPr>
              <w:t>childhood</w:t>
            </w:r>
            <w:r>
              <w:rPr>
                <w:color w:val="231F20"/>
                <w:spacing w:val="-2"/>
                <w:sz w:val="20"/>
              </w:rPr>
              <w:t> </w:t>
            </w:r>
            <w:r>
              <w:rPr>
                <w:color w:val="231F20"/>
                <w:sz w:val="20"/>
              </w:rPr>
              <w:t>sexual</w:t>
            </w:r>
            <w:r>
              <w:rPr>
                <w:color w:val="231F20"/>
                <w:spacing w:val="-3"/>
                <w:sz w:val="20"/>
              </w:rPr>
              <w:t> </w:t>
            </w:r>
            <w:r>
              <w:rPr>
                <w:color w:val="231F20"/>
                <w:sz w:val="20"/>
              </w:rPr>
              <w:t>abuse</w:t>
            </w:r>
            <w:r>
              <w:rPr>
                <w:color w:val="231F20"/>
                <w:spacing w:val="-53"/>
                <w:sz w:val="20"/>
              </w:rPr>
              <w:t> </w:t>
            </w:r>
            <w:r>
              <w:rPr>
                <w:color w:val="231F20"/>
                <w:sz w:val="20"/>
              </w:rPr>
              <w:t>who are at increased risk for HIV. This individual therapy model integrates counseling for sexual health</w:t>
            </w:r>
            <w:r>
              <w:rPr>
                <w:color w:val="231F20"/>
                <w:spacing w:val="1"/>
                <w:sz w:val="20"/>
              </w:rPr>
              <w:t> </w:t>
            </w:r>
            <w:r>
              <w:rPr>
                <w:color w:val="231F20"/>
                <w:sz w:val="20"/>
              </w:rPr>
              <w:t>with cognitive and behavioral strategies as a feasible and acceptable treatment among MSM to effectively</w:t>
            </w:r>
            <w:r>
              <w:rPr>
                <w:color w:val="231F20"/>
                <w:spacing w:val="-53"/>
                <w:sz w:val="20"/>
              </w:rPr>
              <w:t> </w:t>
            </w:r>
            <w:r>
              <w:rPr>
                <w:color w:val="231F20"/>
                <w:sz w:val="20"/>
              </w:rPr>
              <w:t>reduce</w:t>
            </w:r>
            <w:r>
              <w:rPr>
                <w:color w:val="231F20"/>
                <w:spacing w:val="-2"/>
                <w:sz w:val="20"/>
              </w:rPr>
              <w:t> </w:t>
            </w:r>
            <w:r>
              <w:rPr>
                <w:color w:val="231F20"/>
                <w:sz w:val="20"/>
              </w:rPr>
              <w:t>sexual</w:t>
            </w:r>
            <w:r>
              <w:rPr>
                <w:color w:val="231F20"/>
                <w:spacing w:val="-2"/>
                <w:sz w:val="20"/>
              </w:rPr>
              <w:t> </w:t>
            </w:r>
            <w:r>
              <w:rPr>
                <w:color w:val="231F20"/>
                <w:sz w:val="20"/>
              </w:rPr>
              <w:t>risk</w:t>
            </w:r>
            <w:r>
              <w:rPr>
                <w:color w:val="231F20"/>
                <w:spacing w:val="-1"/>
                <w:sz w:val="20"/>
              </w:rPr>
              <w:t> </w:t>
            </w:r>
            <w:r>
              <w:rPr>
                <w:color w:val="231F20"/>
                <w:sz w:val="20"/>
              </w:rPr>
              <w:t>for</w:t>
            </w:r>
            <w:r>
              <w:rPr>
                <w:color w:val="231F20"/>
                <w:spacing w:val="-2"/>
                <w:sz w:val="20"/>
              </w:rPr>
              <w:t> </w:t>
            </w:r>
            <w:r>
              <w:rPr>
                <w:color w:val="231F20"/>
                <w:sz w:val="20"/>
              </w:rPr>
              <w:t>HIV</w:t>
            </w:r>
            <w:r>
              <w:rPr>
                <w:color w:val="231F20"/>
                <w:spacing w:val="-3"/>
                <w:sz w:val="20"/>
              </w:rPr>
              <w:t> </w:t>
            </w:r>
            <w:r>
              <w:rPr>
                <w:color w:val="231F20"/>
                <w:sz w:val="20"/>
              </w:rPr>
              <w:t>and</w:t>
            </w:r>
            <w:r>
              <w:rPr>
                <w:color w:val="231F20"/>
                <w:spacing w:val="-2"/>
                <w:sz w:val="20"/>
              </w:rPr>
              <w:t> </w:t>
            </w:r>
            <w:r>
              <w:rPr>
                <w:color w:val="231F20"/>
                <w:sz w:val="20"/>
              </w:rPr>
              <w:t>decrease</w:t>
            </w:r>
            <w:r>
              <w:rPr>
                <w:color w:val="231F20"/>
                <w:spacing w:val="-3"/>
                <w:sz w:val="20"/>
              </w:rPr>
              <w:t> </w:t>
            </w:r>
            <w:r>
              <w:rPr>
                <w:color w:val="231F20"/>
                <w:sz w:val="20"/>
              </w:rPr>
              <w:t>post-traumatic</w:t>
            </w:r>
            <w:r>
              <w:rPr>
                <w:color w:val="231F20"/>
                <w:spacing w:val="-2"/>
                <w:sz w:val="20"/>
              </w:rPr>
              <w:t> </w:t>
            </w:r>
            <w:r>
              <w:rPr>
                <w:color w:val="231F20"/>
                <w:sz w:val="20"/>
              </w:rPr>
              <w:t>stress</w:t>
            </w:r>
            <w:r>
              <w:rPr>
                <w:color w:val="231F20"/>
                <w:spacing w:val="-2"/>
                <w:sz w:val="20"/>
              </w:rPr>
              <w:t> </w:t>
            </w:r>
            <w:r>
              <w:rPr>
                <w:color w:val="231F20"/>
                <w:sz w:val="20"/>
              </w:rPr>
              <w:t>disorder</w:t>
            </w:r>
            <w:r>
              <w:rPr>
                <w:color w:val="231F20"/>
                <w:spacing w:val="-3"/>
                <w:sz w:val="20"/>
              </w:rPr>
              <w:t> </w:t>
            </w:r>
            <w:r>
              <w:rPr>
                <w:color w:val="231F20"/>
                <w:sz w:val="20"/>
              </w:rPr>
              <w:t>(PTSD)</w:t>
            </w:r>
            <w:r>
              <w:rPr>
                <w:color w:val="231F20"/>
                <w:spacing w:val="-1"/>
                <w:sz w:val="20"/>
              </w:rPr>
              <w:t> </w:t>
            </w:r>
            <w:r>
              <w:rPr>
                <w:color w:val="231F20"/>
                <w:sz w:val="20"/>
              </w:rPr>
              <w:t>symptom</w:t>
            </w:r>
            <w:r>
              <w:rPr>
                <w:color w:val="231F20"/>
                <w:spacing w:val="-2"/>
                <w:sz w:val="20"/>
              </w:rPr>
              <w:t> </w:t>
            </w:r>
            <w:r>
              <w:rPr>
                <w:color w:val="231F20"/>
                <w:sz w:val="20"/>
              </w:rPr>
              <w:t>severity.</w:t>
            </w:r>
            <w:r>
              <w:rPr>
                <w:color w:val="231F20"/>
                <w:position w:val="7"/>
                <w:sz w:val="11"/>
              </w:rPr>
              <w:t>58-59</w:t>
            </w:r>
          </w:p>
        </w:tc>
      </w:tr>
      <w:tr>
        <w:trPr>
          <w:trHeight w:val="1420" w:hRule="atLeast"/>
        </w:trPr>
        <w:tc>
          <w:tcPr>
            <w:tcW w:w="1075" w:type="dxa"/>
            <w:vMerge/>
            <w:tcBorders>
              <w:top w:val="nil"/>
            </w:tcBorders>
            <w:shd w:val="clear" w:color="auto" w:fill="CE384B"/>
          </w:tcPr>
          <w:p>
            <w:pPr>
              <w:rPr>
                <w:sz w:val="2"/>
                <w:szCs w:val="2"/>
              </w:rPr>
            </w:pPr>
          </w:p>
        </w:tc>
        <w:tc>
          <w:tcPr>
            <w:tcW w:w="9705" w:type="dxa"/>
            <w:shd w:val="clear" w:color="auto" w:fill="F7E4E6"/>
          </w:tcPr>
          <w:p>
            <w:pPr>
              <w:pStyle w:val="TableParagraph"/>
              <w:spacing w:before="24"/>
              <w:ind w:left="1216" w:right="1197"/>
              <w:jc w:val="center"/>
              <w:rPr>
                <w:b/>
                <w:sz w:val="20"/>
              </w:rPr>
            </w:pPr>
            <w:r>
              <w:rPr>
                <w:b/>
                <w:color w:val="010202"/>
                <w:spacing w:val="-3"/>
                <w:sz w:val="20"/>
              </w:rPr>
              <w:t>Behavioral</w:t>
            </w:r>
            <w:r>
              <w:rPr>
                <w:b/>
                <w:color w:val="010202"/>
                <w:spacing w:val="-16"/>
                <w:sz w:val="20"/>
              </w:rPr>
              <w:t> </w:t>
            </w:r>
            <w:r>
              <w:rPr>
                <w:b/>
                <w:color w:val="010202"/>
                <w:spacing w:val="-3"/>
                <w:sz w:val="20"/>
              </w:rPr>
              <w:t>Activation</w:t>
            </w:r>
            <w:r>
              <w:rPr>
                <w:b/>
                <w:color w:val="010202"/>
                <w:spacing w:val="-8"/>
                <w:sz w:val="20"/>
              </w:rPr>
              <w:t> </w:t>
            </w:r>
            <w:r>
              <w:rPr>
                <w:b/>
                <w:color w:val="010202"/>
                <w:spacing w:val="-2"/>
                <w:sz w:val="20"/>
              </w:rPr>
              <w:t>for</w:t>
            </w:r>
            <w:r>
              <w:rPr>
                <w:b/>
                <w:color w:val="010202"/>
                <w:spacing w:val="-8"/>
                <w:sz w:val="20"/>
              </w:rPr>
              <w:t> </w:t>
            </w:r>
            <w:r>
              <w:rPr>
                <w:b/>
                <w:color w:val="010202"/>
                <w:spacing w:val="-2"/>
                <w:sz w:val="20"/>
              </w:rPr>
              <w:t>M</w:t>
            </w:r>
            <w:r>
              <w:rPr>
                <w:b/>
                <w:color w:val="010202"/>
                <w:spacing w:val="-2"/>
                <w:sz w:val="22"/>
              </w:rPr>
              <w:t>ethamphetamine</w:t>
            </w:r>
            <w:r>
              <w:rPr>
                <w:b/>
                <w:color w:val="010202"/>
                <w:sz w:val="22"/>
              </w:rPr>
              <w:t> </w:t>
            </w:r>
            <w:r>
              <w:rPr>
                <w:b/>
                <w:color w:val="010202"/>
                <w:spacing w:val="-2"/>
                <w:sz w:val="22"/>
              </w:rPr>
              <w:t>Dependence</w:t>
            </w:r>
            <w:r>
              <w:rPr>
                <w:b/>
                <w:color w:val="010202"/>
                <w:sz w:val="22"/>
              </w:rPr>
              <w:t> </w:t>
            </w:r>
            <w:r>
              <w:rPr>
                <w:b/>
                <w:color w:val="010202"/>
                <w:spacing w:val="-2"/>
                <w:sz w:val="22"/>
              </w:rPr>
              <w:t>(</w:t>
            </w:r>
            <w:r>
              <w:rPr>
                <w:b/>
                <w:color w:val="010202"/>
                <w:spacing w:val="-2"/>
                <w:sz w:val="20"/>
              </w:rPr>
              <w:t>Project</w:t>
            </w:r>
            <w:r>
              <w:rPr>
                <w:b/>
                <w:color w:val="010202"/>
                <w:spacing w:val="1"/>
                <w:sz w:val="20"/>
              </w:rPr>
              <w:t> </w:t>
            </w:r>
            <w:r>
              <w:rPr>
                <w:b/>
                <w:color w:val="010202"/>
                <w:spacing w:val="-2"/>
                <w:sz w:val="20"/>
              </w:rPr>
              <w:t>IMPACT)</w:t>
            </w:r>
          </w:p>
          <w:p>
            <w:pPr>
              <w:pStyle w:val="TableParagraph"/>
              <w:spacing w:line="249" w:lineRule="auto" w:before="165"/>
              <w:ind w:left="80"/>
              <w:rPr>
                <w:sz w:val="11"/>
              </w:rPr>
            </w:pPr>
            <w:r>
              <w:rPr>
                <w:color w:val="231F20"/>
                <w:sz w:val="20"/>
              </w:rPr>
              <w:t>Project</w:t>
            </w:r>
            <w:r>
              <w:rPr>
                <w:color w:val="231F20"/>
                <w:spacing w:val="-4"/>
                <w:sz w:val="20"/>
              </w:rPr>
              <w:t> </w:t>
            </w:r>
            <w:r>
              <w:rPr>
                <w:color w:val="231F20"/>
                <w:sz w:val="20"/>
              </w:rPr>
              <w:t>IMPACT</w:t>
            </w:r>
            <w:r>
              <w:rPr>
                <w:color w:val="231F20"/>
                <w:spacing w:val="-6"/>
                <w:sz w:val="20"/>
              </w:rPr>
              <w:t> </w:t>
            </w:r>
            <w:r>
              <w:rPr>
                <w:color w:val="231F20"/>
                <w:sz w:val="20"/>
              </w:rPr>
              <w:t>is</w:t>
            </w:r>
            <w:r>
              <w:rPr>
                <w:color w:val="231F20"/>
                <w:spacing w:val="-5"/>
                <w:sz w:val="20"/>
              </w:rPr>
              <w:t> </w:t>
            </w:r>
            <w:r>
              <w:rPr>
                <w:color w:val="231F20"/>
                <w:sz w:val="20"/>
              </w:rPr>
              <w:t>an</w:t>
            </w:r>
            <w:r>
              <w:rPr>
                <w:color w:val="231F20"/>
                <w:spacing w:val="-4"/>
                <w:sz w:val="20"/>
              </w:rPr>
              <w:t> </w:t>
            </w:r>
            <w:r>
              <w:rPr>
                <w:color w:val="231F20"/>
                <w:sz w:val="20"/>
              </w:rPr>
              <w:t>individual</w:t>
            </w:r>
            <w:r>
              <w:rPr>
                <w:color w:val="231F20"/>
                <w:spacing w:val="-4"/>
                <w:sz w:val="20"/>
              </w:rPr>
              <w:t> </w:t>
            </w:r>
            <w:r>
              <w:rPr>
                <w:color w:val="231F20"/>
                <w:sz w:val="20"/>
              </w:rPr>
              <w:t>therapy</w:t>
            </w:r>
            <w:r>
              <w:rPr>
                <w:color w:val="231F20"/>
                <w:spacing w:val="-3"/>
                <w:sz w:val="20"/>
              </w:rPr>
              <w:t> </w:t>
            </w:r>
            <w:r>
              <w:rPr>
                <w:color w:val="231F20"/>
                <w:sz w:val="20"/>
              </w:rPr>
              <w:t>intervention</w:t>
            </w:r>
            <w:r>
              <w:rPr>
                <w:color w:val="231F20"/>
                <w:spacing w:val="-4"/>
                <w:sz w:val="20"/>
              </w:rPr>
              <w:t> </w:t>
            </w:r>
            <w:r>
              <w:rPr>
                <w:color w:val="231F20"/>
                <w:sz w:val="20"/>
              </w:rPr>
              <w:t>that</w:t>
            </w:r>
            <w:r>
              <w:rPr>
                <w:color w:val="231F20"/>
                <w:spacing w:val="-3"/>
                <w:sz w:val="20"/>
              </w:rPr>
              <w:t> </w:t>
            </w:r>
            <w:r>
              <w:rPr>
                <w:color w:val="231F20"/>
                <w:sz w:val="20"/>
              </w:rPr>
              <w:t>aims</w:t>
            </w:r>
            <w:r>
              <w:rPr>
                <w:color w:val="231F20"/>
                <w:spacing w:val="-4"/>
                <w:sz w:val="20"/>
              </w:rPr>
              <w:t> </w:t>
            </w:r>
            <w:r>
              <w:rPr>
                <w:color w:val="231F20"/>
                <w:sz w:val="20"/>
              </w:rPr>
              <w:t>to</w:t>
            </w:r>
            <w:r>
              <w:rPr>
                <w:color w:val="231F20"/>
                <w:spacing w:val="-3"/>
                <w:sz w:val="20"/>
              </w:rPr>
              <w:t> </w:t>
            </w:r>
            <w:r>
              <w:rPr>
                <w:color w:val="231F20"/>
                <w:sz w:val="20"/>
              </w:rPr>
              <w:t>reduce</w:t>
            </w:r>
            <w:r>
              <w:rPr>
                <w:color w:val="231F20"/>
                <w:spacing w:val="-3"/>
                <w:sz w:val="20"/>
              </w:rPr>
              <w:t> </w:t>
            </w:r>
            <w:r>
              <w:rPr>
                <w:color w:val="231F20"/>
                <w:sz w:val="20"/>
              </w:rPr>
              <w:t>crystal</w:t>
            </w:r>
            <w:r>
              <w:rPr>
                <w:color w:val="231F20"/>
                <w:spacing w:val="-3"/>
                <w:sz w:val="20"/>
              </w:rPr>
              <w:t> </w:t>
            </w:r>
            <w:r>
              <w:rPr>
                <w:color w:val="231F20"/>
                <w:sz w:val="20"/>
              </w:rPr>
              <w:t>methamphetamine</w:t>
            </w:r>
            <w:r>
              <w:rPr>
                <w:color w:val="231F20"/>
                <w:spacing w:val="-3"/>
                <w:sz w:val="20"/>
              </w:rPr>
              <w:t> </w:t>
            </w:r>
            <w:r>
              <w:rPr>
                <w:color w:val="231F20"/>
                <w:sz w:val="20"/>
              </w:rPr>
              <w:t>use</w:t>
            </w:r>
            <w:r>
              <w:rPr>
                <w:color w:val="231F20"/>
                <w:spacing w:val="-4"/>
                <w:sz w:val="20"/>
              </w:rPr>
              <w:t> </w:t>
            </w:r>
            <w:r>
              <w:rPr>
                <w:color w:val="231F20"/>
                <w:sz w:val="20"/>
              </w:rPr>
              <w:t>and</w:t>
            </w:r>
            <w:r>
              <w:rPr>
                <w:color w:val="231F20"/>
                <w:spacing w:val="-53"/>
                <w:sz w:val="20"/>
              </w:rPr>
              <w:t> </w:t>
            </w:r>
            <w:r>
              <w:rPr>
                <w:color w:val="231F20"/>
                <w:sz w:val="20"/>
              </w:rPr>
              <w:t>condomless sex among MSM. This integrated treatment consists of behavioral activation, an evidence-</w:t>
            </w:r>
            <w:r>
              <w:rPr>
                <w:color w:val="231F20"/>
                <w:spacing w:val="1"/>
                <w:sz w:val="20"/>
              </w:rPr>
              <w:t> </w:t>
            </w:r>
            <w:r>
              <w:rPr>
                <w:color w:val="231F20"/>
                <w:sz w:val="20"/>
              </w:rPr>
              <w:t>based approach for depression that involves identifying and participating in pleasurable, goal-directed</w:t>
            </w:r>
            <w:r>
              <w:rPr>
                <w:color w:val="231F20"/>
                <w:spacing w:val="1"/>
                <w:sz w:val="20"/>
              </w:rPr>
              <w:t> </w:t>
            </w:r>
            <w:r>
              <w:rPr>
                <w:color w:val="231F20"/>
                <w:sz w:val="20"/>
              </w:rPr>
              <w:t>activities,</w:t>
            </w:r>
            <w:r>
              <w:rPr>
                <w:color w:val="231F20"/>
                <w:spacing w:val="-2"/>
                <w:sz w:val="20"/>
              </w:rPr>
              <w:t> </w:t>
            </w:r>
            <w:r>
              <w:rPr>
                <w:color w:val="231F20"/>
                <w:sz w:val="20"/>
              </w:rPr>
              <w:t>and</w:t>
            </w:r>
            <w:r>
              <w:rPr>
                <w:color w:val="231F20"/>
                <w:spacing w:val="-1"/>
                <w:sz w:val="20"/>
              </w:rPr>
              <w:t> </w:t>
            </w:r>
            <w:r>
              <w:rPr>
                <w:color w:val="231F20"/>
                <w:sz w:val="20"/>
              </w:rPr>
              <w:t>CBT</w:t>
            </w:r>
            <w:r>
              <w:rPr>
                <w:color w:val="231F20"/>
                <w:spacing w:val="-4"/>
                <w:sz w:val="20"/>
              </w:rPr>
              <w:t> </w:t>
            </w:r>
            <w:r>
              <w:rPr>
                <w:color w:val="231F20"/>
                <w:sz w:val="20"/>
              </w:rPr>
              <w:t>with</w:t>
            </w:r>
            <w:r>
              <w:rPr>
                <w:color w:val="231F20"/>
                <w:spacing w:val="-1"/>
                <w:sz w:val="20"/>
              </w:rPr>
              <w:t> </w:t>
            </w:r>
            <w:r>
              <w:rPr>
                <w:color w:val="231F20"/>
                <w:sz w:val="20"/>
              </w:rPr>
              <w:t>HIV</w:t>
            </w:r>
            <w:r>
              <w:rPr>
                <w:color w:val="231F20"/>
                <w:spacing w:val="-1"/>
                <w:sz w:val="20"/>
              </w:rPr>
              <w:t> </w:t>
            </w:r>
            <w:r>
              <w:rPr>
                <w:color w:val="231F20"/>
                <w:sz w:val="20"/>
              </w:rPr>
              <w:t>sexual risk counseling.</w:t>
            </w:r>
            <w:r>
              <w:rPr>
                <w:color w:val="231F20"/>
                <w:position w:val="7"/>
                <w:sz w:val="11"/>
              </w:rPr>
              <w:t>60</w:t>
            </w:r>
          </w:p>
        </w:tc>
      </w:tr>
      <w:tr>
        <w:trPr>
          <w:trHeight w:val="2085" w:hRule="atLeast"/>
        </w:trPr>
        <w:tc>
          <w:tcPr>
            <w:tcW w:w="1075" w:type="dxa"/>
            <w:vMerge/>
            <w:tcBorders>
              <w:top w:val="nil"/>
            </w:tcBorders>
            <w:shd w:val="clear" w:color="auto" w:fill="CE384B"/>
          </w:tcPr>
          <w:p>
            <w:pPr>
              <w:rPr>
                <w:sz w:val="2"/>
                <w:szCs w:val="2"/>
              </w:rPr>
            </w:pPr>
          </w:p>
        </w:tc>
        <w:tc>
          <w:tcPr>
            <w:tcW w:w="9705" w:type="dxa"/>
            <w:shd w:val="clear" w:color="auto" w:fill="F7E4E6"/>
          </w:tcPr>
          <w:p>
            <w:pPr>
              <w:pStyle w:val="TableParagraph"/>
              <w:spacing w:before="28"/>
              <w:ind w:left="860"/>
              <w:rPr>
                <w:b/>
                <w:sz w:val="20"/>
              </w:rPr>
            </w:pPr>
            <w:r>
              <w:rPr>
                <w:b/>
                <w:color w:val="010202"/>
                <w:spacing w:val="-4"/>
                <w:sz w:val="20"/>
              </w:rPr>
              <w:t>Cognitive</w:t>
            </w:r>
            <w:r>
              <w:rPr>
                <w:b/>
                <w:color w:val="010202"/>
                <w:spacing w:val="-9"/>
                <w:sz w:val="20"/>
              </w:rPr>
              <w:t> </w:t>
            </w:r>
            <w:r>
              <w:rPr>
                <w:b/>
                <w:color w:val="010202"/>
                <w:spacing w:val="-4"/>
                <w:sz w:val="20"/>
              </w:rPr>
              <w:t>Behavioral</w:t>
            </w:r>
            <w:r>
              <w:rPr>
                <w:b/>
                <w:color w:val="010202"/>
                <w:spacing w:val="-9"/>
                <w:sz w:val="20"/>
              </w:rPr>
              <w:t> </w:t>
            </w:r>
            <w:r>
              <w:rPr>
                <w:b/>
                <w:color w:val="010202"/>
                <w:spacing w:val="-4"/>
                <w:sz w:val="20"/>
              </w:rPr>
              <w:t>Therapy</w:t>
            </w:r>
            <w:r>
              <w:rPr>
                <w:b/>
                <w:color w:val="010202"/>
                <w:spacing w:val="-8"/>
                <w:sz w:val="20"/>
              </w:rPr>
              <w:t> </w:t>
            </w:r>
            <w:r>
              <w:rPr>
                <w:b/>
                <w:color w:val="010202"/>
                <w:spacing w:val="-4"/>
                <w:sz w:val="20"/>
              </w:rPr>
              <w:t>for</w:t>
            </w:r>
            <w:r>
              <w:rPr>
                <w:b/>
                <w:color w:val="010202"/>
                <w:spacing w:val="-7"/>
                <w:sz w:val="20"/>
              </w:rPr>
              <w:t> </w:t>
            </w:r>
            <w:r>
              <w:rPr>
                <w:b/>
                <w:color w:val="010202"/>
                <w:spacing w:val="-4"/>
                <w:sz w:val="20"/>
              </w:rPr>
              <w:t>Social</w:t>
            </w:r>
            <w:r>
              <w:rPr>
                <w:b/>
                <w:color w:val="010202"/>
                <w:spacing w:val="-16"/>
                <w:sz w:val="20"/>
              </w:rPr>
              <w:t> </w:t>
            </w:r>
            <w:r>
              <w:rPr>
                <w:b/>
                <w:color w:val="010202"/>
                <w:spacing w:val="-4"/>
                <w:sz w:val="20"/>
              </w:rPr>
              <w:t>Anxiety</w:t>
            </w:r>
            <w:r>
              <w:rPr>
                <w:b/>
                <w:color w:val="010202"/>
                <w:spacing w:val="-9"/>
                <w:sz w:val="20"/>
              </w:rPr>
              <w:t> </w:t>
            </w:r>
            <w:r>
              <w:rPr>
                <w:b/>
                <w:color w:val="010202"/>
                <w:spacing w:val="-4"/>
                <w:sz w:val="20"/>
              </w:rPr>
              <w:t>and</w:t>
            </w:r>
            <w:r>
              <w:rPr>
                <w:b/>
                <w:color w:val="010202"/>
                <w:spacing w:val="-9"/>
                <w:sz w:val="20"/>
              </w:rPr>
              <w:t> </w:t>
            </w:r>
            <w:r>
              <w:rPr>
                <w:b/>
                <w:color w:val="010202"/>
                <w:spacing w:val="-4"/>
                <w:sz w:val="20"/>
              </w:rPr>
              <w:t>Sexual</w:t>
            </w:r>
            <w:r>
              <w:rPr>
                <w:b/>
                <w:color w:val="010202"/>
                <w:spacing w:val="-7"/>
                <w:sz w:val="20"/>
              </w:rPr>
              <w:t> </w:t>
            </w:r>
            <w:r>
              <w:rPr>
                <w:b/>
                <w:color w:val="010202"/>
                <w:spacing w:val="-4"/>
                <w:sz w:val="20"/>
              </w:rPr>
              <w:t>Health</w:t>
            </w:r>
            <w:r>
              <w:rPr>
                <w:b/>
                <w:color w:val="010202"/>
                <w:spacing w:val="-9"/>
                <w:sz w:val="20"/>
              </w:rPr>
              <w:t> </w:t>
            </w:r>
            <w:r>
              <w:rPr>
                <w:b/>
                <w:color w:val="010202"/>
                <w:spacing w:val="-4"/>
                <w:sz w:val="20"/>
              </w:rPr>
              <w:t>(Sexual</w:t>
            </w:r>
            <w:r>
              <w:rPr>
                <w:b/>
                <w:color w:val="010202"/>
                <w:spacing w:val="-8"/>
                <w:sz w:val="20"/>
              </w:rPr>
              <w:t> </w:t>
            </w:r>
            <w:r>
              <w:rPr>
                <w:b/>
                <w:color w:val="010202"/>
                <w:spacing w:val="-4"/>
                <w:sz w:val="20"/>
              </w:rPr>
              <w:t>Confidence)</w:t>
            </w:r>
          </w:p>
          <w:p>
            <w:pPr>
              <w:pStyle w:val="TableParagraph"/>
              <w:spacing w:line="249" w:lineRule="auto" w:before="170"/>
              <w:ind w:left="80" w:right="468" w:hanging="1"/>
              <w:jc w:val="both"/>
              <w:rPr>
                <w:sz w:val="20"/>
              </w:rPr>
            </w:pPr>
            <w:r>
              <w:rPr>
                <w:color w:val="231F20"/>
                <w:sz w:val="20"/>
              </w:rPr>
              <w:t>Sexual</w:t>
            </w:r>
            <w:r>
              <w:rPr>
                <w:color w:val="231F20"/>
                <w:spacing w:val="-3"/>
                <w:sz w:val="20"/>
              </w:rPr>
              <w:t> </w:t>
            </w:r>
            <w:r>
              <w:rPr>
                <w:color w:val="231F20"/>
                <w:sz w:val="20"/>
              </w:rPr>
              <w:t>Confidence</w:t>
            </w:r>
            <w:r>
              <w:rPr>
                <w:color w:val="231F20"/>
                <w:spacing w:val="-3"/>
                <w:sz w:val="20"/>
              </w:rPr>
              <w:t> </w:t>
            </w:r>
            <w:r>
              <w:rPr>
                <w:color w:val="231F20"/>
                <w:sz w:val="20"/>
              </w:rPr>
              <w:t>adapts</w:t>
            </w:r>
            <w:r>
              <w:rPr>
                <w:color w:val="231F20"/>
                <w:spacing w:val="-3"/>
                <w:sz w:val="20"/>
              </w:rPr>
              <w:t> </w:t>
            </w:r>
            <w:r>
              <w:rPr>
                <w:color w:val="231F20"/>
                <w:sz w:val="20"/>
              </w:rPr>
              <w:t>the</w:t>
            </w:r>
            <w:r>
              <w:rPr>
                <w:color w:val="231F20"/>
                <w:spacing w:val="-2"/>
                <w:sz w:val="20"/>
              </w:rPr>
              <w:t> </w:t>
            </w:r>
            <w:r>
              <w:rPr>
                <w:color w:val="231F20"/>
                <w:sz w:val="20"/>
              </w:rPr>
              <w:t>CBT</w:t>
            </w:r>
            <w:r>
              <w:rPr>
                <w:color w:val="231F20"/>
                <w:spacing w:val="-6"/>
                <w:sz w:val="20"/>
              </w:rPr>
              <w:t> </w:t>
            </w:r>
            <w:r>
              <w:rPr>
                <w:color w:val="231F20"/>
                <w:sz w:val="20"/>
              </w:rPr>
              <w:t>framework</w:t>
            </w:r>
            <w:r>
              <w:rPr>
                <w:color w:val="231F20"/>
                <w:spacing w:val="-3"/>
                <w:sz w:val="20"/>
              </w:rPr>
              <w:t> </w:t>
            </w:r>
            <w:r>
              <w:rPr>
                <w:color w:val="231F20"/>
                <w:sz w:val="20"/>
              </w:rPr>
              <w:t>for</w:t>
            </w:r>
            <w:r>
              <w:rPr>
                <w:color w:val="231F20"/>
                <w:spacing w:val="-2"/>
                <w:sz w:val="20"/>
              </w:rPr>
              <w:t> </w:t>
            </w:r>
            <w:r>
              <w:rPr>
                <w:color w:val="231F20"/>
                <w:sz w:val="20"/>
              </w:rPr>
              <w:t>social</w:t>
            </w:r>
            <w:r>
              <w:rPr>
                <w:color w:val="231F20"/>
                <w:spacing w:val="-2"/>
                <w:sz w:val="20"/>
              </w:rPr>
              <w:t> </w:t>
            </w:r>
            <w:r>
              <w:rPr>
                <w:color w:val="231F20"/>
                <w:sz w:val="20"/>
              </w:rPr>
              <w:t>anxiety</w:t>
            </w:r>
            <w:r>
              <w:rPr>
                <w:color w:val="231F20"/>
                <w:spacing w:val="-3"/>
                <w:sz w:val="20"/>
              </w:rPr>
              <w:t> </w:t>
            </w:r>
            <w:r>
              <w:rPr>
                <w:color w:val="231F20"/>
                <w:sz w:val="20"/>
              </w:rPr>
              <w:t>to</w:t>
            </w:r>
            <w:r>
              <w:rPr>
                <w:color w:val="231F20"/>
                <w:spacing w:val="-2"/>
                <w:sz w:val="20"/>
              </w:rPr>
              <w:t> </w:t>
            </w:r>
            <w:r>
              <w:rPr>
                <w:color w:val="231F20"/>
                <w:sz w:val="20"/>
              </w:rPr>
              <w:t>include</w:t>
            </w:r>
            <w:r>
              <w:rPr>
                <w:color w:val="231F20"/>
                <w:spacing w:val="-4"/>
                <w:sz w:val="20"/>
              </w:rPr>
              <w:t> </w:t>
            </w:r>
            <w:r>
              <w:rPr>
                <w:color w:val="231F20"/>
                <w:sz w:val="20"/>
              </w:rPr>
              <w:t>substance</w:t>
            </w:r>
            <w:r>
              <w:rPr>
                <w:color w:val="231F20"/>
                <w:spacing w:val="-2"/>
                <w:sz w:val="20"/>
              </w:rPr>
              <w:t> </w:t>
            </w:r>
            <w:r>
              <w:rPr>
                <w:color w:val="231F20"/>
                <w:sz w:val="20"/>
              </w:rPr>
              <w:t>use</w:t>
            </w:r>
            <w:r>
              <w:rPr>
                <w:color w:val="231F20"/>
                <w:spacing w:val="-3"/>
                <w:sz w:val="20"/>
              </w:rPr>
              <w:t> </w:t>
            </w:r>
            <w:r>
              <w:rPr>
                <w:color w:val="231F20"/>
                <w:sz w:val="20"/>
              </w:rPr>
              <w:t>management</w:t>
            </w:r>
            <w:r>
              <w:rPr>
                <w:color w:val="231F20"/>
                <w:spacing w:val="-53"/>
                <w:sz w:val="20"/>
              </w:rPr>
              <w:t> </w:t>
            </w:r>
            <w:r>
              <w:rPr>
                <w:color w:val="231F20"/>
                <w:sz w:val="20"/>
              </w:rPr>
              <w:t>in interpersonal situations and reducing sexual behaviors that increase likelihood of getting HIV through</w:t>
            </w:r>
            <w:r>
              <w:rPr>
                <w:color w:val="231F20"/>
                <w:spacing w:val="-53"/>
                <w:sz w:val="20"/>
              </w:rPr>
              <w:t> </w:t>
            </w:r>
            <w:r>
              <w:rPr>
                <w:color w:val="231F20"/>
                <w:sz w:val="20"/>
              </w:rPr>
              <w:t>sessions on</w:t>
            </w:r>
            <w:r>
              <w:rPr>
                <w:color w:val="231F20"/>
                <w:spacing w:val="-2"/>
                <w:sz w:val="20"/>
              </w:rPr>
              <w:t> </w:t>
            </w:r>
            <w:r>
              <w:rPr>
                <w:color w:val="231F20"/>
                <w:sz w:val="20"/>
              </w:rPr>
              <w:t>the following:</w:t>
            </w:r>
          </w:p>
          <w:p>
            <w:pPr>
              <w:pStyle w:val="TableParagraph"/>
              <w:numPr>
                <w:ilvl w:val="0"/>
                <w:numId w:val="12"/>
              </w:numPr>
              <w:tabs>
                <w:tab w:pos="440" w:val="left" w:leader="none"/>
                <w:tab w:pos="441" w:val="left" w:leader="none"/>
              </w:tabs>
              <w:spacing w:line="243" w:lineRule="exact" w:before="189" w:after="0"/>
              <w:ind w:left="440" w:right="0" w:hanging="361"/>
              <w:jc w:val="left"/>
              <w:rPr>
                <w:sz w:val="20"/>
              </w:rPr>
            </w:pPr>
            <w:r>
              <w:rPr>
                <w:color w:val="231F20"/>
                <w:sz w:val="20"/>
              </w:rPr>
              <w:t>setting</w:t>
            </w:r>
            <w:r>
              <w:rPr>
                <w:color w:val="231F20"/>
                <w:spacing w:val="-2"/>
                <w:sz w:val="20"/>
              </w:rPr>
              <w:t> </w:t>
            </w:r>
            <w:r>
              <w:rPr>
                <w:color w:val="231F20"/>
                <w:sz w:val="20"/>
              </w:rPr>
              <w:t>goals</w:t>
            </w:r>
            <w:r>
              <w:rPr>
                <w:color w:val="231F20"/>
                <w:spacing w:val="-3"/>
                <w:sz w:val="20"/>
              </w:rPr>
              <w:t> </w:t>
            </w:r>
            <w:r>
              <w:rPr>
                <w:color w:val="231F20"/>
                <w:sz w:val="20"/>
              </w:rPr>
              <w:t>related</w:t>
            </w:r>
            <w:r>
              <w:rPr>
                <w:color w:val="231F20"/>
                <w:spacing w:val="-1"/>
                <w:sz w:val="20"/>
              </w:rPr>
              <w:t> </w:t>
            </w:r>
            <w:r>
              <w:rPr>
                <w:color w:val="231F20"/>
                <w:sz w:val="20"/>
              </w:rPr>
              <w:t>to</w:t>
            </w:r>
            <w:r>
              <w:rPr>
                <w:color w:val="231F20"/>
                <w:spacing w:val="-2"/>
                <w:sz w:val="20"/>
              </w:rPr>
              <w:t> </w:t>
            </w:r>
            <w:r>
              <w:rPr>
                <w:color w:val="231F20"/>
                <w:sz w:val="20"/>
              </w:rPr>
              <w:t>reducing</w:t>
            </w:r>
            <w:r>
              <w:rPr>
                <w:color w:val="231F20"/>
                <w:spacing w:val="-2"/>
                <w:sz w:val="20"/>
              </w:rPr>
              <w:t> </w:t>
            </w:r>
            <w:r>
              <w:rPr>
                <w:color w:val="231F20"/>
                <w:sz w:val="20"/>
              </w:rPr>
              <w:t>risk</w:t>
            </w:r>
            <w:r>
              <w:rPr>
                <w:color w:val="231F20"/>
                <w:spacing w:val="-2"/>
                <w:sz w:val="20"/>
              </w:rPr>
              <w:t> </w:t>
            </w:r>
            <w:r>
              <w:rPr>
                <w:color w:val="231F20"/>
                <w:sz w:val="20"/>
              </w:rPr>
              <w:t>of</w:t>
            </w:r>
            <w:r>
              <w:rPr>
                <w:color w:val="231F20"/>
                <w:spacing w:val="-2"/>
                <w:sz w:val="20"/>
              </w:rPr>
              <w:t> </w:t>
            </w:r>
            <w:r>
              <w:rPr>
                <w:color w:val="231F20"/>
                <w:sz w:val="20"/>
              </w:rPr>
              <w:t>getting</w:t>
            </w:r>
            <w:r>
              <w:rPr>
                <w:color w:val="231F20"/>
                <w:spacing w:val="-3"/>
                <w:sz w:val="20"/>
              </w:rPr>
              <w:t> </w:t>
            </w:r>
            <w:r>
              <w:rPr>
                <w:color w:val="231F20"/>
                <w:sz w:val="20"/>
              </w:rPr>
              <w:t>HIV</w:t>
            </w:r>
            <w:r>
              <w:rPr>
                <w:color w:val="231F20"/>
                <w:spacing w:val="-2"/>
                <w:sz w:val="20"/>
              </w:rPr>
              <w:t> </w:t>
            </w:r>
            <w:r>
              <w:rPr>
                <w:color w:val="231F20"/>
                <w:sz w:val="20"/>
              </w:rPr>
              <w:t>and</w:t>
            </w:r>
            <w:r>
              <w:rPr>
                <w:color w:val="231F20"/>
                <w:spacing w:val="-3"/>
                <w:sz w:val="20"/>
              </w:rPr>
              <w:t> </w:t>
            </w:r>
            <w:r>
              <w:rPr>
                <w:color w:val="231F20"/>
                <w:sz w:val="20"/>
              </w:rPr>
              <w:t>reducing</w:t>
            </w:r>
            <w:r>
              <w:rPr>
                <w:color w:val="231F20"/>
                <w:spacing w:val="-2"/>
                <w:sz w:val="20"/>
              </w:rPr>
              <w:t> </w:t>
            </w:r>
            <w:r>
              <w:rPr>
                <w:color w:val="231F20"/>
                <w:sz w:val="20"/>
              </w:rPr>
              <w:t>social</w:t>
            </w:r>
            <w:r>
              <w:rPr>
                <w:color w:val="231F20"/>
                <w:spacing w:val="-1"/>
                <w:sz w:val="20"/>
              </w:rPr>
              <w:t> </w:t>
            </w:r>
            <w:r>
              <w:rPr>
                <w:color w:val="231F20"/>
                <w:sz w:val="20"/>
              </w:rPr>
              <w:t>anxiety</w:t>
            </w:r>
          </w:p>
          <w:p>
            <w:pPr>
              <w:pStyle w:val="TableParagraph"/>
              <w:numPr>
                <w:ilvl w:val="0"/>
                <w:numId w:val="12"/>
              </w:numPr>
              <w:tabs>
                <w:tab w:pos="440" w:val="left" w:leader="none"/>
                <w:tab w:pos="441" w:val="left" w:leader="none"/>
              </w:tabs>
              <w:spacing w:line="240" w:lineRule="exact" w:before="0" w:after="0"/>
              <w:ind w:left="440" w:right="0" w:hanging="361"/>
              <w:jc w:val="left"/>
              <w:rPr>
                <w:sz w:val="20"/>
              </w:rPr>
            </w:pPr>
            <w:r>
              <w:rPr>
                <w:color w:val="231F20"/>
                <w:sz w:val="20"/>
              </w:rPr>
              <w:t>the</w:t>
            </w:r>
            <w:r>
              <w:rPr>
                <w:color w:val="231F20"/>
                <w:spacing w:val="-3"/>
                <w:sz w:val="20"/>
              </w:rPr>
              <w:t> </w:t>
            </w:r>
            <w:r>
              <w:rPr>
                <w:color w:val="231F20"/>
                <w:sz w:val="20"/>
              </w:rPr>
              <w:t>role</w:t>
            </w:r>
            <w:r>
              <w:rPr>
                <w:color w:val="231F20"/>
                <w:spacing w:val="-2"/>
                <w:sz w:val="20"/>
              </w:rPr>
              <w:t> </w:t>
            </w:r>
            <w:r>
              <w:rPr>
                <w:color w:val="231F20"/>
                <w:sz w:val="20"/>
              </w:rPr>
              <w:t>of</w:t>
            </w:r>
            <w:r>
              <w:rPr>
                <w:color w:val="231F20"/>
                <w:spacing w:val="-3"/>
                <w:sz w:val="20"/>
              </w:rPr>
              <w:t> </w:t>
            </w:r>
            <w:r>
              <w:rPr>
                <w:color w:val="231F20"/>
                <w:sz w:val="20"/>
              </w:rPr>
              <w:t>social</w:t>
            </w:r>
            <w:r>
              <w:rPr>
                <w:color w:val="231F20"/>
                <w:spacing w:val="-2"/>
                <w:sz w:val="20"/>
              </w:rPr>
              <w:t> </w:t>
            </w:r>
            <w:r>
              <w:rPr>
                <w:color w:val="231F20"/>
                <w:sz w:val="20"/>
              </w:rPr>
              <w:t>anxiety</w:t>
            </w:r>
            <w:r>
              <w:rPr>
                <w:color w:val="231F20"/>
                <w:spacing w:val="-3"/>
                <w:sz w:val="20"/>
              </w:rPr>
              <w:t> </w:t>
            </w:r>
            <w:r>
              <w:rPr>
                <w:color w:val="231F20"/>
                <w:sz w:val="20"/>
              </w:rPr>
              <w:t>and</w:t>
            </w:r>
            <w:r>
              <w:rPr>
                <w:color w:val="231F20"/>
                <w:spacing w:val="-4"/>
                <w:sz w:val="20"/>
              </w:rPr>
              <w:t> </w:t>
            </w:r>
            <w:r>
              <w:rPr>
                <w:color w:val="231F20"/>
                <w:sz w:val="20"/>
              </w:rPr>
              <w:t>substance</w:t>
            </w:r>
            <w:r>
              <w:rPr>
                <w:color w:val="231F20"/>
                <w:spacing w:val="-2"/>
                <w:sz w:val="20"/>
              </w:rPr>
              <w:t> </w:t>
            </w:r>
            <w:r>
              <w:rPr>
                <w:color w:val="231F20"/>
                <w:sz w:val="20"/>
              </w:rPr>
              <w:t>use</w:t>
            </w:r>
            <w:r>
              <w:rPr>
                <w:color w:val="231F20"/>
                <w:spacing w:val="-3"/>
                <w:sz w:val="20"/>
              </w:rPr>
              <w:t> </w:t>
            </w:r>
            <w:r>
              <w:rPr>
                <w:color w:val="231F20"/>
                <w:sz w:val="20"/>
              </w:rPr>
              <w:t>in</w:t>
            </w:r>
            <w:r>
              <w:rPr>
                <w:color w:val="231F20"/>
                <w:spacing w:val="-3"/>
                <w:sz w:val="20"/>
              </w:rPr>
              <w:t> </w:t>
            </w:r>
            <w:r>
              <w:rPr>
                <w:color w:val="231F20"/>
                <w:sz w:val="20"/>
              </w:rPr>
              <w:t>increasing</w:t>
            </w:r>
            <w:r>
              <w:rPr>
                <w:color w:val="231F20"/>
                <w:spacing w:val="-3"/>
                <w:sz w:val="20"/>
              </w:rPr>
              <w:t> </w:t>
            </w:r>
            <w:r>
              <w:rPr>
                <w:color w:val="231F20"/>
                <w:sz w:val="20"/>
              </w:rPr>
              <w:t>risk</w:t>
            </w:r>
            <w:r>
              <w:rPr>
                <w:color w:val="231F20"/>
                <w:spacing w:val="-3"/>
                <w:sz w:val="20"/>
              </w:rPr>
              <w:t> </w:t>
            </w:r>
            <w:r>
              <w:rPr>
                <w:color w:val="231F20"/>
                <w:sz w:val="20"/>
              </w:rPr>
              <w:t>of</w:t>
            </w:r>
            <w:r>
              <w:rPr>
                <w:color w:val="231F20"/>
                <w:spacing w:val="-3"/>
                <w:sz w:val="20"/>
              </w:rPr>
              <w:t> </w:t>
            </w:r>
            <w:r>
              <w:rPr>
                <w:color w:val="231F20"/>
                <w:sz w:val="20"/>
              </w:rPr>
              <w:t>getting</w:t>
            </w:r>
            <w:r>
              <w:rPr>
                <w:color w:val="231F20"/>
                <w:spacing w:val="-3"/>
                <w:sz w:val="20"/>
              </w:rPr>
              <w:t> </w:t>
            </w:r>
            <w:r>
              <w:rPr>
                <w:color w:val="231F20"/>
                <w:sz w:val="20"/>
              </w:rPr>
              <w:t>HIV</w:t>
            </w:r>
          </w:p>
          <w:p>
            <w:pPr>
              <w:pStyle w:val="TableParagraph"/>
              <w:numPr>
                <w:ilvl w:val="0"/>
                <w:numId w:val="12"/>
              </w:numPr>
              <w:tabs>
                <w:tab w:pos="440" w:val="left" w:leader="none"/>
                <w:tab w:pos="441" w:val="left" w:leader="none"/>
              </w:tabs>
              <w:spacing w:line="249" w:lineRule="exact" w:before="0" w:after="0"/>
              <w:ind w:left="440" w:right="0" w:hanging="361"/>
              <w:jc w:val="left"/>
              <w:rPr>
                <w:rFonts w:ascii="Calibri" w:hAnsi="Calibri"/>
                <w:sz w:val="20"/>
              </w:rPr>
            </w:pPr>
            <w:r>
              <w:rPr>
                <w:color w:val="231F20"/>
                <w:sz w:val="20"/>
              </w:rPr>
              <w:t>discussing</w:t>
            </w:r>
            <w:r>
              <w:rPr>
                <w:color w:val="231F20"/>
                <w:spacing w:val="-5"/>
                <w:sz w:val="20"/>
              </w:rPr>
              <w:t> </w:t>
            </w:r>
            <w:r>
              <w:rPr>
                <w:color w:val="231F20"/>
                <w:sz w:val="20"/>
              </w:rPr>
              <w:t>and</w:t>
            </w:r>
            <w:r>
              <w:rPr>
                <w:color w:val="231F20"/>
                <w:spacing w:val="-5"/>
                <w:sz w:val="20"/>
              </w:rPr>
              <w:t> </w:t>
            </w:r>
            <w:r>
              <w:rPr>
                <w:color w:val="231F20"/>
                <w:sz w:val="20"/>
              </w:rPr>
              <w:t>practicing</w:t>
            </w:r>
            <w:r>
              <w:rPr>
                <w:color w:val="231F20"/>
                <w:spacing w:val="-5"/>
                <w:sz w:val="20"/>
              </w:rPr>
              <w:t> </w:t>
            </w:r>
            <w:r>
              <w:rPr>
                <w:color w:val="231F20"/>
                <w:sz w:val="20"/>
              </w:rPr>
              <w:t>coping</w:t>
            </w:r>
            <w:r>
              <w:rPr>
                <w:color w:val="231F20"/>
                <w:spacing w:val="-5"/>
                <w:sz w:val="20"/>
              </w:rPr>
              <w:t> </w:t>
            </w:r>
            <w:r>
              <w:rPr>
                <w:color w:val="231F20"/>
                <w:sz w:val="20"/>
              </w:rPr>
              <w:t>skills</w:t>
            </w:r>
            <w:r>
              <w:rPr>
                <w:color w:val="231F20"/>
                <w:spacing w:val="-4"/>
                <w:sz w:val="20"/>
              </w:rPr>
              <w:t> </w:t>
            </w:r>
            <w:r>
              <w:rPr>
                <w:color w:val="231F20"/>
                <w:sz w:val="20"/>
              </w:rPr>
              <w:t>for</w:t>
            </w:r>
            <w:r>
              <w:rPr>
                <w:color w:val="231F20"/>
                <w:spacing w:val="-4"/>
                <w:sz w:val="20"/>
              </w:rPr>
              <w:t> </w:t>
            </w:r>
            <w:r>
              <w:rPr>
                <w:color w:val="231F20"/>
                <w:sz w:val="20"/>
              </w:rPr>
              <w:t>anxiety</w:t>
            </w:r>
            <w:r>
              <w:rPr>
                <w:color w:val="231F20"/>
                <w:spacing w:val="-5"/>
                <w:sz w:val="20"/>
              </w:rPr>
              <w:t> </w:t>
            </w:r>
            <w:r>
              <w:rPr>
                <w:color w:val="231F20"/>
                <w:sz w:val="20"/>
              </w:rPr>
              <w:t>reduction</w:t>
            </w:r>
            <w:r>
              <w:rPr>
                <w:rFonts w:ascii="Calibri" w:hAnsi="Calibri"/>
                <w:color w:val="231F20"/>
                <w:sz w:val="20"/>
                <w:vertAlign w:val="superscript"/>
              </w:rPr>
              <w:t>61-62</w:t>
            </w:r>
          </w:p>
        </w:tc>
      </w:tr>
      <w:tr>
        <w:trPr>
          <w:trHeight w:val="2085" w:hRule="atLeast"/>
        </w:trPr>
        <w:tc>
          <w:tcPr>
            <w:tcW w:w="1075" w:type="dxa"/>
            <w:shd w:val="clear" w:color="auto" w:fill="CE384B"/>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15"/>
              </w:rPr>
            </w:pPr>
          </w:p>
          <w:p>
            <w:pPr>
              <w:pStyle w:val="TableParagraph"/>
              <w:ind w:left="119"/>
              <w:rPr>
                <w:rFonts w:ascii="Times New Roman"/>
                <w:sz w:val="20"/>
              </w:rPr>
            </w:pPr>
            <w:r>
              <w:rPr>
                <w:rFonts w:ascii="Times New Roman"/>
                <w:sz w:val="20"/>
              </w:rPr>
              <w:drawing>
                <wp:inline distT="0" distB="0" distL="0" distR="0">
                  <wp:extent cx="502920" cy="502920"/>
                  <wp:effectExtent l="0" t="0" r="0" b="0"/>
                  <wp:docPr id="49" name="image20.png"/>
                  <wp:cNvGraphicFramePr>
                    <a:graphicFrameLocks noChangeAspect="1"/>
                  </wp:cNvGraphicFramePr>
                  <a:graphic>
                    <a:graphicData uri="http://schemas.openxmlformats.org/drawingml/2006/picture">
                      <pic:pic>
                        <pic:nvPicPr>
                          <pic:cNvPr id="50" name="image20.png"/>
                          <pic:cNvPicPr/>
                        </pic:nvPicPr>
                        <pic:blipFill>
                          <a:blip r:embed="rId150" cstate="print"/>
                          <a:stretch>
                            <a:fillRect/>
                          </a:stretch>
                        </pic:blipFill>
                        <pic:spPr>
                          <a:xfrm>
                            <a:off x="0" y="0"/>
                            <a:ext cx="502920" cy="502920"/>
                          </a:xfrm>
                          <a:prstGeom prst="rect">
                            <a:avLst/>
                          </a:prstGeom>
                        </pic:spPr>
                      </pic:pic>
                    </a:graphicData>
                  </a:graphic>
                </wp:inline>
              </w:drawing>
            </w:r>
            <w:r>
              <w:rPr>
                <w:rFonts w:ascii="Times New Roman"/>
                <w:sz w:val="20"/>
              </w:rPr>
            </w:r>
          </w:p>
        </w:tc>
        <w:tc>
          <w:tcPr>
            <w:tcW w:w="9705" w:type="dxa"/>
            <w:shd w:val="clear" w:color="auto" w:fill="F7E4E6"/>
          </w:tcPr>
          <w:p>
            <w:pPr>
              <w:pStyle w:val="TableParagraph"/>
              <w:spacing w:before="28"/>
              <w:ind w:left="79"/>
              <w:rPr>
                <w:b/>
                <w:sz w:val="20"/>
              </w:rPr>
            </w:pPr>
            <w:r>
              <w:rPr>
                <w:b/>
                <w:color w:val="010202"/>
                <w:spacing w:val="-5"/>
                <w:sz w:val="20"/>
              </w:rPr>
              <w:t>Cognitive</w:t>
            </w:r>
            <w:r>
              <w:rPr>
                <w:b/>
                <w:color w:val="010202"/>
                <w:spacing w:val="-9"/>
                <w:sz w:val="20"/>
              </w:rPr>
              <w:t> </w:t>
            </w:r>
            <w:r>
              <w:rPr>
                <w:b/>
                <w:color w:val="010202"/>
                <w:spacing w:val="-5"/>
                <w:sz w:val="20"/>
              </w:rPr>
              <w:t>Behavioral</w:t>
            </w:r>
            <w:r>
              <w:rPr>
                <w:b/>
                <w:color w:val="010202"/>
                <w:spacing w:val="-9"/>
                <w:sz w:val="20"/>
              </w:rPr>
              <w:t> </w:t>
            </w:r>
            <w:r>
              <w:rPr>
                <w:b/>
                <w:color w:val="010202"/>
                <w:spacing w:val="-4"/>
                <w:sz w:val="20"/>
              </w:rPr>
              <w:t>Therapy</w:t>
            </w:r>
            <w:r>
              <w:rPr>
                <w:b/>
                <w:color w:val="010202"/>
                <w:spacing w:val="-7"/>
                <w:sz w:val="20"/>
              </w:rPr>
              <w:t> </w:t>
            </w:r>
            <w:r>
              <w:rPr>
                <w:b/>
                <w:color w:val="010202"/>
                <w:spacing w:val="-4"/>
                <w:sz w:val="20"/>
              </w:rPr>
              <w:t>for</w:t>
            </w:r>
            <w:r>
              <w:rPr>
                <w:b/>
                <w:color w:val="010202"/>
                <w:spacing w:val="-8"/>
                <w:sz w:val="20"/>
              </w:rPr>
              <w:t> </w:t>
            </w:r>
            <w:r>
              <w:rPr>
                <w:b/>
                <w:color w:val="010202"/>
                <w:spacing w:val="-4"/>
                <w:sz w:val="20"/>
              </w:rPr>
              <w:t>HIV</w:t>
            </w:r>
            <w:r>
              <w:rPr>
                <w:b/>
                <w:color w:val="010202"/>
                <w:spacing w:val="-8"/>
                <w:sz w:val="20"/>
              </w:rPr>
              <w:t> </w:t>
            </w:r>
            <w:r>
              <w:rPr>
                <w:b/>
                <w:color w:val="010202"/>
                <w:spacing w:val="-4"/>
                <w:sz w:val="20"/>
              </w:rPr>
              <w:t>Medication</w:t>
            </w:r>
            <w:r>
              <w:rPr>
                <w:b/>
                <w:color w:val="010202"/>
                <w:spacing w:val="-16"/>
                <w:sz w:val="20"/>
              </w:rPr>
              <w:t> </w:t>
            </w:r>
            <w:r>
              <w:rPr>
                <w:b/>
                <w:color w:val="010202"/>
                <w:spacing w:val="-4"/>
                <w:sz w:val="20"/>
              </w:rPr>
              <w:t>Adherence</w:t>
            </w:r>
            <w:r>
              <w:rPr>
                <w:b/>
                <w:color w:val="010202"/>
                <w:spacing w:val="-8"/>
                <w:sz w:val="20"/>
              </w:rPr>
              <w:t> </w:t>
            </w:r>
            <w:r>
              <w:rPr>
                <w:b/>
                <w:color w:val="010202"/>
                <w:spacing w:val="-4"/>
                <w:sz w:val="20"/>
              </w:rPr>
              <w:t>and</w:t>
            </w:r>
            <w:r>
              <w:rPr>
                <w:b/>
                <w:color w:val="010202"/>
                <w:spacing w:val="-9"/>
                <w:sz w:val="20"/>
              </w:rPr>
              <w:t> </w:t>
            </w:r>
            <w:r>
              <w:rPr>
                <w:b/>
                <w:color w:val="010202"/>
                <w:spacing w:val="-4"/>
                <w:sz w:val="20"/>
              </w:rPr>
              <w:t>Depression</w:t>
            </w:r>
            <w:r>
              <w:rPr>
                <w:b/>
                <w:color w:val="010202"/>
                <w:spacing w:val="-8"/>
                <w:sz w:val="20"/>
              </w:rPr>
              <w:t> </w:t>
            </w:r>
            <w:r>
              <w:rPr>
                <w:b/>
                <w:color w:val="010202"/>
                <w:spacing w:val="-4"/>
                <w:sz w:val="20"/>
              </w:rPr>
              <w:t>(CBT-AD)</w:t>
            </w:r>
          </w:p>
          <w:p>
            <w:pPr>
              <w:pStyle w:val="TableParagraph"/>
              <w:spacing w:line="249" w:lineRule="auto" w:before="170"/>
              <w:ind w:left="79" w:right="246"/>
              <w:rPr>
                <w:sz w:val="20"/>
              </w:rPr>
            </w:pPr>
            <w:r>
              <w:rPr>
                <w:color w:val="231F20"/>
                <w:sz w:val="20"/>
              </w:rPr>
              <w:t>CBT-AD</w:t>
            </w:r>
            <w:r>
              <w:rPr>
                <w:color w:val="231F20"/>
                <w:spacing w:val="-4"/>
                <w:sz w:val="20"/>
              </w:rPr>
              <w:t> </w:t>
            </w:r>
            <w:r>
              <w:rPr>
                <w:color w:val="231F20"/>
                <w:sz w:val="20"/>
              </w:rPr>
              <w:t>integrates</w:t>
            </w:r>
            <w:r>
              <w:rPr>
                <w:color w:val="231F20"/>
                <w:spacing w:val="-4"/>
                <w:sz w:val="20"/>
              </w:rPr>
              <w:t> </w:t>
            </w:r>
            <w:r>
              <w:rPr>
                <w:color w:val="231F20"/>
                <w:sz w:val="20"/>
              </w:rPr>
              <w:t>continued</w:t>
            </w:r>
            <w:r>
              <w:rPr>
                <w:color w:val="231F20"/>
                <w:spacing w:val="-3"/>
                <w:sz w:val="20"/>
              </w:rPr>
              <w:t> </w:t>
            </w:r>
            <w:r>
              <w:rPr>
                <w:color w:val="231F20"/>
                <w:sz w:val="20"/>
              </w:rPr>
              <w:t>adherence</w:t>
            </w:r>
            <w:r>
              <w:rPr>
                <w:color w:val="231F20"/>
                <w:spacing w:val="-4"/>
                <w:sz w:val="20"/>
              </w:rPr>
              <w:t> </w:t>
            </w:r>
            <w:r>
              <w:rPr>
                <w:color w:val="231F20"/>
                <w:sz w:val="20"/>
              </w:rPr>
              <w:t>counseling</w:t>
            </w:r>
            <w:r>
              <w:rPr>
                <w:color w:val="231F20"/>
                <w:spacing w:val="-3"/>
                <w:sz w:val="20"/>
              </w:rPr>
              <w:t> </w:t>
            </w:r>
            <w:r>
              <w:rPr>
                <w:color w:val="231F20"/>
                <w:sz w:val="20"/>
              </w:rPr>
              <w:t>with</w:t>
            </w:r>
            <w:r>
              <w:rPr>
                <w:color w:val="231F20"/>
                <w:spacing w:val="-4"/>
                <w:sz w:val="20"/>
              </w:rPr>
              <w:t> </w:t>
            </w:r>
            <w:r>
              <w:rPr>
                <w:color w:val="231F20"/>
                <w:sz w:val="20"/>
              </w:rPr>
              <w:t>traditional</w:t>
            </w:r>
            <w:r>
              <w:rPr>
                <w:color w:val="231F20"/>
                <w:spacing w:val="-3"/>
                <w:sz w:val="20"/>
              </w:rPr>
              <w:t> </w:t>
            </w:r>
            <w:r>
              <w:rPr>
                <w:color w:val="231F20"/>
                <w:sz w:val="20"/>
              </w:rPr>
              <w:t>CBT</w:t>
            </w:r>
            <w:r>
              <w:rPr>
                <w:color w:val="231F20"/>
                <w:spacing w:val="-5"/>
                <w:sz w:val="20"/>
              </w:rPr>
              <w:t> </w:t>
            </w:r>
            <w:r>
              <w:rPr>
                <w:color w:val="231F20"/>
                <w:sz w:val="20"/>
              </w:rPr>
              <w:t>techniques</w:t>
            </w:r>
            <w:r>
              <w:rPr>
                <w:color w:val="231F20"/>
                <w:spacing w:val="-4"/>
                <w:sz w:val="20"/>
              </w:rPr>
              <w:t> </w:t>
            </w:r>
            <w:r>
              <w:rPr>
                <w:color w:val="231F20"/>
                <w:sz w:val="20"/>
              </w:rPr>
              <w:t>for</w:t>
            </w:r>
            <w:r>
              <w:rPr>
                <w:color w:val="231F20"/>
                <w:spacing w:val="-3"/>
                <w:sz w:val="20"/>
              </w:rPr>
              <w:t> </w:t>
            </w:r>
            <w:r>
              <w:rPr>
                <w:color w:val="231F20"/>
                <w:sz w:val="20"/>
              </w:rPr>
              <w:t>the</w:t>
            </w:r>
            <w:r>
              <w:rPr>
                <w:color w:val="231F20"/>
                <w:spacing w:val="-3"/>
                <w:sz w:val="20"/>
              </w:rPr>
              <w:t> </w:t>
            </w:r>
            <w:r>
              <w:rPr>
                <w:color w:val="231F20"/>
                <w:sz w:val="20"/>
              </w:rPr>
              <w:t>treatment</w:t>
            </w:r>
            <w:r>
              <w:rPr>
                <w:color w:val="231F20"/>
                <w:spacing w:val="-3"/>
                <w:sz w:val="20"/>
              </w:rPr>
              <w:t> </w:t>
            </w:r>
            <w:r>
              <w:rPr>
                <w:color w:val="231F20"/>
                <w:sz w:val="20"/>
              </w:rPr>
              <w:t>of</w:t>
            </w:r>
            <w:r>
              <w:rPr>
                <w:color w:val="231F20"/>
                <w:spacing w:val="-52"/>
                <w:sz w:val="20"/>
              </w:rPr>
              <w:t> </w:t>
            </w:r>
            <w:r>
              <w:rPr>
                <w:color w:val="231F20"/>
                <w:sz w:val="20"/>
              </w:rPr>
              <w:t>depression.</w:t>
            </w:r>
            <w:r>
              <w:rPr>
                <w:color w:val="231F20"/>
                <w:spacing w:val="-6"/>
                <w:sz w:val="20"/>
              </w:rPr>
              <w:t> </w:t>
            </w:r>
            <w:r>
              <w:rPr>
                <w:color w:val="231F20"/>
                <w:sz w:val="20"/>
              </w:rPr>
              <w:t>CBT-AD</w:t>
            </w:r>
            <w:r>
              <w:rPr>
                <w:color w:val="231F20"/>
                <w:spacing w:val="-5"/>
                <w:sz w:val="20"/>
              </w:rPr>
              <w:t> </w:t>
            </w:r>
            <w:r>
              <w:rPr>
                <w:color w:val="231F20"/>
                <w:sz w:val="20"/>
              </w:rPr>
              <w:t>uses</w:t>
            </w:r>
            <w:r>
              <w:rPr>
                <w:color w:val="231F20"/>
                <w:spacing w:val="-5"/>
                <w:sz w:val="20"/>
              </w:rPr>
              <w:t> </w:t>
            </w:r>
            <w:r>
              <w:rPr>
                <w:color w:val="231F20"/>
                <w:sz w:val="20"/>
              </w:rPr>
              <w:t>proactive</w:t>
            </w:r>
            <w:r>
              <w:rPr>
                <w:color w:val="231F20"/>
                <w:spacing w:val="-6"/>
                <w:sz w:val="20"/>
              </w:rPr>
              <w:t> </w:t>
            </w:r>
            <w:r>
              <w:rPr>
                <w:color w:val="231F20"/>
                <w:sz w:val="20"/>
              </w:rPr>
              <w:t>problem</w:t>
            </w:r>
            <w:r>
              <w:rPr>
                <w:color w:val="231F20"/>
                <w:spacing w:val="-5"/>
                <w:sz w:val="20"/>
              </w:rPr>
              <w:t> </w:t>
            </w:r>
            <w:r>
              <w:rPr>
                <w:color w:val="231F20"/>
                <w:sz w:val="20"/>
              </w:rPr>
              <w:t>solving,</w:t>
            </w:r>
            <w:r>
              <w:rPr>
                <w:color w:val="231F20"/>
                <w:spacing w:val="-5"/>
                <w:sz w:val="20"/>
              </w:rPr>
              <w:t> </w:t>
            </w:r>
            <w:r>
              <w:rPr>
                <w:color w:val="231F20"/>
                <w:sz w:val="20"/>
              </w:rPr>
              <w:t>action</w:t>
            </w:r>
            <w:r>
              <w:rPr>
                <w:color w:val="231F20"/>
                <w:spacing w:val="-6"/>
                <w:sz w:val="20"/>
              </w:rPr>
              <w:t> </w:t>
            </w:r>
            <w:r>
              <w:rPr>
                <w:color w:val="231F20"/>
                <w:sz w:val="20"/>
              </w:rPr>
              <w:t>planning,</w:t>
            </w:r>
            <w:r>
              <w:rPr>
                <w:color w:val="231F20"/>
                <w:spacing w:val="-5"/>
                <w:sz w:val="20"/>
              </w:rPr>
              <w:t> </w:t>
            </w:r>
            <w:r>
              <w:rPr>
                <w:color w:val="231F20"/>
                <w:sz w:val="20"/>
              </w:rPr>
              <w:t>and</w:t>
            </w:r>
            <w:r>
              <w:rPr>
                <w:color w:val="231F20"/>
                <w:spacing w:val="-6"/>
                <w:sz w:val="20"/>
              </w:rPr>
              <w:t> </w:t>
            </w:r>
            <w:r>
              <w:rPr>
                <w:color w:val="231F20"/>
                <w:sz w:val="20"/>
              </w:rPr>
              <w:t>motivational</w:t>
            </w:r>
            <w:r>
              <w:rPr>
                <w:color w:val="231F20"/>
                <w:spacing w:val="-4"/>
                <w:sz w:val="20"/>
              </w:rPr>
              <w:t> </w:t>
            </w:r>
            <w:r>
              <w:rPr>
                <w:color w:val="231F20"/>
                <w:sz w:val="20"/>
              </w:rPr>
              <w:t>interviewing</w:t>
            </w:r>
            <w:r>
              <w:rPr>
                <w:color w:val="231F20"/>
                <w:spacing w:val="-6"/>
                <w:sz w:val="20"/>
              </w:rPr>
              <w:t> </w:t>
            </w:r>
            <w:r>
              <w:rPr>
                <w:color w:val="231F20"/>
                <w:sz w:val="20"/>
              </w:rPr>
              <w:t>to:</w:t>
            </w:r>
          </w:p>
          <w:p>
            <w:pPr>
              <w:pStyle w:val="TableParagraph"/>
              <w:numPr>
                <w:ilvl w:val="0"/>
                <w:numId w:val="13"/>
              </w:numPr>
              <w:tabs>
                <w:tab w:pos="439" w:val="left" w:leader="none"/>
                <w:tab w:pos="440" w:val="left" w:leader="none"/>
              </w:tabs>
              <w:spacing w:line="243" w:lineRule="exact" w:before="188" w:after="0"/>
              <w:ind w:left="440" w:right="0" w:hanging="361"/>
              <w:jc w:val="left"/>
              <w:rPr>
                <w:sz w:val="11"/>
              </w:rPr>
            </w:pPr>
            <w:r>
              <w:rPr>
                <w:color w:val="231F20"/>
                <w:sz w:val="20"/>
              </w:rPr>
              <w:t>facilitate</w:t>
            </w:r>
            <w:r>
              <w:rPr>
                <w:color w:val="231F20"/>
                <w:spacing w:val="-1"/>
                <w:sz w:val="20"/>
              </w:rPr>
              <w:t> </w:t>
            </w:r>
            <w:r>
              <w:rPr>
                <w:color w:val="231F20"/>
                <w:sz w:val="20"/>
              </w:rPr>
              <w:t>behavior</w:t>
            </w:r>
            <w:r>
              <w:rPr>
                <w:color w:val="231F20"/>
                <w:spacing w:val="-2"/>
                <w:sz w:val="20"/>
              </w:rPr>
              <w:t> </w:t>
            </w:r>
            <w:r>
              <w:rPr>
                <w:color w:val="231F20"/>
                <w:sz w:val="20"/>
              </w:rPr>
              <w:t>change</w:t>
            </w:r>
            <w:r>
              <w:rPr>
                <w:color w:val="231F20"/>
                <w:position w:val="7"/>
                <w:sz w:val="11"/>
              </w:rPr>
              <w:t>63</w:t>
            </w:r>
          </w:p>
          <w:p>
            <w:pPr>
              <w:pStyle w:val="TableParagraph"/>
              <w:numPr>
                <w:ilvl w:val="0"/>
                <w:numId w:val="13"/>
              </w:numPr>
              <w:tabs>
                <w:tab w:pos="439" w:val="left" w:leader="none"/>
                <w:tab w:pos="440" w:val="left" w:leader="none"/>
              </w:tabs>
              <w:spacing w:line="247" w:lineRule="auto" w:before="0" w:after="0"/>
              <w:ind w:left="439" w:right="674" w:hanging="360"/>
              <w:jc w:val="left"/>
              <w:rPr>
                <w:sz w:val="11"/>
              </w:rPr>
            </w:pPr>
            <w:r>
              <w:rPr>
                <w:color w:val="231F20"/>
                <w:sz w:val="20"/>
              </w:rPr>
              <w:t>address</w:t>
            </w:r>
            <w:r>
              <w:rPr>
                <w:color w:val="231F20"/>
                <w:spacing w:val="-5"/>
                <w:sz w:val="20"/>
              </w:rPr>
              <w:t> </w:t>
            </w:r>
            <w:r>
              <w:rPr>
                <w:color w:val="231F20"/>
                <w:sz w:val="20"/>
              </w:rPr>
              <w:t>the</w:t>
            </w:r>
            <w:r>
              <w:rPr>
                <w:color w:val="231F20"/>
                <w:spacing w:val="-4"/>
                <w:sz w:val="20"/>
              </w:rPr>
              <w:t> </w:t>
            </w:r>
            <w:r>
              <w:rPr>
                <w:color w:val="231F20"/>
                <w:sz w:val="20"/>
              </w:rPr>
              <w:t>cognitive</w:t>
            </w:r>
            <w:r>
              <w:rPr>
                <w:color w:val="231F20"/>
                <w:spacing w:val="-3"/>
                <w:sz w:val="20"/>
              </w:rPr>
              <w:t> </w:t>
            </w:r>
            <w:r>
              <w:rPr>
                <w:color w:val="231F20"/>
                <w:sz w:val="20"/>
              </w:rPr>
              <w:t>and</w:t>
            </w:r>
            <w:r>
              <w:rPr>
                <w:color w:val="231F20"/>
                <w:spacing w:val="-5"/>
                <w:sz w:val="20"/>
              </w:rPr>
              <w:t> </w:t>
            </w:r>
            <w:r>
              <w:rPr>
                <w:color w:val="231F20"/>
                <w:sz w:val="20"/>
              </w:rPr>
              <w:t>behavioral</w:t>
            </w:r>
            <w:r>
              <w:rPr>
                <w:color w:val="231F20"/>
                <w:spacing w:val="-5"/>
                <w:sz w:val="20"/>
              </w:rPr>
              <w:t> </w:t>
            </w:r>
            <w:r>
              <w:rPr>
                <w:color w:val="231F20"/>
                <w:sz w:val="20"/>
              </w:rPr>
              <w:t>patterns</w:t>
            </w:r>
            <w:r>
              <w:rPr>
                <w:color w:val="231F20"/>
                <w:spacing w:val="-4"/>
                <w:sz w:val="20"/>
              </w:rPr>
              <w:t> </w:t>
            </w:r>
            <w:r>
              <w:rPr>
                <w:color w:val="231F20"/>
                <w:sz w:val="20"/>
              </w:rPr>
              <w:t>commonly</w:t>
            </w:r>
            <w:r>
              <w:rPr>
                <w:color w:val="231F20"/>
                <w:spacing w:val="-4"/>
                <w:sz w:val="20"/>
              </w:rPr>
              <w:t> </w:t>
            </w:r>
            <w:r>
              <w:rPr>
                <w:color w:val="231F20"/>
                <w:sz w:val="20"/>
              </w:rPr>
              <w:t>experienced</w:t>
            </w:r>
            <w:r>
              <w:rPr>
                <w:color w:val="231F20"/>
                <w:spacing w:val="-4"/>
                <w:sz w:val="20"/>
              </w:rPr>
              <w:t> </w:t>
            </w:r>
            <w:r>
              <w:rPr>
                <w:color w:val="231F20"/>
                <w:sz w:val="20"/>
              </w:rPr>
              <w:t>by</w:t>
            </w:r>
            <w:r>
              <w:rPr>
                <w:color w:val="231F20"/>
                <w:spacing w:val="-5"/>
                <w:sz w:val="20"/>
              </w:rPr>
              <w:t> </w:t>
            </w:r>
            <w:r>
              <w:rPr>
                <w:color w:val="231F20"/>
                <w:sz w:val="20"/>
              </w:rPr>
              <w:t>adults</w:t>
            </w:r>
            <w:r>
              <w:rPr>
                <w:color w:val="231F20"/>
                <w:spacing w:val="-5"/>
                <w:sz w:val="20"/>
              </w:rPr>
              <w:t> </w:t>
            </w:r>
            <w:r>
              <w:rPr>
                <w:color w:val="231F20"/>
                <w:sz w:val="20"/>
              </w:rPr>
              <w:t>with</w:t>
            </w:r>
            <w:r>
              <w:rPr>
                <w:color w:val="231F20"/>
                <w:spacing w:val="-4"/>
                <w:sz w:val="20"/>
              </w:rPr>
              <w:t> </w:t>
            </w:r>
            <w:r>
              <w:rPr>
                <w:color w:val="231F20"/>
                <w:sz w:val="20"/>
              </w:rPr>
              <w:t>co-occurring</w:t>
            </w:r>
            <w:r>
              <w:rPr>
                <w:color w:val="231F20"/>
                <w:spacing w:val="-53"/>
                <w:sz w:val="20"/>
              </w:rPr>
              <w:t> </w:t>
            </w:r>
            <w:r>
              <w:rPr>
                <w:color w:val="231F20"/>
                <w:sz w:val="20"/>
              </w:rPr>
              <w:t>depression</w:t>
            </w:r>
            <w:r>
              <w:rPr>
                <w:color w:val="231F20"/>
                <w:spacing w:val="-2"/>
                <w:sz w:val="20"/>
              </w:rPr>
              <w:t> </w:t>
            </w:r>
            <w:r>
              <w:rPr>
                <w:color w:val="231F20"/>
                <w:sz w:val="20"/>
              </w:rPr>
              <w:t>and</w:t>
            </w:r>
            <w:r>
              <w:rPr>
                <w:color w:val="231F20"/>
                <w:spacing w:val="-1"/>
                <w:sz w:val="20"/>
              </w:rPr>
              <w:t> </w:t>
            </w:r>
            <w:r>
              <w:rPr>
                <w:color w:val="231F20"/>
                <w:sz w:val="20"/>
              </w:rPr>
              <w:t>HIV</w:t>
            </w:r>
            <w:r>
              <w:rPr>
                <w:color w:val="231F20"/>
                <w:position w:val="7"/>
                <w:sz w:val="11"/>
              </w:rPr>
              <w:t>64</w:t>
            </w:r>
          </w:p>
          <w:p>
            <w:pPr>
              <w:pStyle w:val="TableParagraph"/>
              <w:numPr>
                <w:ilvl w:val="0"/>
                <w:numId w:val="13"/>
              </w:numPr>
              <w:tabs>
                <w:tab w:pos="439" w:val="left" w:leader="none"/>
                <w:tab w:pos="440" w:val="left" w:leader="none"/>
              </w:tabs>
              <w:spacing w:line="236" w:lineRule="exact" w:before="0" w:after="0"/>
              <w:ind w:left="440" w:right="0" w:hanging="361"/>
              <w:jc w:val="left"/>
              <w:rPr>
                <w:sz w:val="11"/>
              </w:rPr>
            </w:pPr>
            <w:r>
              <w:rPr>
                <w:color w:val="231F20"/>
                <w:spacing w:val="-1"/>
                <w:sz w:val="20"/>
              </w:rPr>
              <w:t>improve</w:t>
            </w:r>
            <w:r>
              <w:rPr>
                <w:color w:val="231F20"/>
                <w:spacing w:val="-13"/>
                <w:sz w:val="20"/>
              </w:rPr>
              <w:t> </w:t>
            </w:r>
            <w:r>
              <w:rPr>
                <w:color w:val="231F20"/>
                <w:spacing w:val="-1"/>
                <w:sz w:val="20"/>
              </w:rPr>
              <w:t>ART</w:t>
            </w:r>
            <w:r>
              <w:rPr>
                <w:color w:val="231F20"/>
                <w:spacing w:val="-5"/>
                <w:sz w:val="20"/>
              </w:rPr>
              <w:t> </w:t>
            </w:r>
            <w:r>
              <w:rPr>
                <w:color w:val="231F20"/>
                <w:sz w:val="20"/>
              </w:rPr>
              <w:t>adherence</w:t>
            </w:r>
            <w:r>
              <w:rPr>
                <w:color w:val="231F20"/>
                <w:position w:val="7"/>
                <w:sz w:val="11"/>
              </w:rPr>
              <w:t>63</w:t>
            </w:r>
          </w:p>
        </w:tc>
      </w:tr>
    </w:tbl>
    <w:p>
      <w:pPr>
        <w:pStyle w:val="Heading5"/>
        <w:spacing w:before="105"/>
        <w:ind w:left="159"/>
        <w:rPr>
          <w:i/>
        </w:rPr>
      </w:pPr>
      <w:r>
        <w:rPr>
          <w:i/>
          <w:color w:val="1C384B"/>
        </w:rPr>
        <w:t>Outcomes</w:t>
      </w:r>
      <w:r>
        <w:rPr>
          <w:i/>
          <w:color w:val="1C384B"/>
          <w:spacing w:val="-11"/>
        </w:rPr>
        <w:t> </w:t>
      </w:r>
      <w:r>
        <w:rPr>
          <w:i/>
          <w:color w:val="1C384B"/>
        </w:rPr>
        <w:t>Associated</w:t>
      </w:r>
      <w:r>
        <w:rPr>
          <w:i/>
          <w:color w:val="1C384B"/>
          <w:spacing w:val="-1"/>
        </w:rPr>
        <w:t> </w:t>
      </w:r>
      <w:r>
        <w:rPr>
          <w:i/>
          <w:color w:val="1C384B"/>
        </w:rPr>
        <w:t>with</w:t>
      </w:r>
      <w:r>
        <w:rPr>
          <w:i/>
          <w:color w:val="1C384B"/>
          <w:spacing w:val="-3"/>
        </w:rPr>
        <w:t> </w:t>
      </w:r>
      <w:r>
        <w:rPr>
          <w:i/>
          <w:color w:val="1C384B"/>
        </w:rPr>
        <w:t>CBT</w:t>
      </w:r>
    </w:p>
    <w:p>
      <w:pPr>
        <w:pStyle w:val="BodyText"/>
        <w:spacing w:before="5"/>
        <w:rPr>
          <w:rFonts w:ascii="Arial"/>
          <w:i/>
          <w:sz w:val="16"/>
        </w:rPr>
      </w:pPr>
    </w:p>
    <w:tbl>
      <w:tblPr>
        <w:tblW w:w="0" w:type="auto"/>
        <w:jc w:val="left"/>
        <w:tblInd w:w="17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75"/>
        <w:gridCol w:w="9705"/>
      </w:tblGrid>
      <w:tr>
        <w:trPr>
          <w:trHeight w:val="1594" w:hRule="atLeast"/>
        </w:trPr>
        <w:tc>
          <w:tcPr>
            <w:tcW w:w="1075" w:type="dxa"/>
            <w:shd w:val="clear" w:color="auto" w:fill="CE384B"/>
          </w:tcPr>
          <w:p>
            <w:pPr>
              <w:pStyle w:val="TableParagraph"/>
              <w:rPr>
                <w:i/>
                <w:sz w:val="20"/>
              </w:rPr>
            </w:pPr>
          </w:p>
          <w:p>
            <w:pPr>
              <w:pStyle w:val="TableParagraph"/>
              <w:rPr>
                <w:i/>
                <w:sz w:val="20"/>
              </w:rPr>
            </w:pPr>
          </w:p>
          <w:p>
            <w:pPr>
              <w:pStyle w:val="TableParagraph"/>
              <w:spacing w:before="7"/>
              <w:rPr>
                <w:i/>
                <w:sz w:val="20"/>
              </w:rPr>
            </w:pPr>
          </w:p>
          <w:p>
            <w:pPr>
              <w:pStyle w:val="TableParagraph"/>
              <w:ind w:left="117"/>
              <w:rPr>
                <w:sz w:val="20"/>
              </w:rPr>
            </w:pPr>
            <w:r>
              <w:rPr>
                <w:sz w:val="20"/>
              </w:rPr>
              <w:drawing>
                <wp:inline distT="0" distB="0" distL="0" distR="0">
                  <wp:extent cx="507111" cy="507111"/>
                  <wp:effectExtent l="0" t="0" r="0" b="0"/>
                  <wp:docPr id="51" name="image18.png"/>
                  <wp:cNvGraphicFramePr>
                    <a:graphicFrameLocks noChangeAspect="1"/>
                  </wp:cNvGraphicFramePr>
                  <a:graphic>
                    <a:graphicData uri="http://schemas.openxmlformats.org/drawingml/2006/picture">
                      <pic:pic>
                        <pic:nvPicPr>
                          <pic:cNvPr id="52" name="image18.png"/>
                          <pic:cNvPicPr/>
                        </pic:nvPicPr>
                        <pic:blipFill>
                          <a:blip r:embed="rId148" cstate="print"/>
                          <a:stretch>
                            <a:fillRect/>
                          </a:stretch>
                        </pic:blipFill>
                        <pic:spPr>
                          <a:xfrm>
                            <a:off x="0" y="0"/>
                            <a:ext cx="507111" cy="507111"/>
                          </a:xfrm>
                          <a:prstGeom prst="rect">
                            <a:avLst/>
                          </a:prstGeom>
                        </pic:spPr>
                      </pic:pic>
                    </a:graphicData>
                  </a:graphic>
                </wp:inline>
              </w:drawing>
            </w:r>
            <w:r>
              <w:rPr>
                <w:sz w:val="20"/>
              </w:rPr>
            </w:r>
          </w:p>
        </w:tc>
        <w:tc>
          <w:tcPr>
            <w:tcW w:w="9705" w:type="dxa"/>
            <w:shd w:val="clear" w:color="auto" w:fill="F7E4E6"/>
          </w:tcPr>
          <w:p>
            <w:pPr>
              <w:pStyle w:val="TableParagraph"/>
              <w:numPr>
                <w:ilvl w:val="0"/>
                <w:numId w:val="14"/>
              </w:numPr>
              <w:tabs>
                <w:tab w:pos="439" w:val="left" w:leader="none"/>
                <w:tab w:pos="440" w:val="left" w:leader="none"/>
              </w:tabs>
              <w:spacing w:line="247" w:lineRule="auto" w:before="14" w:after="0"/>
              <w:ind w:left="440" w:right="203" w:hanging="360"/>
              <w:jc w:val="left"/>
              <w:rPr>
                <w:sz w:val="11"/>
              </w:rPr>
            </w:pPr>
            <w:r>
              <w:rPr>
                <w:color w:val="231F20"/>
                <w:sz w:val="20"/>
              </w:rPr>
              <w:t>Reduced</w:t>
            </w:r>
            <w:r>
              <w:rPr>
                <w:color w:val="231F20"/>
                <w:spacing w:val="-7"/>
                <w:sz w:val="20"/>
              </w:rPr>
              <w:t> </w:t>
            </w:r>
            <w:r>
              <w:rPr>
                <w:color w:val="231F20"/>
                <w:sz w:val="20"/>
              </w:rPr>
              <w:t>sexual</w:t>
            </w:r>
            <w:r>
              <w:rPr>
                <w:color w:val="231F20"/>
                <w:spacing w:val="-7"/>
                <w:sz w:val="20"/>
              </w:rPr>
              <w:t> </w:t>
            </w:r>
            <w:r>
              <w:rPr>
                <w:color w:val="231F20"/>
                <w:sz w:val="20"/>
              </w:rPr>
              <w:t>behaviors</w:t>
            </w:r>
            <w:r>
              <w:rPr>
                <w:color w:val="231F20"/>
                <w:spacing w:val="-7"/>
                <w:sz w:val="20"/>
              </w:rPr>
              <w:t> </w:t>
            </w:r>
            <w:r>
              <w:rPr>
                <w:color w:val="231F20"/>
                <w:sz w:val="20"/>
              </w:rPr>
              <w:t>that</w:t>
            </w:r>
            <w:r>
              <w:rPr>
                <w:color w:val="231F20"/>
                <w:spacing w:val="-6"/>
                <w:sz w:val="20"/>
              </w:rPr>
              <w:t> </w:t>
            </w:r>
            <w:r>
              <w:rPr>
                <w:color w:val="231F20"/>
                <w:sz w:val="20"/>
              </w:rPr>
              <w:t>increase</w:t>
            </w:r>
            <w:r>
              <w:rPr>
                <w:color w:val="231F20"/>
                <w:spacing w:val="-7"/>
                <w:sz w:val="20"/>
              </w:rPr>
              <w:t> </w:t>
            </w:r>
            <w:r>
              <w:rPr>
                <w:color w:val="231F20"/>
                <w:sz w:val="20"/>
              </w:rPr>
              <w:t>likelihood</w:t>
            </w:r>
            <w:r>
              <w:rPr>
                <w:color w:val="231F20"/>
                <w:spacing w:val="-7"/>
                <w:sz w:val="20"/>
              </w:rPr>
              <w:t> </w:t>
            </w:r>
            <w:r>
              <w:rPr>
                <w:color w:val="231F20"/>
                <w:sz w:val="20"/>
              </w:rPr>
              <w:t>of</w:t>
            </w:r>
            <w:r>
              <w:rPr>
                <w:color w:val="231F20"/>
                <w:spacing w:val="-7"/>
                <w:sz w:val="20"/>
              </w:rPr>
              <w:t> </w:t>
            </w:r>
            <w:r>
              <w:rPr>
                <w:color w:val="231F20"/>
                <w:sz w:val="20"/>
              </w:rPr>
              <w:t>getting</w:t>
            </w:r>
            <w:r>
              <w:rPr>
                <w:color w:val="231F20"/>
                <w:spacing w:val="-7"/>
                <w:sz w:val="20"/>
              </w:rPr>
              <w:t> </w:t>
            </w:r>
            <w:r>
              <w:rPr>
                <w:color w:val="231F20"/>
                <w:sz w:val="20"/>
              </w:rPr>
              <w:t>HIV,</w:t>
            </w:r>
            <w:r>
              <w:rPr>
                <w:color w:val="231F20"/>
                <w:spacing w:val="-6"/>
                <w:sz w:val="20"/>
              </w:rPr>
              <w:t> </w:t>
            </w:r>
            <w:r>
              <w:rPr>
                <w:color w:val="231F20"/>
                <w:sz w:val="20"/>
              </w:rPr>
              <w:t>including</w:t>
            </w:r>
            <w:r>
              <w:rPr>
                <w:color w:val="231F20"/>
                <w:spacing w:val="-7"/>
                <w:sz w:val="20"/>
              </w:rPr>
              <w:t> </w:t>
            </w:r>
            <w:r>
              <w:rPr>
                <w:color w:val="231F20"/>
                <w:sz w:val="20"/>
              </w:rPr>
              <w:t>improved</w:t>
            </w:r>
            <w:r>
              <w:rPr>
                <w:color w:val="231F20"/>
                <w:spacing w:val="-7"/>
                <w:sz w:val="20"/>
              </w:rPr>
              <w:t> </w:t>
            </w:r>
            <w:r>
              <w:rPr>
                <w:color w:val="231F20"/>
                <w:sz w:val="20"/>
              </w:rPr>
              <w:t>attitudes</w:t>
            </w:r>
            <w:r>
              <w:rPr>
                <w:color w:val="231F20"/>
                <w:spacing w:val="-7"/>
                <w:sz w:val="20"/>
              </w:rPr>
              <w:t> </w:t>
            </w:r>
            <w:r>
              <w:rPr>
                <w:color w:val="231F20"/>
                <w:sz w:val="20"/>
              </w:rPr>
              <w:t>towards</w:t>
            </w:r>
            <w:r>
              <w:rPr>
                <w:color w:val="231F20"/>
                <w:spacing w:val="1"/>
                <w:sz w:val="20"/>
              </w:rPr>
              <w:t> </w:t>
            </w:r>
            <w:r>
              <w:rPr>
                <w:color w:val="231F20"/>
                <w:sz w:val="20"/>
              </w:rPr>
              <w:t>condom use</w:t>
            </w:r>
            <w:r>
              <w:rPr>
                <w:color w:val="231F20"/>
                <w:spacing w:val="-1"/>
                <w:sz w:val="20"/>
              </w:rPr>
              <w:t> </w:t>
            </w:r>
            <w:r>
              <w:rPr>
                <w:color w:val="231F20"/>
                <w:sz w:val="20"/>
              </w:rPr>
              <w:t>and</w:t>
            </w:r>
            <w:r>
              <w:rPr>
                <w:color w:val="231F20"/>
                <w:spacing w:val="-1"/>
                <w:sz w:val="20"/>
              </w:rPr>
              <w:t> </w:t>
            </w:r>
            <w:r>
              <w:rPr>
                <w:color w:val="231F20"/>
                <w:sz w:val="20"/>
              </w:rPr>
              <w:t>greater condom use</w:t>
            </w:r>
            <w:r>
              <w:rPr>
                <w:color w:val="231F20"/>
                <w:spacing w:val="-1"/>
                <w:sz w:val="20"/>
              </w:rPr>
              <w:t> </w:t>
            </w:r>
            <w:r>
              <w:rPr>
                <w:color w:val="231F20"/>
                <w:sz w:val="20"/>
              </w:rPr>
              <w:t>skills, sustained</w:t>
            </w:r>
            <w:r>
              <w:rPr>
                <w:color w:val="231F20"/>
                <w:spacing w:val="1"/>
                <w:sz w:val="20"/>
              </w:rPr>
              <w:t> </w:t>
            </w:r>
            <w:r>
              <w:rPr>
                <w:color w:val="231F20"/>
                <w:sz w:val="20"/>
              </w:rPr>
              <w:t>for up</w:t>
            </w:r>
            <w:r>
              <w:rPr>
                <w:color w:val="231F20"/>
                <w:spacing w:val="-1"/>
                <w:sz w:val="20"/>
              </w:rPr>
              <w:t> </w:t>
            </w:r>
            <w:r>
              <w:rPr>
                <w:color w:val="231F20"/>
                <w:sz w:val="20"/>
              </w:rPr>
              <w:t>to</w:t>
            </w:r>
            <w:r>
              <w:rPr>
                <w:color w:val="231F20"/>
                <w:spacing w:val="1"/>
                <w:sz w:val="20"/>
              </w:rPr>
              <w:t> </w:t>
            </w:r>
            <w:r>
              <w:rPr>
                <w:color w:val="231F20"/>
                <w:sz w:val="20"/>
              </w:rPr>
              <w:t>6</w:t>
            </w:r>
            <w:r>
              <w:rPr>
                <w:color w:val="231F20"/>
                <w:spacing w:val="-1"/>
                <w:sz w:val="20"/>
              </w:rPr>
              <w:t> </w:t>
            </w:r>
            <w:r>
              <w:rPr>
                <w:color w:val="231F20"/>
                <w:sz w:val="20"/>
              </w:rPr>
              <w:t>months</w:t>
            </w:r>
            <w:r>
              <w:rPr>
                <w:color w:val="231F20"/>
                <w:position w:val="7"/>
                <w:sz w:val="11"/>
              </w:rPr>
              <w:t>57,62,</w:t>
            </w:r>
            <w:r>
              <w:rPr>
                <w:color w:val="231F20"/>
                <w:spacing w:val="1"/>
                <w:position w:val="7"/>
                <w:sz w:val="11"/>
              </w:rPr>
              <w:t> </w:t>
            </w:r>
            <w:r>
              <w:rPr>
                <w:color w:val="231F20"/>
                <w:position w:val="7"/>
                <w:sz w:val="11"/>
              </w:rPr>
              <w:t>65-66</w:t>
            </w:r>
          </w:p>
          <w:p>
            <w:pPr>
              <w:pStyle w:val="TableParagraph"/>
              <w:numPr>
                <w:ilvl w:val="0"/>
                <w:numId w:val="14"/>
              </w:numPr>
              <w:tabs>
                <w:tab w:pos="439" w:val="left" w:leader="none"/>
                <w:tab w:pos="440" w:val="left" w:leader="none"/>
              </w:tabs>
              <w:spacing w:line="233" w:lineRule="exact" w:before="0" w:after="0"/>
              <w:ind w:left="439" w:right="0" w:hanging="361"/>
              <w:jc w:val="left"/>
              <w:rPr>
                <w:sz w:val="11"/>
              </w:rPr>
            </w:pPr>
            <w:r>
              <w:rPr>
                <w:color w:val="231F20"/>
                <w:sz w:val="20"/>
              </w:rPr>
              <w:t>Reduced</w:t>
            </w:r>
            <w:r>
              <w:rPr>
                <w:color w:val="231F20"/>
                <w:spacing w:val="-2"/>
                <w:sz w:val="20"/>
              </w:rPr>
              <w:t> </w:t>
            </w:r>
            <w:r>
              <w:rPr>
                <w:color w:val="231F20"/>
                <w:sz w:val="20"/>
              </w:rPr>
              <w:t>PTSD and</w:t>
            </w:r>
            <w:r>
              <w:rPr>
                <w:color w:val="231F20"/>
                <w:spacing w:val="-2"/>
                <w:sz w:val="20"/>
              </w:rPr>
              <w:t> </w:t>
            </w:r>
            <w:r>
              <w:rPr>
                <w:color w:val="231F20"/>
                <w:sz w:val="20"/>
              </w:rPr>
              <w:t>depression</w:t>
            </w:r>
            <w:r>
              <w:rPr>
                <w:color w:val="231F20"/>
                <w:spacing w:val="-1"/>
                <w:sz w:val="20"/>
              </w:rPr>
              <w:t> </w:t>
            </w:r>
            <w:r>
              <w:rPr>
                <w:color w:val="231F20"/>
                <w:sz w:val="20"/>
              </w:rPr>
              <w:t>symptom</w:t>
            </w:r>
            <w:r>
              <w:rPr>
                <w:color w:val="231F20"/>
                <w:spacing w:val="-1"/>
                <w:sz w:val="20"/>
              </w:rPr>
              <w:t> </w:t>
            </w:r>
            <w:r>
              <w:rPr>
                <w:color w:val="231F20"/>
                <w:sz w:val="20"/>
              </w:rPr>
              <w:t>severity for</w:t>
            </w:r>
            <w:r>
              <w:rPr>
                <w:color w:val="231F20"/>
                <w:spacing w:val="-1"/>
                <w:sz w:val="20"/>
              </w:rPr>
              <w:t> </w:t>
            </w:r>
            <w:r>
              <w:rPr>
                <w:color w:val="231F20"/>
                <w:sz w:val="20"/>
              </w:rPr>
              <w:t>up</w:t>
            </w:r>
            <w:r>
              <w:rPr>
                <w:color w:val="231F20"/>
                <w:spacing w:val="-1"/>
                <w:sz w:val="20"/>
              </w:rPr>
              <w:t> </w:t>
            </w:r>
            <w:r>
              <w:rPr>
                <w:color w:val="231F20"/>
                <w:sz w:val="20"/>
              </w:rPr>
              <w:t>to</w:t>
            </w:r>
            <w:r>
              <w:rPr>
                <w:color w:val="231F20"/>
                <w:spacing w:val="-1"/>
                <w:sz w:val="20"/>
              </w:rPr>
              <w:t> </w:t>
            </w:r>
            <w:r>
              <w:rPr>
                <w:color w:val="231F20"/>
                <w:sz w:val="20"/>
              </w:rPr>
              <w:t>9</w:t>
            </w:r>
            <w:r>
              <w:rPr>
                <w:color w:val="231F20"/>
                <w:spacing w:val="-1"/>
                <w:sz w:val="20"/>
              </w:rPr>
              <w:t> </w:t>
            </w:r>
            <w:r>
              <w:rPr>
                <w:color w:val="231F20"/>
                <w:sz w:val="20"/>
              </w:rPr>
              <w:t>months</w:t>
            </w:r>
            <w:r>
              <w:rPr>
                <w:color w:val="231F20"/>
                <w:position w:val="7"/>
                <w:sz w:val="11"/>
              </w:rPr>
              <w:t>58,</w:t>
            </w:r>
            <w:r>
              <w:rPr>
                <w:color w:val="231F20"/>
                <w:spacing w:val="1"/>
                <w:position w:val="7"/>
                <w:sz w:val="11"/>
              </w:rPr>
              <w:t> </w:t>
            </w:r>
            <w:r>
              <w:rPr>
                <w:color w:val="231F20"/>
                <w:position w:val="7"/>
                <w:sz w:val="11"/>
              </w:rPr>
              <w:t>60</w:t>
            </w:r>
          </w:p>
          <w:p>
            <w:pPr>
              <w:pStyle w:val="TableParagraph"/>
              <w:numPr>
                <w:ilvl w:val="0"/>
                <w:numId w:val="14"/>
              </w:numPr>
              <w:tabs>
                <w:tab w:pos="439" w:val="left" w:leader="none"/>
                <w:tab w:pos="440" w:val="left" w:leader="none"/>
              </w:tabs>
              <w:spacing w:line="240" w:lineRule="exact" w:before="0" w:after="0"/>
              <w:ind w:left="440" w:right="0" w:hanging="360"/>
              <w:jc w:val="left"/>
              <w:rPr>
                <w:sz w:val="11"/>
              </w:rPr>
            </w:pPr>
            <w:r>
              <w:rPr>
                <w:color w:val="231F20"/>
                <w:sz w:val="20"/>
              </w:rPr>
              <w:t>Reduction</w:t>
            </w:r>
            <w:r>
              <w:rPr>
                <w:color w:val="231F20"/>
                <w:spacing w:val="-2"/>
                <w:sz w:val="20"/>
              </w:rPr>
              <w:t> </w:t>
            </w:r>
            <w:r>
              <w:rPr>
                <w:color w:val="231F20"/>
                <w:sz w:val="20"/>
              </w:rPr>
              <w:t>in</w:t>
            </w:r>
            <w:r>
              <w:rPr>
                <w:color w:val="231F20"/>
                <w:spacing w:val="-2"/>
                <w:sz w:val="20"/>
              </w:rPr>
              <w:t> </w:t>
            </w:r>
            <w:r>
              <w:rPr>
                <w:color w:val="231F20"/>
                <w:sz w:val="20"/>
              </w:rPr>
              <w:t>crystal methamphetamine</w:t>
            </w:r>
            <w:r>
              <w:rPr>
                <w:color w:val="231F20"/>
                <w:spacing w:val="-1"/>
                <w:sz w:val="20"/>
              </w:rPr>
              <w:t> </w:t>
            </w:r>
            <w:r>
              <w:rPr>
                <w:color w:val="231F20"/>
                <w:sz w:val="20"/>
              </w:rPr>
              <w:t>use</w:t>
            </w:r>
            <w:r>
              <w:rPr>
                <w:color w:val="231F20"/>
                <w:spacing w:val="-2"/>
                <w:sz w:val="20"/>
              </w:rPr>
              <w:t> </w:t>
            </w:r>
            <w:r>
              <w:rPr>
                <w:color w:val="231F20"/>
                <w:sz w:val="20"/>
              </w:rPr>
              <w:t>for up</w:t>
            </w:r>
            <w:r>
              <w:rPr>
                <w:color w:val="231F20"/>
                <w:spacing w:val="-2"/>
                <w:sz w:val="20"/>
              </w:rPr>
              <w:t> </w:t>
            </w:r>
            <w:r>
              <w:rPr>
                <w:color w:val="231F20"/>
                <w:sz w:val="20"/>
              </w:rPr>
              <w:t>to</w:t>
            </w:r>
            <w:r>
              <w:rPr>
                <w:color w:val="231F20"/>
                <w:spacing w:val="-1"/>
                <w:sz w:val="20"/>
              </w:rPr>
              <w:t> </w:t>
            </w:r>
            <w:r>
              <w:rPr>
                <w:color w:val="231F20"/>
                <w:sz w:val="20"/>
              </w:rPr>
              <w:t>6</w:t>
            </w:r>
            <w:r>
              <w:rPr>
                <w:color w:val="231F20"/>
                <w:spacing w:val="-1"/>
                <w:sz w:val="20"/>
              </w:rPr>
              <w:t> </w:t>
            </w:r>
            <w:r>
              <w:rPr>
                <w:color w:val="231F20"/>
                <w:sz w:val="20"/>
              </w:rPr>
              <w:t>months</w:t>
            </w:r>
            <w:r>
              <w:rPr>
                <w:color w:val="231F20"/>
                <w:position w:val="7"/>
                <w:sz w:val="11"/>
              </w:rPr>
              <w:t>66</w:t>
            </w:r>
          </w:p>
          <w:p>
            <w:pPr>
              <w:pStyle w:val="TableParagraph"/>
              <w:numPr>
                <w:ilvl w:val="0"/>
                <w:numId w:val="14"/>
              </w:numPr>
              <w:tabs>
                <w:tab w:pos="439" w:val="left" w:leader="none"/>
                <w:tab w:pos="440" w:val="left" w:leader="none"/>
              </w:tabs>
              <w:spacing w:line="243" w:lineRule="exact" w:before="0" w:after="0"/>
              <w:ind w:left="440" w:right="0" w:hanging="360"/>
              <w:jc w:val="left"/>
              <w:rPr>
                <w:sz w:val="20"/>
              </w:rPr>
            </w:pPr>
            <w:r>
              <w:rPr>
                <w:color w:val="231F20"/>
                <w:sz w:val="20"/>
              </w:rPr>
              <w:t>Increased</w:t>
            </w:r>
            <w:r>
              <w:rPr>
                <w:color w:val="231F20"/>
                <w:spacing w:val="-5"/>
                <w:sz w:val="20"/>
              </w:rPr>
              <w:t> </w:t>
            </w:r>
            <w:r>
              <w:rPr>
                <w:color w:val="231F20"/>
                <w:sz w:val="20"/>
              </w:rPr>
              <w:t>perceived</w:t>
            </w:r>
            <w:r>
              <w:rPr>
                <w:color w:val="231F20"/>
                <w:spacing w:val="-5"/>
                <w:sz w:val="20"/>
              </w:rPr>
              <w:t> </w:t>
            </w:r>
            <w:r>
              <w:rPr>
                <w:color w:val="231F20"/>
                <w:sz w:val="20"/>
              </w:rPr>
              <w:t>susceptibility</w:t>
            </w:r>
            <w:r>
              <w:rPr>
                <w:color w:val="231F20"/>
                <w:spacing w:val="-5"/>
                <w:sz w:val="20"/>
              </w:rPr>
              <w:t> </w:t>
            </w:r>
            <w:r>
              <w:rPr>
                <w:color w:val="231F20"/>
                <w:sz w:val="20"/>
              </w:rPr>
              <w:t>to</w:t>
            </w:r>
            <w:r>
              <w:rPr>
                <w:color w:val="231F20"/>
                <w:spacing w:val="-4"/>
                <w:sz w:val="20"/>
              </w:rPr>
              <w:t> </w:t>
            </w:r>
            <w:r>
              <w:rPr>
                <w:color w:val="231F20"/>
                <w:sz w:val="20"/>
              </w:rPr>
              <w:t>getting</w:t>
            </w:r>
            <w:r>
              <w:rPr>
                <w:color w:val="231F20"/>
                <w:spacing w:val="-6"/>
                <w:sz w:val="20"/>
              </w:rPr>
              <w:t> </w:t>
            </w:r>
            <w:r>
              <w:rPr>
                <w:color w:val="231F20"/>
                <w:sz w:val="20"/>
              </w:rPr>
              <w:t>HIV,</w:t>
            </w:r>
            <w:r>
              <w:rPr>
                <w:color w:val="231F20"/>
                <w:spacing w:val="-4"/>
                <w:sz w:val="20"/>
              </w:rPr>
              <w:t> </w:t>
            </w:r>
            <w:r>
              <w:rPr>
                <w:color w:val="231F20"/>
                <w:sz w:val="20"/>
              </w:rPr>
              <w:t>defined</w:t>
            </w:r>
            <w:r>
              <w:rPr>
                <w:color w:val="231F20"/>
                <w:spacing w:val="-6"/>
                <w:sz w:val="20"/>
              </w:rPr>
              <w:t> </w:t>
            </w:r>
            <w:r>
              <w:rPr>
                <w:color w:val="231F20"/>
                <w:sz w:val="20"/>
              </w:rPr>
              <w:t>as</w:t>
            </w:r>
            <w:r>
              <w:rPr>
                <w:color w:val="231F20"/>
                <w:spacing w:val="-5"/>
                <w:sz w:val="20"/>
              </w:rPr>
              <w:t> </w:t>
            </w:r>
            <w:r>
              <w:rPr>
                <w:color w:val="231F20"/>
                <w:sz w:val="20"/>
              </w:rPr>
              <w:t>perceptions</w:t>
            </w:r>
            <w:r>
              <w:rPr>
                <w:color w:val="231F20"/>
                <w:spacing w:val="-5"/>
                <w:sz w:val="20"/>
              </w:rPr>
              <w:t> </w:t>
            </w:r>
            <w:r>
              <w:rPr>
                <w:color w:val="231F20"/>
                <w:sz w:val="20"/>
              </w:rPr>
              <w:t>of</w:t>
            </w:r>
            <w:r>
              <w:rPr>
                <w:color w:val="231F20"/>
                <w:spacing w:val="-6"/>
                <w:sz w:val="20"/>
              </w:rPr>
              <w:t> </w:t>
            </w:r>
            <w:r>
              <w:rPr>
                <w:color w:val="231F20"/>
                <w:sz w:val="20"/>
              </w:rPr>
              <w:t>personal</w:t>
            </w:r>
            <w:r>
              <w:rPr>
                <w:color w:val="231F20"/>
                <w:spacing w:val="-5"/>
                <w:sz w:val="20"/>
              </w:rPr>
              <w:t> </w:t>
            </w:r>
            <w:r>
              <w:rPr>
                <w:color w:val="231F20"/>
                <w:sz w:val="20"/>
              </w:rPr>
              <w:t>vulnerability</w:t>
            </w:r>
            <w:r>
              <w:rPr>
                <w:color w:val="231F20"/>
                <w:spacing w:val="-5"/>
                <w:sz w:val="20"/>
              </w:rPr>
              <w:t> </w:t>
            </w:r>
            <w:r>
              <w:rPr>
                <w:color w:val="231F20"/>
                <w:sz w:val="20"/>
              </w:rPr>
              <w:t>to</w:t>
            </w:r>
            <w:r>
              <w:rPr>
                <w:color w:val="231F20"/>
                <w:spacing w:val="-4"/>
                <w:sz w:val="20"/>
              </w:rPr>
              <w:t> </w:t>
            </w:r>
            <w:r>
              <w:rPr>
                <w:color w:val="231F20"/>
                <w:sz w:val="20"/>
              </w:rPr>
              <w:t>HIV</w:t>
            </w:r>
          </w:p>
          <w:p>
            <w:pPr>
              <w:pStyle w:val="TableParagraph"/>
              <w:spacing w:before="9"/>
              <w:ind w:left="440"/>
              <w:rPr>
                <w:sz w:val="11"/>
              </w:rPr>
            </w:pPr>
            <w:r>
              <w:rPr>
                <w:color w:val="231F20"/>
                <w:sz w:val="20"/>
              </w:rPr>
              <w:t>disease,</w:t>
            </w:r>
            <w:r>
              <w:rPr>
                <w:color w:val="231F20"/>
                <w:spacing w:val="-2"/>
                <w:sz w:val="20"/>
              </w:rPr>
              <w:t> </w:t>
            </w:r>
            <w:r>
              <w:rPr>
                <w:color w:val="231F20"/>
                <w:sz w:val="20"/>
              </w:rPr>
              <w:t>sustained for</w:t>
            </w:r>
            <w:r>
              <w:rPr>
                <w:color w:val="231F20"/>
                <w:spacing w:val="-1"/>
                <w:sz w:val="20"/>
              </w:rPr>
              <w:t> </w:t>
            </w:r>
            <w:r>
              <w:rPr>
                <w:color w:val="231F20"/>
                <w:sz w:val="20"/>
              </w:rPr>
              <w:t>up</w:t>
            </w:r>
            <w:r>
              <w:rPr>
                <w:color w:val="231F20"/>
                <w:spacing w:val="-1"/>
                <w:sz w:val="20"/>
              </w:rPr>
              <w:t> </w:t>
            </w:r>
            <w:r>
              <w:rPr>
                <w:color w:val="231F20"/>
                <w:sz w:val="20"/>
              </w:rPr>
              <w:t>to 6</w:t>
            </w:r>
            <w:r>
              <w:rPr>
                <w:color w:val="231F20"/>
                <w:spacing w:val="-2"/>
                <w:sz w:val="20"/>
              </w:rPr>
              <w:t> </w:t>
            </w:r>
            <w:r>
              <w:rPr>
                <w:color w:val="231F20"/>
                <w:sz w:val="20"/>
              </w:rPr>
              <w:t>months</w:t>
            </w:r>
            <w:r>
              <w:rPr>
                <w:color w:val="231F20"/>
                <w:position w:val="7"/>
                <w:sz w:val="11"/>
              </w:rPr>
              <w:t>57</w:t>
            </w:r>
          </w:p>
        </w:tc>
      </w:tr>
      <w:tr>
        <w:trPr>
          <w:trHeight w:val="815" w:hRule="atLeast"/>
        </w:trPr>
        <w:tc>
          <w:tcPr>
            <w:tcW w:w="1075" w:type="dxa"/>
            <w:shd w:val="clear" w:color="auto" w:fill="CE384B"/>
          </w:tcPr>
          <w:p>
            <w:pPr>
              <w:pStyle w:val="TableParagraph"/>
              <w:spacing w:before="10"/>
              <w:rPr>
                <w:i/>
                <w:sz w:val="2"/>
              </w:rPr>
            </w:pPr>
          </w:p>
          <w:p>
            <w:pPr>
              <w:pStyle w:val="TableParagraph"/>
              <w:ind w:left="119"/>
              <w:rPr>
                <w:sz w:val="20"/>
              </w:rPr>
            </w:pPr>
            <w:r>
              <w:rPr>
                <w:sz w:val="20"/>
              </w:rPr>
              <w:drawing>
                <wp:inline distT="0" distB="0" distL="0" distR="0">
                  <wp:extent cx="495148" cy="491489"/>
                  <wp:effectExtent l="0" t="0" r="0" b="0"/>
                  <wp:docPr id="53" name="image20.png"/>
                  <wp:cNvGraphicFramePr>
                    <a:graphicFrameLocks noChangeAspect="1"/>
                  </wp:cNvGraphicFramePr>
                  <a:graphic>
                    <a:graphicData uri="http://schemas.openxmlformats.org/drawingml/2006/picture">
                      <pic:pic>
                        <pic:nvPicPr>
                          <pic:cNvPr id="54" name="image20.png"/>
                          <pic:cNvPicPr/>
                        </pic:nvPicPr>
                        <pic:blipFill>
                          <a:blip r:embed="rId150" cstate="print"/>
                          <a:stretch>
                            <a:fillRect/>
                          </a:stretch>
                        </pic:blipFill>
                        <pic:spPr>
                          <a:xfrm>
                            <a:off x="0" y="0"/>
                            <a:ext cx="495148" cy="491489"/>
                          </a:xfrm>
                          <a:prstGeom prst="rect">
                            <a:avLst/>
                          </a:prstGeom>
                        </pic:spPr>
                      </pic:pic>
                    </a:graphicData>
                  </a:graphic>
                </wp:inline>
              </w:drawing>
            </w:r>
            <w:r>
              <w:rPr>
                <w:sz w:val="20"/>
              </w:rPr>
            </w:r>
          </w:p>
        </w:tc>
        <w:tc>
          <w:tcPr>
            <w:tcW w:w="9705" w:type="dxa"/>
            <w:shd w:val="clear" w:color="auto" w:fill="F7E4E6"/>
          </w:tcPr>
          <w:p>
            <w:pPr>
              <w:pStyle w:val="TableParagraph"/>
              <w:numPr>
                <w:ilvl w:val="0"/>
                <w:numId w:val="15"/>
              </w:numPr>
              <w:tabs>
                <w:tab w:pos="439" w:val="left" w:leader="none"/>
                <w:tab w:pos="440" w:val="left" w:leader="none"/>
              </w:tabs>
              <w:spacing w:line="243" w:lineRule="exact" w:before="14" w:after="0"/>
              <w:ind w:left="440" w:right="0" w:hanging="360"/>
              <w:jc w:val="left"/>
              <w:rPr>
                <w:sz w:val="11"/>
              </w:rPr>
            </w:pPr>
            <w:r>
              <w:rPr>
                <w:color w:val="231F20"/>
                <w:sz w:val="20"/>
              </w:rPr>
              <w:t>Reduction</w:t>
            </w:r>
            <w:r>
              <w:rPr>
                <w:color w:val="231F20"/>
                <w:spacing w:val="-2"/>
                <w:sz w:val="20"/>
              </w:rPr>
              <w:t> </w:t>
            </w:r>
            <w:r>
              <w:rPr>
                <w:color w:val="231F20"/>
                <w:sz w:val="20"/>
              </w:rPr>
              <w:t>in</w:t>
            </w:r>
            <w:r>
              <w:rPr>
                <w:color w:val="231F20"/>
                <w:spacing w:val="-2"/>
                <w:sz w:val="20"/>
              </w:rPr>
              <w:t> </w:t>
            </w:r>
            <w:r>
              <w:rPr>
                <w:color w:val="231F20"/>
                <w:sz w:val="20"/>
              </w:rPr>
              <w:t>viral</w:t>
            </w:r>
            <w:r>
              <w:rPr>
                <w:color w:val="231F20"/>
                <w:spacing w:val="-1"/>
                <w:sz w:val="20"/>
              </w:rPr>
              <w:t> </w:t>
            </w:r>
            <w:r>
              <w:rPr>
                <w:color w:val="231F20"/>
                <w:sz w:val="20"/>
              </w:rPr>
              <w:t>load,</w:t>
            </w:r>
            <w:r>
              <w:rPr>
                <w:color w:val="231F20"/>
                <w:spacing w:val="-2"/>
                <w:sz w:val="20"/>
              </w:rPr>
              <w:t> </w:t>
            </w:r>
            <w:r>
              <w:rPr>
                <w:color w:val="231F20"/>
                <w:sz w:val="20"/>
              </w:rPr>
              <w:t>sustained</w:t>
            </w:r>
            <w:r>
              <w:rPr>
                <w:color w:val="231F20"/>
                <w:spacing w:val="-1"/>
                <w:sz w:val="20"/>
              </w:rPr>
              <w:t> </w:t>
            </w:r>
            <w:r>
              <w:rPr>
                <w:color w:val="231F20"/>
                <w:sz w:val="20"/>
              </w:rPr>
              <w:t>for</w:t>
            </w:r>
            <w:r>
              <w:rPr>
                <w:color w:val="231F20"/>
                <w:spacing w:val="-1"/>
                <w:sz w:val="20"/>
              </w:rPr>
              <w:t> </w:t>
            </w:r>
            <w:r>
              <w:rPr>
                <w:color w:val="231F20"/>
                <w:sz w:val="20"/>
              </w:rPr>
              <w:t>up</w:t>
            </w:r>
            <w:r>
              <w:rPr>
                <w:color w:val="231F20"/>
                <w:spacing w:val="-2"/>
                <w:sz w:val="20"/>
              </w:rPr>
              <w:t> </w:t>
            </w:r>
            <w:r>
              <w:rPr>
                <w:color w:val="231F20"/>
                <w:sz w:val="20"/>
              </w:rPr>
              <w:t>to</w:t>
            </w:r>
            <w:r>
              <w:rPr>
                <w:color w:val="231F20"/>
                <w:spacing w:val="-1"/>
                <w:sz w:val="20"/>
              </w:rPr>
              <w:t> </w:t>
            </w:r>
            <w:r>
              <w:rPr>
                <w:color w:val="231F20"/>
                <w:sz w:val="20"/>
              </w:rPr>
              <w:t>12</w:t>
            </w:r>
            <w:r>
              <w:rPr>
                <w:color w:val="231F20"/>
                <w:spacing w:val="-2"/>
                <w:sz w:val="20"/>
              </w:rPr>
              <w:t> </w:t>
            </w:r>
            <w:r>
              <w:rPr>
                <w:color w:val="231F20"/>
                <w:sz w:val="20"/>
              </w:rPr>
              <w:t>months</w:t>
            </w:r>
            <w:r>
              <w:rPr>
                <w:color w:val="231F20"/>
                <w:position w:val="7"/>
                <w:sz w:val="11"/>
              </w:rPr>
              <w:t>67</w:t>
            </w:r>
          </w:p>
          <w:p>
            <w:pPr>
              <w:pStyle w:val="TableParagraph"/>
              <w:numPr>
                <w:ilvl w:val="0"/>
                <w:numId w:val="15"/>
              </w:numPr>
              <w:tabs>
                <w:tab w:pos="439" w:val="left" w:leader="none"/>
                <w:tab w:pos="440" w:val="left" w:leader="none"/>
              </w:tabs>
              <w:spacing w:line="243" w:lineRule="exact" w:before="0" w:after="0"/>
              <w:ind w:left="440" w:right="0" w:hanging="360"/>
              <w:jc w:val="left"/>
              <w:rPr>
                <w:sz w:val="11"/>
              </w:rPr>
            </w:pPr>
            <w:r>
              <w:rPr>
                <w:color w:val="231F20"/>
                <w:sz w:val="20"/>
              </w:rPr>
              <w:t>Increase</w:t>
            </w:r>
            <w:r>
              <w:rPr>
                <w:color w:val="231F20"/>
                <w:spacing w:val="-2"/>
                <w:sz w:val="20"/>
              </w:rPr>
              <w:t> </w:t>
            </w:r>
            <w:r>
              <w:rPr>
                <w:color w:val="231F20"/>
                <w:sz w:val="20"/>
              </w:rPr>
              <w:t>in</w:t>
            </w:r>
            <w:r>
              <w:rPr>
                <w:color w:val="231F20"/>
                <w:spacing w:val="-3"/>
                <w:sz w:val="20"/>
              </w:rPr>
              <w:t> </w:t>
            </w:r>
            <w:r>
              <w:rPr>
                <w:color w:val="231F20"/>
                <w:sz w:val="20"/>
              </w:rPr>
              <w:t>adherence</w:t>
            </w:r>
            <w:r>
              <w:rPr>
                <w:color w:val="231F20"/>
                <w:spacing w:val="-3"/>
                <w:sz w:val="20"/>
              </w:rPr>
              <w:t> </w:t>
            </w:r>
            <w:r>
              <w:rPr>
                <w:color w:val="231F20"/>
                <w:sz w:val="20"/>
              </w:rPr>
              <w:t>to</w:t>
            </w:r>
            <w:r>
              <w:rPr>
                <w:color w:val="231F20"/>
                <w:spacing w:val="-12"/>
                <w:sz w:val="20"/>
              </w:rPr>
              <w:t> </w:t>
            </w:r>
            <w:r>
              <w:rPr>
                <w:color w:val="231F20"/>
                <w:sz w:val="20"/>
              </w:rPr>
              <w:t>ART,</w:t>
            </w:r>
            <w:r>
              <w:rPr>
                <w:color w:val="231F20"/>
                <w:spacing w:val="-2"/>
                <w:sz w:val="20"/>
              </w:rPr>
              <w:t> </w:t>
            </w:r>
            <w:r>
              <w:rPr>
                <w:color w:val="231F20"/>
                <w:sz w:val="20"/>
              </w:rPr>
              <w:t>sustained</w:t>
            </w:r>
            <w:r>
              <w:rPr>
                <w:color w:val="231F20"/>
                <w:spacing w:val="-1"/>
                <w:sz w:val="20"/>
              </w:rPr>
              <w:t> </w:t>
            </w:r>
            <w:r>
              <w:rPr>
                <w:color w:val="231F20"/>
                <w:sz w:val="20"/>
              </w:rPr>
              <w:t>for</w:t>
            </w:r>
            <w:r>
              <w:rPr>
                <w:color w:val="231F20"/>
                <w:spacing w:val="-2"/>
                <w:sz w:val="20"/>
              </w:rPr>
              <w:t> </w:t>
            </w:r>
            <w:r>
              <w:rPr>
                <w:color w:val="231F20"/>
                <w:sz w:val="20"/>
              </w:rPr>
              <w:t>up</w:t>
            </w:r>
            <w:r>
              <w:rPr>
                <w:color w:val="231F20"/>
                <w:spacing w:val="-3"/>
                <w:sz w:val="20"/>
              </w:rPr>
              <w:t> </w:t>
            </w:r>
            <w:r>
              <w:rPr>
                <w:color w:val="231F20"/>
                <w:sz w:val="20"/>
              </w:rPr>
              <w:t>to</w:t>
            </w:r>
            <w:r>
              <w:rPr>
                <w:color w:val="231F20"/>
                <w:spacing w:val="-2"/>
                <w:sz w:val="20"/>
              </w:rPr>
              <w:t> </w:t>
            </w:r>
            <w:r>
              <w:rPr>
                <w:color w:val="231F20"/>
                <w:sz w:val="20"/>
              </w:rPr>
              <w:t>15</w:t>
            </w:r>
            <w:r>
              <w:rPr>
                <w:color w:val="231F20"/>
                <w:spacing w:val="-2"/>
                <w:sz w:val="20"/>
              </w:rPr>
              <w:t> </w:t>
            </w:r>
            <w:r>
              <w:rPr>
                <w:color w:val="231F20"/>
                <w:sz w:val="20"/>
              </w:rPr>
              <w:t>months</w:t>
            </w:r>
            <w:r>
              <w:rPr>
                <w:color w:val="231F20"/>
                <w:position w:val="7"/>
                <w:sz w:val="11"/>
              </w:rPr>
              <w:t>63, 68-70</w:t>
            </w:r>
          </w:p>
        </w:tc>
      </w:tr>
    </w:tbl>
    <w:p>
      <w:pPr>
        <w:spacing w:after="0" w:line="243" w:lineRule="exact"/>
        <w:jc w:val="left"/>
        <w:rPr>
          <w:sz w:val="11"/>
        </w:rPr>
        <w:sectPr>
          <w:pgSz w:w="12240" w:h="15840"/>
          <w:pgMar w:header="0" w:footer="666" w:top="380" w:bottom="860" w:left="560" w:right="0"/>
        </w:sectPr>
      </w:pPr>
    </w:p>
    <w:p>
      <w:pPr>
        <w:pStyle w:val="BodyText"/>
        <w:rPr>
          <w:rFonts w:ascii="Arial"/>
          <w:i/>
          <w:sz w:val="20"/>
        </w:rPr>
      </w:pPr>
    </w:p>
    <w:p>
      <w:pPr>
        <w:pStyle w:val="BodyText"/>
        <w:spacing w:before="2"/>
        <w:rPr>
          <w:rFonts w:ascii="Arial"/>
          <w:i/>
          <w:sz w:val="27"/>
        </w:rPr>
      </w:pPr>
    </w:p>
    <w:p>
      <w:pPr>
        <w:spacing w:after="0"/>
        <w:rPr>
          <w:rFonts w:ascii="Arial"/>
          <w:sz w:val="27"/>
        </w:rPr>
        <w:sectPr>
          <w:pgSz w:w="12240" w:h="15840"/>
          <w:pgMar w:header="0" w:footer="666" w:top="380" w:bottom="860" w:left="560" w:right="0"/>
        </w:sectPr>
      </w:pPr>
    </w:p>
    <w:p>
      <w:pPr>
        <w:spacing w:before="93"/>
        <w:ind w:left="160" w:right="0" w:firstLine="0"/>
        <w:jc w:val="left"/>
        <w:rPr>
          <w:rFonts w:ascii="Arial"/>
          <w:i/>
          <w:sz w:val="24"/>
        </w:rPr>
      </w:pPr>
      <w:bookmarkStart w:name="Typical Settings" w:id="67"/>
      <w:bookmarkEnd w:id="67"/>
      <w:r>
        <w:rPr/>
      </w:r>
      <w:bookmarkStart w:name="Demographic Groups" w:id="68"/>
      <w:bookmarkEnd w:id="68"/>
      <w:r>
        <w:rPr/>
      </w:r>
      <w:bookmarkStart w:name="Practitioner Types" w:id="69"/>
      <w:bookmarkEnd w:id="69"/>
      <w:r>
        <w:rPr/>
      </w:r>
      <w:bookmarkStart w:name="Intensity and Duration" w:id="70"/>
      <w:bookmarkEnd w:id="70"/>
      <w:r>
        <w:rPr/>
      </w:r>
      <w:r>
        <w:rPr>
          <w:rFonts w:ascii="Arial"/>
          <w:i/>
          <w:color w:val="1C384B"/>
          <w:spacing w:val="-1"/>
          <w:sz w:val="24"/>
        </w:rPr>
        <w:t>Typical</w:t>
      </w:r>
      <w:r>
        <w:rPr>
          <w:rFonts w:ascii="Arial"/>
          <w:i/>
          <w:color w:val="1C384B"/>
          <w:spacing w:val="-11"/>
          <w:sz w:val="24"/>
        </w:rPr>
        <w:t> </w:t>
      </w:r>
      <w:r>
        <w:rPr>
          <w:rFonts w:ascii="Arial"/>
          <w:i/>
          <w:color w:val="1C384B"/>
          <w:sz w:val="24"/>
        </w:rPr>
        <w:t>Settings</w:t>
      </w:r>
    </w:p>
    <w:p>
      <w:pPr>
        <w:pStyle w:val="BodyText"/>
        <w:spacing w:line="266" w:lineRule="auto" w:before="184"/>
        <w:ind w:left="160"/>
      </w:pPr>
      <w:r>
        <w:rPr>
          <w:color w:val="231F20"/>
        </w:rPr>
        <w:t>Practitioners</w:t>
      </w:r>
      <w:r>
        <w:rPr>
          <w:color w:val="231F20"/>
          <w:spacing w:val="13"/>
        </w:rPr>
        <w:t> </w:t>
      </w:r>
      <w:r>
        <w:rPr>
          <w:color w:val="231F20"/>
        </w:rPr>
        <w:t>can</w:t>
      </w:r>
      <w:r>
        <w:rPr>
          <w:color w:val="231F20"/>
          <w:spacing w:val="14"/>
        </w:rPr>
        <w:t> </w:t>
      </w:r>
      <w:r>
        <w:rPr>
          <w:color w:val="231F20"/>
        </w:rPr>
        <w:t>incorporate</w:t>
      </w:r>
      <w:r>
        <w:rPr>
          <w:color w:val="231F20"/>
          <w:spacing w:val="14"/>
        </w:rPr>
        <w:t> </w:t>
      </w:r>
      <w:r>
        <w:rPr>
          <w:color w:val="231F20"/>
        </w:rPr>
        <w:t>CBT</w:t>
      </w:r>
      <w:r>
        <w:rPr>
          <w:color w:val="231F20"/>
          <w:spacing w:val="9"/>
        </w:rPr>
        <w:t> </w:t>
      </w:r>
      <w:r>
        <w:rPr>
          <w:color w:val="231F20"/>
        </w:rPr>
        <w:t>in</w:t>
      </w:r>
      <w:r>
        <w:rPr>
          <w:color w:val="231F20"/>
          <w:spacing w:val="14"/>
        </w:rPr>
        <w:t> </w:t>
      </w:r>
      <w:r>
        <w:rPr>
          <w:color w:val="231F20"/>
        </w:rPr>
        <w:t>mental</w:t>
      </w:r>
      <w:r>
        <w:rPr>
          <w:color w:val="231F20"/>
          <w:spacing w:val="14"/>
        </w:rPr>
        <w:t> </w:t>
      </w:r>
      <w:r>
        <w:rPr>
          <w:color w:val="231F20"/>
        </w:rPr>
        <w:t>illness</w:t>
      </w:r>
      <w:r>
        <w:rPr>
          <w:color w:val="231F20"/>
          <w:spacing w:val="-52"/>
        </w:rPr>
        <w:t> </w:t>
      </w:r>
      <w:r>
        <w:rPr>
          <w:color w:val="231F20"/>
        </w:rPr>
        <w:t>and/or</w:t>
      </w:r>
      <w:r>
        <w:rPr>
          <w:color w:val="231F20"/>
          <w:spacing w:val="9"/>
        </w:rPr>
        <w:t> </w:t>
      </w:r>
      <w:r>
        <w:rPr>
          <w:color w:val="231F20"/>
        </w:rPr>
        <w:t>SUD</w:t>
      </w:r>
      <w:r>
        <w:rPr>
          <w:color w:val="231F20"/>
          <w:spacing w:val="9"/>
        </w:rPr>
        <w:t> </w:t>
      </w:r>
      <w:r>
        <w:rPr>
          <w:color w:val="231F20"/>
        </w:rPr>
        <w:t>and</w:t>
      </w:r>
      <w:r>
        <w:rPr>
          <w:color w:val="231F20"/>
          <w:spacing w:val="10"/>
        </w:rPr>
        <w:t> </w:t>
      </w:r>
      <w:r>
        <w:rPr>
          <w:color w:val="231F20"/>
        </w:rPr>
        <w:t>social</w:t>
      </w:r>
      <w:r>
        <w:rPr>
          <w:color w:val="231F20"/>
          <w:spacing w:val="9"/>
        </w:rPr>
        <w:t> </w:t>
      </w:r>
      <w:r>
        <w:rPr>
          <w:color w:val="231F20"/>
        </w:rPr>
        <w:t>service</w:t>
      </w:r>
      <w:r>
        <w:rPr>
          <w:color w:val="231F20"/>
          <w:spacing w:val="9"/>
        </w:rPr>
        <w:t> </w:t>
      </w:r>
      <w:r>
        <w:rPr>
          <w:color w:val="231F20"/>
        </w:rPr>
        <w:t>settings</w:t>
      </w:r>
      <w:r>
        <w:rPr>
          <w:color w:val="231F20"/>
          <w:spacing w:val="9"/>
        </w:rPr>
        <w:t> </w:t>
      </w:r>
      <w:r>
        <w:rPr>
          <w:color w:val="231F20"/>
        </w:rPr>
        <w:t>including:</w:t>
      </w:r>
    </w:p>
    <w:p>
      <w:pPr>
        <w:pStyle w:val="ListParagraph"/>
        <w:numPr>
          <w:ilvl w:val="0"/>
          <w:numId w:val="4"/>
        </w:numPr>
        <w:tabs>
          <w:tab w:pos="879" w:val="left" w:leader="none"/>
          <w:tab w:pos="880" w:val="left" w:leader="none"/>
        </w:tabs>
        <w:spacing w:line="267" w:lineRule="exact" w:before="147" w:after="0"/>
        <w:ind w:left="879" w:right="0" w:hanging="361"/>
        <w:jc w:val="left"/>
        <w:rPr>
          <w:rFonts w:ascii="Symbol" w:hAnsi="Symbol"/>
          <w:color w:val="010202"/>
          <w:sz w:val="22"/>
        </w:rPr>
      </w:pPr>
      <w:r>
        <w:rPr>
          <w:color w:val="010202"/>
          <w:sz w:val="22"/>
        </w:rPr>
        <w:t>Academic</w:t>
      </w:r>
      <w:r>
        <w:rPr>
          <w:color w:val="010202"/>
          <w:spacing w:val="-8"/>
          <w:sz w:val="22"/>
        </w:rPr>
        <w:t> </w:t>
      </w:r>
      <w:r>
        <w:rPr>
          <w:color w:val="010202"/>
          <w:sz w:val="22"/>
        </w:rPr>
        <w:t>medical</w:t>
      </w:r>
      <w:r>
        <w:rPr>
          <w:color w:val="010202"/>
          <w:spacing w:val="-6"/>
          <w:sz w:val="22"/>
        </w:rPr>
        <w:t> </w:t>
      </w:r>
      <w:r>
        <w:rPr>
          <w:color w:val="010202"/>
          <w:sz w:val="22"/>
        </w:rPr>
        <w:t>centers</w:t>
      </w:r>
      <w:r>
        <w:rPr>
          <w:color w:val="010202"/>
          <w:sz w:val="22"/>
          <w:vertAlign w:val="superscript"/>
        </w:rPr>
        <w:t>65</w:t>
      </w:r>
    </w:p>
    <w:p>
      <w:pPr>
        <w:pStyle w:val="ListParagraph"/>
        <w:numPr>
          <w:ilvl w:val="0"/>
          <w:numId w:val="4"/>
        </w:numPr>
        <w:tabs>
          <w:tab w:pos="879" w:val="left" w:leader="none"/>
          <w:tab w:pos="880" w:val="left" w:leader="none"/>
        </w:tabs>
        <w:spacing w:line="264" w:lineRule="exact" w:before="0" w:after="0"/>
        <w:ind w:left="879" w:right="0" w:hanging="360"/>
        <w:jc w:val="left"/>
        <w:rPr>
          <w:rFonts w:ascii="Symbol" w:hAnsi="Symbol"/>
          <w:color w:val="010202"/>
          <w:sz w:val="22"/>
        </w:rPr>
      </w:pPr>
      <w:r>
        <w:rPr>
          <w:color w:val="010202"/>
          <w:sz w:val="22"/>
        </w:rPr>
        <w:t>Outpatient</w:t>
      </w:r>
      <w:r>
        <w:rPr>
          <w:color w:val="010202"/>
          <w:spacing w:val="-8"/>
          <w:sz w:val="22"/>
        </w:rPr>
        <w:t> </w:t>
      </w:r>
      <w:r>
        <w:rPr>
          <w:color w:val="010202"/>
          <w:sz w:val="22"/>
        </w:rPr>
        <w:t>treatment</w:t>
      </w:r>
      <w:r>
        <w:rPr>
          <w:color w:val="010202"/>
          <w:spacing w:val="-8"/>
          <w:sz w:val="22"/>
        </w:rPr>
        <w:t> </w:t>
      </w:r>
      <w:r>
        <w:rPr>
          <w:color w:val="010202"/>
          <w:sz w:val="22"/>
        </w:rPr>
        <w:t>centers</w:t>
      </w:r>
      <w:r>
        <w:rPr>
          <w:color w:val="010202"/>
          <w:sz w:val="22"/>
          <w:vertAlign w:val="superscript"/>
        </w:rPr>
        <w:t>57</w:t>
      </w:r>
    </w:p>
    <w:p>
      <w:pPr>
        <w:pStyle w:val="ListParagraph"/>
        <w:numPr>
          <w:ilvl w:val="0"/>
          <w:numId w:val="4"/>
        </w:numPr>
        <w:tabs>
          <w:tab w:pos="879" w:val="left" w:leader="none"/>
          <w:tab w:pos="880" w:val="left" w:leader="none"/>
        </w:tabs>
        <w:spacing w:line="264" w:lineRule="exact" w:before="0" w:after="0"/>
        <w:ind w:left="879" w:right="0" w:hanging="361"/>
        <w:jc w:val="left"/>
        <w:rPr>
          <w:rFonts w:ascii="Symbol" w:hAnsi="Symbol"/>
          <w:color w:val="010202"/>
          <w:sz w:val="22"/>
        </w:rPr>
      </w:pPr>
      <w:r>
        <w:rPr>
          <w:color w:val="010202"/>
          <w:w w:val="95"/>
          <w:sz w:val="22"/>
        </w:rPr>
        <w:t>Methadone</w:t>
      </w:r>
      <w:r>
        <w:rPr>
          <w:color w:val="010202"/>
          <w:spacing w:val="62"/>
          <w:sz w:val="22"/>
        </w:rPr>
        <w:t> </w:t>
      </w:r>
      <w:r>
        <w:rPr>
          <w:color w:val="010202"/>
          <w:w w:val="95"/>
          <w:sz w:val="22"/>
        </w:rPr>
        <w:t>clinics</w:t>
      </w:r>
      <w:r>
        <w:rPr>
          <w:color w:val="010202"/>
          <w:w w:val="95"/>
          <w:sz w:val="22"/>
          <w:vertAlign w:val="superscript"/>
        </w:rPr>
        <w:t>63</w:t>
      </w:r>
    </w:p>
    <w:p>
      <w:pPr>
        <w:pStyle w:val="ListParagraph"/>
        <w:numPr>
          <w:ilvl w:val="0"/>
          <w:numId w:val="4"/>
        </w:numPr>
        <w:tabs>
          <w:tab w:pos="879" w:val="left" w:leader="none"/>
          <w:tab w:pos="880" w:val="left" w:leader="none"/>
        </w:tabs>
        <w:spacing w:line="264" w:lineRule="exact" w:before="0" w:after="0"/>
        <w:ind w:left="879" w:right="0" w:hanging="360"/>
        <w:jc w:val="left"/>
        <w:rPr>
          <w:rFonts w:ascii="Symbol" w:hAnsi="Symbol"/>
          <w:color w:val="010202"/>
          <w:sz w:val="22"/>
        </w:rPr>
      </w:pPr>
      <w:r>
        <w:rPr>
          <w:color w:val="010202"/>
          <w:spacing w:val="-1"/>
          <w:sz w:val="22"/>
        </w:rPr>
        <w:t>Homeless</w:t>
      </w:r>
      <w:r>
        <w:rPr>
          <w:color w:val="010202"/>
          <w:spacing w:val="-11"/>
          <w:sz w:val="22"/>
        </w:rPr>
        <w:t> </w:t>
      </w:r>
      <w:r>
        <w:rPr>
          <w:color w:val="010202"/>
          <w:spacing w:val="-1"/>
          <w:sz w:val="22"/>
        </w:rPr>
        <w:t>shelters</w:t>
      </w:r>
      <w:r>
        <w:rPr>
          <w:color w:val="010202"/>
          <w:spacing w:val="-1"/>
          <w:sz w:val="22"/>
          <w:vertAlign w:val="superscript"/>
        </w:rPr>
        <w:t>71</w:t>
      </w:r>
    </w:p>
    <w:p>
      <w:pPr>
        <w:pStyle w:val="ListParagraph"/>
        <w:numPr>
          <w:ilvl w:val="0"/>
          <w:numId w:val="4"/>
        </w:numPr>
        <w:tabs>
          <w:tab w:pos="879" w:val="left" w:leader="none"/>
          <w:tab w:pos="880" w:val="left" w:leader="none"/>
        </w:tabs>
        <w:spacing w:line="267" w:lineRule="exact" w:before="0" w:after="0"/>
        <w:ind w:left="879" w:right="0" w:hanging="361"/>
        <w:jc w:val="left"/>
        <w:rPr>
          <w:rFonts w:ascii="Symbol" w:hAnsi="Symbol"/>
          <w:color w:val="010202"/>
          <w:sz w:val="22"/>
        </w:rPr>
      </w:pPr>
      <w:r>
        <w:rPr>
          <w:color w:val="010202"/>
          <w:sz w:val="22"/>
        </w:rPr>
        <w:t>Community</w:t>
      </w:r>
      <w:r>
        <w:rPr>
          <w:color w:val="010202"/>
          <w:spacing w:val="-5"/>
          <w:sz w:val="22"/>
        </w:rPr>
        <w:t> </w:t>
      </w:r>
      <w:r>
        <w:rPr>
          <w:color w:val="010202"/>
          <w:sz w:val="22"/>
        </w:rPr>
        <w:t>health</w:t>
      </w:r>
      <w:r>
        <w:rPr>
          <w:color w:val="010202"/>
          <w:spacing w:val="-4"/>
          <w:sz w:val="22"/>
        </w:rPr>
        <w:t> </w:t>
      </w:r>
      <w:r>
        <w:rPr>
          <w:color w:val="010202"/>
          <w:sz w:val="22"/>
        </w:rPr>
        <w:t>clinics</w:t>
      </w:r>
      <w:r>
        <w:rPr>
          <w:color w:val="010202"/>
          <w:sz w:val="22"/>
          <w:vertAlign w:val="superscript"/>
        </w:rPr>
        <w:t>69</w:t>
      </w:r>
    </w:p>
    <w:p>
      <w:pPr>
        <w:pStyle w:val="Heading5"/>
        <w:spacing w:before="194"/>
        <w:rPr>
          <w:i/>
        </w:rPr>
      </w:pPr>
      <w:r>
        <w:rPr>
          <w:i/>
          <w:color w:val="1C384B"/>
        </w:rPr>
        <w:t>Demographic</w:t>
      </w:r>
      <w:r>
        <w:rPr>
          <w:i/>
          <w:color w:val="1C384B"/>
          <w:spacing w:val="-6"/>
        </w:rPr>
        <w:t> </w:t>
      </w:r>
      <w:r>
        <w:rPr>
          <w:i/>
          <w:color w:val="1C384B"/>
        </w:rPr>
        <w:t>Groups</w:t>
      </w:r>
    </w:p>
    <w:p>
      <w:pPr>
        <w:pStyle w:val="BodyText"/>
        <w:spacing w:line="266" w:lineRule="auto" w:before="184"/>
        <w:ind w:left="160" w:right="90"/>
      </w:pPr>
      <w:r>
        <w:rPr>
          <w:color w:val="231F20"/>
        </w:rPr>
        <w:t>CBT</w:t>
      </w:r>
      <w:r>
        <w:rPr>
          <w:color w:val="231F20"/>
          <w:spacing w:val="-7"/>
        </w:rPr>
        <w:t> </w:t>
      </w:r>
      <w:r>
        <w:rPr>
          <w:color w:val="231F20"/>
        </w:rPr>
        <w:t>is</w:t>
      </w:r>
      <w:r>
        <w:rPr>
          <w:color w:val="231F20"/>
          <w:spacing w:val="-3"/>
        </w:rPr>
        <w:t> </w:t>
      </w:r>
      <w:r>
        <w:rPr>
          <w:color w:val="231F20"/>
        </w:rPr>
        <w:t>a</w:t>
      </w:r>
      <w:r>
        <w:rPr>
          <w:color w:val="231F20"/>
          <w:spacing w:val="-3"/>
        </w:rPr>
        <w:t> </w:t>
      </w:r>
      <w:r>
        <w:rPr>
          <w:color w:val="231F20"/>
        </w:rPr>
        <w:t>well-established,</w:t>
      </w:r>
      <w:r>
        <w:rPr>
          <w:color w:val="231F20"/>
          <w:spacing w:val="-4"/>
        </w:rPr>
        <w:t> </w:t>
      </w:r>
      <w:r>
        <w:rPr>
          <w:color w:val="231F20"/>
        </w:rPr>
        <w:t>effective</w:t>
      </w:r>
      <w:r>
        <w:rPr>
          <w:color w:val="231F20"/>
          <w:spacing w:val="-3"/>
        </w:rPr>
        <w:t> </w:t>
      </w:r>
      <w:r>
        <w:rPr>
          <w:color w:val="231F20"/>
        </w:rPr>
        <w:t>treatment</w:t>
      </w:r>
      <w:r>
        <w:rPr>
          <w:color w:val="231F20"/>
          <w:spacing w:val="-3"/>
        </w:rPr>
        <w:t> </w:t>
      </w:r>
      <w:r>
        <w:rPr>
          <w:color w:val="231F20"/>
        </w:rPr>
        <w:t>for</w:t>
      </w:r>
      <w:r>
        <w:rPr>
          <w:color w:val="231F20"/>
          <w:spacing w:val="-2"/>
        </w:rPr>
        <w:t> </w:t>
      </w:r>
      <w:r>
        <w:rPr>
          <w:color w:val="231F20"/>
        </w:rPr>
        <w:t>people</w:t>
      </w:r>
      <w:r>
        <w:rPr>
          <w:color w:val="231F20"/>
          <w:spacing w:val="-52"/>
        </w:rPr>
        <w:t> </w:t>
      </w:r>
      <w:r>
        <w:rPr>
          <w:color w:val="231F20"/>
        </w:rPr>
        <w:t>with mental illness and/or SUD who have or at risk for</w:t>
      </w:r>
      <w:r>
        <w:rPr>
          <w:color w:val="231F20"/>
          <w:spacing w:val="1"/>
        </w:rPr>
        <w:t> </w:t>
      </w:r>
      <w:r>
        <w:rPr>
          <w:color w:val="231F20"/>
        </w:rPr>
        <w:t>HIV. It is appropriate for anyone who can relate to the</w:t>
      </w:r>
      <w:r>
        <w:rPr>
          <w:color w:val="231F20"/>
          <w:spacing w:val="1"/>
        </w:rPr>
        <w:t> </w:t>
      </w:r>
      <w:r>
        <w:rPr>
          <w:color w:val="231F20"/>
        </w:rPr>
        <w:t>CBT core components, problem-solving approach, and</w:t>
      </w:r>
      <w:r>
        <w:rPr>
          <w:color w:val="231F20"/>
          <w:spacing w:val="1"/>
        </w:rPr>
        <w:t> </w:t>
      </w:r>
      <w:r>
        <w:rPr>
          <w:color w:val="231F20"/>
        </w:rPr>
        <w:t>structure,</w:t>
      </w:r>
      <w:r>
        <w:rPr>
          <w:color w:val="231F20"/>
          <w:spacing w:val="-2"/>
        </w:rPr>
        <w:t> </w:t>
      </w:r>
      <w:r>
        <w:rPr>
          <w:color w:val="231F20"/>
        </w:rPr>
        <w:t>including:</w:t>
      </w:r>
    </w:p>
    <w:p>
      <w:pPr>
        <w:pStyle w:val="BodyText"/>
        <w:spacing w:before="9"/>
        <w:rPr>
          <w:sz w:val="15"/>
        </w:rPr>
      </w:pPr>
    </w:p>
    <w:tbl>
      <w:tblPr>
        <w:tblW w:w="0" w:type="auto"/>
        <w:jc w:val="left"/>
        <w:tblInd w:w="18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08"/>
        <w:gridCol w:w="4012"/>
      </w:tblGrid>
      <w:tr>
        <w:trPr>
          <w:trHeight w:val="2685" w:hRule="atLeast"/>
        </w:trPr>
        <w:tc>
          <w:tcPr>
            <w:tcW w:w="1008" w:type="dxa"/>
            <w:shd w:val="clear" w:color="auto" w:fill="CE384B"/>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7"/>
              <w:rPr>
                <w:rFonts w:ascii="Times New Roman"/>
                <w:sz w:val="20"/>
              </w:rPr>
            </w:pPr>
          </w:p>
          <w:p>
            <w:pPr>
              <w:pStyle w:val="TableParagraph"/>
              <w:ind w:left="98"/>
              <w:rPr>
                <w:rFonts w:ascii="Times New Roman"/>
                <w:sz w:val="20"/>
              </w:rPr>
            </w:pPr>
            <w:r>
              <w:rPr>
                <w:rFonts w:ascii="Times New Roman"/>
                <w:sz w:val="20"/>
              </w:rPr>
              <w:drawing>
                <wp:inline distT="0" distB="0" distL="0" distR="0">
                  <wp:extent cx="507110" cy="507111"/>
                  <wp:effectExtent l="0" t="0" r="0" b="0"/>
                  <wp:docPr id="55" name="image18.png"/>
                  <wp:cNvGraphicFramePr>
                    <a:graphicFrameLocks noChangeAspect="1"/>
                  </wp:cNvGraphicFramePr>
                  <a:graphic>
                    <a:graphicData uri="http://schemas.openxmlformats.org/drawingml/2006/picture">
                      <pic:pic>
                        <pic:nvPicPr>
                          <pic:cNvPr id="56" name="image18.png"/>
                          <pic:cNvPicPr/>
                        </pic:nvPicPr>
                        <pic:blipFill>
                          <a:blip r:embed="rId148" cstate="print"/>
                          <a:stretch>
                            <a:fillRect/>
                          </a:stretch>
                        </pic:blipFill>
                        <pic:spPr>
                          <a:xfrm>
                            <a:off x="0" y="0"/>
                            <a:ext cx="507110" cy="507111"/>
                          </a:xfrm>
                          <a:prstGeom prst="rect">
                            <a:avLst/>
                          </a:prstGeom>
                        </pic:spPr>
                      </pic:pic>
                    </a:graphicData>
                  </a:graphic>
                </wp:inline>
              </w:drawing>
            </w:r>
            <w:r>
              <w:rPr>
                <w:rFonts w:ascii="Times New Roman"/>
                <w:sz w:val="20"/>
              </w:rPr>
            </w:r>
          </w:p>
        </w:tc>
        <w:tc>
          <w:tcPr>
            <w:tcW w:w="4012" w:type="dxa"/>
            <w:shd w:val="clear" w:color="auto" w:fill="F7E4E6"/>
          </w:tcPr>
          <w:p>
            <w:pPr>
              <w:pStyle w:val="TableParagraph"/>
              <w:numPr>
                <w:ilvl w:val="0"/>
                <w:numId w:val="16"/>
              </w:numPr>
              <w:tabs>
                <w:tab w:pos="439" w:val="left" w:leader="none"/>
                <w:tab w:pos="440" w:val="left" w:leader="none"/>
              </w:tabs>
              <w:spacing w:line="247" w:lineRule="auto" w:before="14" w:after="0"/>
              <w:ind w:left="440" w:right="371" w:hanging="360"/>
              <w:jc w:val="left"/>
              <w:rPr>
                <w:sz w:val="11"/>
              </w:rPr>
            </w:pPr>
            <w:r>
              <w:rPr>
                <w:color w:val="231F20"/>
                <w:sz w:val="20"/>
              </w:rPr>
              <w:t>Men who have sex with men (MSM)</w:t>
            </w:r>
            <w:r>
              <w:rPr>
                <w:color w:val="231F20"/>
                <w:spacing w:val="-54"/>
                <w:sz w:val="20"/>
              </w:rPr>
              <w:t> </w:t>
            </w:r>
            <w:r>
              <w:rPr>
                <w:color w:val="231F20"/>
                <w:sz w:val="20"/>
              </w:rPr>
              <w:t>who</w:t>
            </w:r>
            <w:r>
              <w:rPr>
                <w:color w:val="231F20"/>
                <w:spacing w:val="-1"/>
                <w:sz w:val="20"/>
              </w:rPr>
              <w:t> </w:t>
            </w:r>
            <w:r>
              <w:rPr>
                <w:color w:val="231F20"/>
                <w:sz w:val="20"/>
              </w:rPr>
              <w:t>are</w:t>
            </w:r>
            <w:r>
              <w:rPr>
                <w:color w:val="231F20"/>
                <w:spacing w:val="-1"/>
                <w:sz w:val="20"/>
              </w:rPr>
              <w:t> </w:t>
            </w:r>
            <w:r>
              <w:rPr>
                <w:color w:val="231F20"/>
                <w:sz w:val="20"/>
              </w:rPr>
              <w:t>at</w:t>
            </w:r>
            <w:r>
              <w:rPr>
                <w:color w:val="231F20"/>
                <w:spacing w:val="-1"/>
                <w:sz w:val="20"/>
              </w:rPr>
              <w:t> </w:t>
            </w:r>
            <w:r>
              <w:rPr>
                <w:color w:val="231F20"/>
                <w:sz w:val="20"/>
              </w:rPr>
              <w:t>risk</w:t>
            </w:r>
            <w:r>
              <w:rPr>
                <w:color w:val="231F20"/>
                <w:spacing w:val="1"/>
                <w:sz w:val="20"/>
              </w:rPr>
              <w:t> </w:t>
            </w:r>
            <w:r>
              <w:rPr>
                <w:color w:val="231F20"/>
                <w:sz w:val="20"/>
              </w:rPr>
              <w:t>for HIV</w:t>
            </w:r>
            <w:r>
              <w:rPr>
                <w:color w:val="231F20"/>
                <w:position w:val="7"/>
                <w:sz w:val="11"/>
              </w:rPr>
              <w:t>61,</w:t>
            </w:r>
            <w:r>
              <w:rPr>
                <w:color w:val="231F20"/>
                <w:spacing w:val="1"/>
                <w:position w:val="7"/>
                <w:sz w:val="11"/>
              </w:rPr>
              <w:t> </w:t>
            </w:r>
            <w:r>
              <w:rPr>
                <w:color w:val="231F20"/>
                <w:position w:val="7"/>
                <w:sz w:val="11"/>
              </w:rPr>
              <w:t>71</w:t>
            </w:r>
          </w:p>
          <w:p>
            <w:pPr>
              <w:pStyle w:val="TableParagraph"/>
              <w:numPr>
                <w:ilvl w:val="0"/>
                <w:numId w:val="16"/>
              </w:numPr>
              <w:tabs>
                <w:tab w:pos="439" w:val="left" w:leader="none"/>
                <w:tab w:pos="440" w:val="left" w:leader="none"/>
              </w:tabs>
              <w:spacing w:line="247" w:lineRule="auto" w:before="0" w:after="0"/>
              <w:ind w:left="440" w:right="371" w:hanging="360"/>
              <w:jc w:val="left"/>
              <w:rPr>
                <w:sz w:val="11"/>
              </w:rPr>
            </w:pPr>
            <w:r>
              <w:rPr>
                <w:color w:val="231F20"/>
                <w:sz w:val="20"/>
              </w:rPr>
              <w:t>People</w:t>
            </w:r>
            <w:r>
              <w:rPr>
                <w:color w:val="231F20"/>
                <w:spacing w:val="-3"/>
                <w:sz w:val="20"/>
              </w:rPr>
              <w:t> </w:t>
            </w:r>
            <w:r>
              <w:rPr>
                <w:color w:val="231F20"/>
                <w:sz w:val="20"/>
              </w:rPr>
              <w:t>with</w:t>
            </w:r>
            <w:r>
              <w:rPr>
                <w:color w:val="231F20"/>
                <w:spacing w:val="-3"/>
                <w:sz w:val="20"/>
              </w:rPr>
              <w:t> </w:t>
            </w:r>
            <w:r>
              <w:rPr>
                <w:color w:val="231F20"/>
                <w:sz w:val="20"/>
              </w:rPr>
              <w:t>severe</w:t>
            </w:r>
            <w:r>
              <w:rPr>
                <w:color w:val="231F20"/>
                <w:spacing w:val="-2"/>
                <w:sz w:val="20"/>
              </w:rPr>
              <w:t> </w:t>
            </w:r>
            <w:r>
              <w:rPr>
                <w:color w:val="231F20"/>
                <w:sz w:val="20"/>
              </w:rPr>
              <w:t>mental</w:t>
            </w:r>
            <w:r>
              <w:rPr>
                <w:color w:val="231F20"/>
                <w:spacing w:val="-2"/>
                <w:sz w:val="20"/>
              </w:rPr>
              <w:t> </w:t>
            </w:r>
            <w:r>
              <w:rPr>
                <w:color w:val="231F20"/>
                <w:sz w:val="20"/>
              </w:rPr>
              <w:t>illness</w:t>
            </w:r>
            <w:r>
              <w:rPr>
                <w:color w:val="231F20"/>
                <w:spacing w:val="-3"/>
                <w:sz w:val="20"/>
              </w:rPr>
              <w:t> </w:t>
            </w:r>
            <w:r>
              <w:rPr>
                <w:color w:val="231F20"/>
                <w:sz w:val="20"/>
              </w:rPr>
              <w:t>at</w:t>
            </w:r>
            <w:r>
              <w:rPr>
                <w:color w:val="231F20"/>
                <w:spacing w:val="-53"/>
                <w:sz w:val="20"/>
              </w:rPr>
              <w:t> </w:t>
            </w:r>
            <w:r>
              <w:rPr>
                <w:color w:val="231F20"/>
                <w:sz w:val="20"/>
              </w:rPr>
              <w:t>risk for HIV</w:t>
            </w:r>
            <w:r>
              <w:rPr>
                <w:color w:val="231F20"/>
                <w:position w:val="7"/>
                <w:sz w:val="11"/>
              </w:rPr>
              <w:t>57</w:t>
            </w:r>
          </w:p>
          <w:p>
            <w:pPr>
              <w:pStyle w:val="TableParagraph"/>
              <w:numPr>
                <w:ilvl w:val="0"/>
                <w:numId w:val="16"/>
              </w:numPr>
              <w:tabs>
                <w:tab w:pos="439" w:val="left" w:leader="none"/>
                <w:tab w:pos="440" w:val="left" w:leader="none"/>
              </w:tabs>
              <w:spacing w:line="249" w:lineRule="auto" w:before="0" w:after="0"/>
              <w:ind w:left="440" w:right="149" w:hanging="360"/>
              <w:jc w:val="left"/>
              <w:rPr>
                <w:sz w:val="11"/>
              </w:rPr>
            </w:pPr>
            <w:r>
              <w:rPr>
                <w:color w:val="231F20"/>
                <w:sz w:val="20"/>
              </w:rPr>
              <w:t>People with at least one HIV-related</w:t>
            </w:r>
            <w:r>
              <w:rPr>
                <w:color w:val="231F20"/>
                <w:spacing w:val="1"/>
                <w:sz w:val="20"/>
              </w:rPr>
              <w:t> </w:t>
            </w:r>
            <w:r>
              <w:rPr>
                <w:color w:val="231F20"/>
                <w:sz w:val="20"/>
              </w:rPr>
              <w:t>risk behavior, including self-reported</w:t>
            </w:r>
            <w:r>
              <w:rPr>
                <w:color w:val="231F20"/>
                <w:spacing w:val="1"/>
                <w:sz w:val="20"/>
              </w:rPr>
              <w:t> </w:t>
            </w:r>
            <w:r>
              <w:rPr>
                <w:color w:val="231F20"/>
                <w:sz w:val="20"/>
              </w:rPr>
              <w:t>injection drug use, two or more sex</w:t>
            </w:r>
            <w:r>
              <w:rPr>
                <w:color w:val="231F20"/>
                <w:spacing w:val="1"/>
                <w:sz w:val="20"/>
              </w:rPr>
              <w:t> </w:t>
            </w:r>
            <w:r>
              <w:rPr>
                <w:color w:val="231F20"/>
                <w:sz w:val="20"/>
              </w:rPr>
              <w:t>partners</w:t>
            </w:r>
            <w:r>
              <w:rPr>
                <w:color w:val="231F20"/>
                <w:spacing w:val="-5"/>
                <w:sz w:val="20"/>
              </w:rPr>
              <w:t> </w:t>
            </w:r>
            <w:r>
              <w:rPr>
                <w:color w:val="231F20"/>
                <w:sz w:val="20"/>
              </w:rPr>
              <w:t>in</w:t>
            </w:r>
            <w:r>
              <w:rPr>
                <w:color w:val="231F20"/>
                <w:spacing w:val="-4"/>
                <w:sz w:val="20"/>
              </w:rPr>
              <w:t> </w:t>
            </w:r>
            <w:r>
              <w:rPr>
                <w:color w:val="231F20"/>
                <w:sz w:val="20"/>
              </w:rPr>
              <w:t>the</w:t>
            </w:r>
            <w:r>
              <w:rPr>
                <w:color w:val="231F20"/>
                <w:spacing w:val="-3"/>
                <w:sz w:val="20"/>
              </w:rPr>
              <w:t> </w:t>
            </w:r>
            <w:r>
              <w:rPr>
                <w:color w:val="231F20"/>
                <w:sz w:val="20"/>
              </w:rPr>
              <w:t>past</w:t>
            </w:r>
            <w:r>
              <w:rPr>
                <w:color w:val="231F20"/>
                <w:spacing w:val="-4"/>
                <w:sz w:val="20"/>
              </w:rPr>
              <w:t> </w:t>
            </w:r>
            <w:r>
              <w:rPr>
                <w:color w:val="231F20"/>
                <w:sz w:val="20"/>
              </w:rPr>
              <w:t>90</w:t>
            </w:r>
            <w:r>
              <w:rPr>
                <w:color w:val="231F20"/>
                <w:spacing w:val="-4"/>
                <w:sz w:val="20"/>
              </w:rPr>
              <w:t> </w:t>
            </w:r>
            <w:r>
              <w:rPr>
                <w:color w:val="231F20"/>
                <w:sz w:val="20"/>
              </w:rPr>
              <w:t>days,</w:t>
            </w:r>
            <w:r>
              <w:rPr>
                <w:color w:val="231F20"/>
                <w:spacing w:val="-4"/>
                <w:sz w:val="20"/>
              </w:rPr>
              <w:t> </w:t>
            </w:r>
            <w:r>
              <w:rPr>
                <w:color w:val="231F20"/>
                <w:sz w:val="20"/>
              </w:rPr>
              <w:t>or</w:t>
            </w:r>
            <w:r>
              <w:rPr>
                <w:color w:val="231F20"/>
                <w:spacing w:val="-4"/>
                <w:sz w:val="20"/>
              </w:rPr>
              <w:t> </w:t>
            </w:r>
            <w:r>
              <w:rPr>
                <w:color w:val="231F20"/>
                <w:sz w:val="20"/>
              </w:rPr>
              <w:t>having</w:t>
            </w:r>
            <w:r>
              <w:rPr>
                <w:color w:val="231F20"/>
                <w:spacing w:val="-52"/>
                <w:sz w:val="20"/>
              </w:rPr>
              <w:t> </w:t>
            </w:r>
            <w:r>
              <w:rPr>
                <w:color w:val="231F20"/>
                <w:sz w:val="20"/>
              </w:rPr>
              <w:t>a</w:t>
            </w:r>
            <w:r>
              <w:rPr>
                <w:color w:val="231F20"/>
                <w:spacing w:val="-2"/>
                <w:sz w:val="20"/>
              </w:rPr>
              <w:t> </w:t>
            </w:r>
            <w:r>
              <w:rPr>
                <w:color w:val="231F20"/>
                <w:sz w:val="20"/>
              </w:rPr>
              <w:t>partner</w:t>
            </w:r>
            <w:r>
              <w:rPr>
                <w:color w:val="231F20"/>
                <w:spacing w:val="-1"/>
                <w:sz w:val="20"/>
              </w:rPr>
              <w:t> </w:t>
            </w:r>
            <w:r>
              <w:rPr>
                <w:color w:val="231F20"/>
                <w:sz w:val="20"/>
              </w:rPr>
              <w:t>with</w:t>
            </w:r>
            <w:r>
              <w:rPr>
                <w:color w:val="231F20"/>
                <w:spacing w:val="-1"/>
                <w:sz w:val="20"/>
              </w:rPr>
              <w:t> </w:t>
            </w:r>
            <w:r>
              <w:rPr>
                <w:color w:val="231F20"/>
                <w:sz w:val="20"/>
              </w:rPr>
              <w:t>HIV</w:t>
            </w:r>
            <w:r>
              <w:rPr>
                <w:color w:val="231F20"/>
                <w:position w:val="7"/>
                <w:sz w:val="11"/>
              </w:rPr>
              <w:t>65</w:t>
            </w:r>
          </w:p>
          <w:p>
            <w:pPr>
              <w:pStyle w:val="TableParagraph"/>
              <w:numPr>
                <w:ilvl w:val="0"/>
                <w:numId w:val="16"/>
              </w:numPr>
              <w:tabs>
                <w:tab w:pos="439" w:val="left" w:leader="none"/>
                <w:tab w:pos="440" w:val="left" w:leader="none"/>
              </w:tabs>
              <w:spacing w:line="247" w:lineRule="auto" w:before="0" w:after="0"/>
              <w:ind w:left="440" w:right="382" w:hanging="360"/>
              <w:jc w:val="left"/>
              <w:rPr>
                <w:sz w:val="11"/>
              </w:rPr>
            </w:pPr>
            <w:r>
              <w:rPr>
                <w:color w:val="231F20"/>
                <w:sz w:val="20"/>
              </w:rPr>
              <w:t>People</w:t>
            </w:r>
            <w:r>
              <w:rPr>
                <w:color w:val="231F20"/>
                <w:spacing w:val="-2"/>
                <w:sz w:val="20"/>
              </w:rPr>
              <w:t> </w:t>
            </w:r>
            <w:r>
              <w:rPr>
                <w:color w:val="231F20"/>
                <w:sz w:val="20"/>
              </w:rPr>
              <w:t>with</w:t>
            </w:r>
            <w:r>
              <w:rPr>
                <w:color w:val="231F20"/>
                <w:spacing w:val="-3"/>
                <w:sz w:val="20"/>
              </w:rPr>
              <w:t> </w:t>
            </w:r>
            <w:r>
              <w:rPr>
                <w:color w:val="231F20"/>
                <w:sz w:val="20"/>
              </w:rPr>
              <w:t>a</w:t>
            </w:r>
            <w:r>
              <w:rPr>
                <w:color w:val="231F20"/>
                <w:spacing w:val="-2"/>
                <w:sz w:val="20"/>
              </w:rPr>
              <w:t> </w:t>
            </w:r>
            <w:r>
              <w:rPr>
                <w:color w:val="231F20"/>
                <w:sz w:val="20"/>
              </w:rPr>
              <w:t>history</w:t>
            </w:r>
            <w:r>
              <w:rPr>
                <w:color w:val="231F20"/>
                <w:spacing w:val="-3"/>
                <w:sz w:val="20"/>
              </w:rPr>
              <w:t> </w:t>
            </w:r>
            <w:r>
              <w:rPr>
                <w:color w:val="231F20"/>
                <w:sz w:val="20"/>
              </w:rPr>
              <w:t>of</w:t>
            </w:r>
            <w:r>
              <w:rPr>
                <w:color w:val="231F20"/>
                <w:spacing w:val="-2"/>
                <w:sz w:val="20"/>
              </w:rPr>
              <w:t> </w:t>
            </w:r>
            <w:r>
              <w:rPr>
                <w:color w:val="231F20"/>
                <w:sz w:val="20"/>
              </w:rPr>
              <w:t>child</w:t>
            </w:r>
            <w:r>
              <w:rPr>
                <w:color w:val="231F20"/>
                <w:spacing w:val="-2"/>
                <w:sz w:val="20"/>
              </w:rPr>
              <w:t> </w:t>
            </w:r>
            <w:r>
              <w:rPr>
                <w:color w:val="231F20"/>
                <w:sz w:val="20"/>
              </w:rPr>
              <w:t>sexual</w:t>
            </w:r>
            <w:r>
              <w:rPr>
                <w:color w:val="231F20"/>
                <w:spacing w:val="-53"/>
                <w:sz w:val="20"/>
              </w:rPr>
              <w:t> </w:t>
            </w:r>
            <w:r>
              <w:rPr>
                <w:color w:val="231F20"/>
                <w:sz w:val="20"/>
              </w:rPr>
              <w:t>abuse</w:t>
            </w:r>
            <w:r>
              <w:rPr>
                <w:color w:val="231F20"/>
                <w:spacing w:val="-2"/>
                <w:sz w:val="20"/>
              </w:rPr>
              <w:t> </w:t>
            </w:r>
            <w:r>
              <w:rPr>
                <w:color w:val="231F20"/>
                <w:sz w:val="20"/>
              </w:rPr>
              <w:t>and</w:t>
            </w:r>
            <w:r>
              <w:rPr>
                <w:color w:val="231F20"/>
                <w:spacing w:val="-2"/>
                <w:sz w:val="20"/>
              </w:rPr>
              <w:t> </w:t>
            </w:r>
            <w:r>
              <w:rPr>
                <w:color w:val="231F20"/>
                <w:sz w:val="20"/>
              </w:rPr>
              <w:t>at</w:t>
            </w:r>
            <w:r>
              <w:rPr>
                <w:color w:val="231F20"/>
                <w:spacing w:val="-2"/>
                <w:sz w:val="20"/>
              </w:rPr>
              <w:t> </w:t>
            </w:r>
            <w:r>
              <w:rPr>
                <w:color w:val="231F20"/>
                <w:sz w:val="20"/>
              </w:rPr>
              <w:t>risk</w:t>
            </w:r>
            <w:r>
              <w:rPr>
                <w:color w:val="231F20"/>
                <w:spacing w:val="-1"/>
                <w:sz w:val="20"/>
              </w:rPr>
              <w:t> </w:t>
            </w:r>
            <w:r>
              <w:rPr>
                <w:color w:val="231F20"/>
                <w:sz w:val="20"/>
              </w:rPr>
              <w:t>for</w:t>
            </w:r>
            <w:r>
              <w:rPr>
                <w:color w:val="231F20"/>
                <w:spacing w:val="-1"/>
                <w:sz w:val="20"/>
              </w:rPr>
              <w:t> </w:t>
            </w:r>
            <w:r>
              <w:rPr>
                <w:color w:val="231F20"/>
                <w:sz w:val="20"/>
              </w:rPr>
              <w:t>getting</w:t>
            </w:r>
            <w:r>
              <w:rPr>
                <w:color w:val="231F20"/>
                <w:spacing w:val="-2"/>
                <w:sz w:val="20"/>
              </w:rPr>
              <w:t> </w:t>
            </w:r>
            <w:r>
              <w:rPr>
                <w:color w:val="231F20"/>
                <w:sz w:val="20"/>
              </w:rPr>
              <w:t>HIV</w:t>
            </w:r>
            <w:r>
              <w:rPr>
                <w:color w:val="231F20"/>
                <w:position w:val="7"/>
                <w:sz w:val="11"/>
              </w:rPr>
              <w:t>58</w:t>
            </w:r>
          </w:p>
        </w:tc>
      </w:tr>
      <w:tr>
        <w:trPr>
          <w:trHeight w:val="997" w:hRule="atLeast"/>
        </w:trPr>
        <w:tc>
          <w:tcPr>
            <w:tcW w:w="1008" w:type="dxa"/>
            <w:shd w:val="clear" w:color="auto" w:fill="CE384B"/>
          </w:tcPr>
          <w:p>
            <w:pPr>
              <w:pStyle w:val="TableParagraph"/>
              <w:spacing w:before="5"/>
              <w:rPr>
                <w:rFonts w:ascii="Times New Roman"/>
                <w:sz w:val="7"/>
              </w:rPr>
            </w:pPr>
          </w:p>
          <w:p>
            <w:pPr>
              <w:pStyle w:val="TableParagraph"/>
              <w:ind w:left="102"/>
              <w:rPr>
                <w:rFonts w:ascii="Times New Roman"/>
                <w:sz w:val="20"/>
              </w:rPr>
            </w:pPr>
            <w:r>
              <w:rPr>
                <w:rFonts w:ascii="Times New Roman"/>
                <w:sz w:val="20"/>
              </w:rPr>
              <w:drawing>
                <wp:inline distT="0" distB="0" distL="0" distR="0">
                  <wp:extent cx="502920" cy="502920"/>
                  <wp:effectExtent l="0" t="0" r="0" b="0"/>
                  <wp:docPr id="57" name="image20.png"/>
                  <wp:cNvGraphicFramePr>
                    <a:graphicFrameLocks noChangeAspect="1"/>
                  </wp:cNvGraphicFramePr>
                  <a:graphic>
                    <a:graphicData uri="http://schemas.openxmlformats.org/drawingml/2006/picture">
                      <pic:pic>
                        <pic:nvPicPr>
                          <pic:cNvPr id="58" name="image20.png"/>
                          <pic:cNvPicPr/>
                        </pic:nvPicPr>
                        <pic:blipFill>
                          <a:blip r:embed="rId150" cstate="print"/>
                          <a:stretch>
                            <a:fillRect/>
                          </a:stretch>
                        </pic:blipFill>
                        <pic:spPr>
                          <a:xfrm>
                            <a:off x="0" y="0"/>
                            <a:ext cx="502920" cy="502920"/>
                          </a:xfrm>
                          <a:prstGeom prst="rect">
                            <a:avLst/>
                          </a:prstGeom>
                        </pic:spPr>
                      </pic:pic>
                    </a:graphicData>
                  </a:graphic>
                </wp:inline>
              </w:drawing>
            </w:r>
            <w:r>
              <w:rPr>
                <w:rFonts w:ascii="Times New Roman"/>
                <w:sz w:val="20"/>
              </w:rPr>
            </w:r>
          </w:p>
        </w:tc>
        <w:tc>
          <w:tcPr>
            <w:tcW w:w="4012" w:type="dxa"/>
            <w:shd w:val="clear" w:color="auto" w:fill="F7E4E6"/>
          </w:tcPr>
          <w:p>
            <w:pPr>
              <w:pStyle w:val="TableParagraph"/>
              <w:numPr>
                <w:ilvl w:val="0"/>
                <w:numId w:val="17"/>
              </w:numPr>
              <w:tabs>
                <w:tab w:pos="439" w:val="left" w:leader="none"/>
                <w:tab w:pos="440" w:val="left" w:leader="none"/>
              </w:tabs>
              <w:spacing w:line="247" w:lineRule="auto" w:before="7" w:after="0"/>
              <w:ind w:left="440" w:right="582" w:hanging="360"/>
              <w:jc w:val="left"/>
              <w:rPr>
                <w:sz w:val="11"/>
              </w:rPr>
            </w:pPr>
            <w:r>
              <w:rPr>
                <w:color w:val="231F20"/>
                <w:sz w:val="20"/>
              </w:rPr>
              <w:t>People</w:t>
            </w:r>
            <w:r>
              <w:rPr>
                <w:color w:val="231F20"/>
                <w:spacing w:val="-2"/>
                <w:sz w:val="20"/>
              </w:rPr>
              <w:t> </w:t>
            </w:r>
            <w:r>
              <w:rPr>
                <w:color w:val="231F20"/>
                <w:sz w:val="20"/>
              </w:rPr>
              <w:t>with</w:t>
            </w:r>
            <w:r>
              <w:rPr>
                <w:color w:val="231F20"/>
                <w:spacing w:val="-3"/>
                <w:sz w:val="20"/>
              </w:rPr>
              <w:t> </w:t>
            </w:r>
            <w:r>
              <w:rPr>
                <w:color w:val="231F20"/>
                <w:sz w:val="20"/>
              </w:rPr>
              <w:t>co-occurring</w:t>
            </w:r>
            <w:r>
              <w:rPr>
                <w:color w:val="231F20"/>
                <w:spacing w:val="-2"/>
                <w:sz w:val="20"/>
              </w:rPr>
              <w:t> </w:t>
            </w:r>
            <w:r>
              <w:rPr>
                <w:color w:val="231F20"/>
                <w:sz w:val="20"/>
              </w:rPr>
              <w:t>HIV</w:t>
            </w:r>
            <w:r>
              <w:rPr>
                <w:color w:val="231F20"/>
                <w:spacing w:val="-3"/>
                <w:sz w:val="20"/>
              </w:rPr>
              <w:t> </w:t>
            </w:r>
            <w:r>
              <w:rPr>
                <w:color w:val="231F20"/>
                <w:sz w:val="20"/>
              </w:rPr>
              <w:t>and</w:t>
            </w:r>
            <w:r>
              <w:rPr>
                <w:color w:val="231F20"/>
                <w:spacing w:val="-53"/>
                <w:sz w:val="20"/>
              </w:rPr>
              <w:t> </w:t>
            </w:r>
            <w:r>
              <w:rPr>
                <w:color w:val="231F20"/>
                <w:sz w:val="20"/>
              </w:rPr>
              <w:t>depression</w:t>
            </w:r>
            <w:r>
              <w:rPr>
                <w:color w:val="231F20"/>
                <w:position w:val="7"/>
                <w:sz w:val="11"/>
              </w:rPr>
              <w:t>68-69</w:t>
            </w:r>
          </w:p>
          <w:p>
            <w:pPr>
              <w:pStyle w:val="TableParagraph"/>
              <w:numPr>
                <w:ilvl w:val="0"/>
                <w:numId w:val="17"/>
              </w:numPr>
              <w:tabs>
                <w:tab w:pos="439" w:val="left" w:leader="none"/>
                <w:tab w:pos="441" w:val="left" w:leader="none"/>
              </w:tabs>
              <w:spacing w:line="247" w:lineRule="auto" w:before="0" w:after="0"/>
              <w:ind w:left="440" w:right="582" w:hanging="360"/>
              <w:jc w:val="left"/>
              <w:rPr>
                <w:sz w:val="11"/>
              </w:rPr>
            </w:pPr>
            <w:r>
              <w:rPr>
                <w:color w:val="231F20"/>
                <w:sz w:val="20"/>
              </w:rPr>
              <w:t>People</w:t>
            </w:r>
            <w:r>
              <w:rPr>
                <w:color w:val="231F20"/>
                <w:spacing w:val="-2"/>
                <w:sz w:val="20"/>
              </w:rPr>
              <w:t> </w:t>
            </w:r>
            <w:r>
              <w:rPr>
                <w:color w:val="231F20"/>
                <w:sz w:val="20"/>
              </w:rPr>
              <w:t>with</w:t>
            </w:r>
            <w:r>
              <w:rPr>
                <w:color w:val="231F20"/>
                <w:spacing w:val="-3"/>
                <w:sz w:val="20"/>
              </w:rPr>
              <w:t> </w:t>
            </w:r>
            <w:r>
              <w:rPr>
                <w:color w:val="231F20"/>
                <w:sz w:val="20"/>
              </w:rPr>
              <w:t>co-occurring</w:t>
            </w:r>
            <w:r>
              <w:rPr>
                <w:color w:val="231F20"/>
                <w:spacing w:val="-2"/>
                <w:sz w:val="20"/>
              </w:rPr>
              <w:t> </w:t>
            </w:r>
            <w:r>
              <w:rPr>
                <w:color w:val="231F20"/>
                <w:sz w:val="20"/>
              </w:rPr>
              <w:t>HIV</w:t>
            </w:r>
            <w:r>
              <w:rPr>
                <w:color w:val="231F20"/>
                <w:spacing w:val="-3"/>
                <w:sz w:val="20"/>
              </w:rPr>
              <w:t> </w:t>
            </w:r>
            <w:r>
              <w:rPr>
                <w:color w:val="231F20"/>
                <w:sz w:val="20"/>
              </w:rPr>
              <w:t>and</w:t>
            </w:r>
            <w:r>
              <w:rPr>
                <w:color w:val="231F20"/>
                <w:spacing w:val="-53"/>
                <w:sz w:val="20"/>
              </w:rPr>
              <w:t> </w:t>
            </w:r>
            <w:r>
              <w:rPr>
                <w:color w:val="231F20"/>
                <w:sz w:val="20"/>
              </w:rPr>
              <w:t>depression</w:t>
            </w:r>
            <w:r>
              <w:rPr>
                <w:color w:val="231F20"/>
                <w:spacing w:val="-3"/>
                <w:sz w:val="20"/>
              </w:rPr>
              <w:t> </w:t>
            </w:r>
            <w:r>
              <w:rPr>
                <w:color w:val="231F20"/>
                <w:sz w:val="20"/>
              </w:rPr>
              <w:t>who</w:t>
            </w:r>
            <w:r>
              <w:rPr>
                <w:color w:val="231F20"/>
                <w:spacing w:val="-2"/>
                <w:sz w:val="20"/>
              </w:rPr>
              <w:t> </w:t>
            </w:r>
            <w:r>
              <w:rPr>
                <w:color w:val="231F20"/>
                <w:sz w:val="20"/>
              </w:rPr>
              <w:t>inject</w:t>
            </w:r>
            <w:r>
              <w:rPr>
                <w:color w:val="231F20"/>
                <w:spacing w:val="-3"/>
                <w:sz w:val="20"/>
              </w:rPr>
              <w:t> </w:t>
            </w:r>
            <w:r>
              <w:rPr>
                <w:color w:val="231F20"/>
                <w:sz w:val="20"/>
              </w:rPr>
              <w:t>drugs</w:t>
            </w:r>
            <w:r>
              <w:rPr>
                <w:color w:val="231F20"/>
                <w:position w:val="7"/>
                <w:sz w:val="11"/>
              </w:rPr>
              <w:t>63</w:t>
            </w:r>
          </w:p>
        </w:tc>
      </w:tr>
    </w:tbl>
    <w:p>
      <w:pPr>
        <w:spacing w:before="155"/>
        <w:ind w:left="159" w:right="0" w:firstLine="0"/>
        <w:jc w:val="left"/>
        <w:rPr>
          <w:rFonts w:ascii="Arial"/>
          <w:i/>
          <w:sz w:val="22"/>
        </w:rPr>
      </w:pPr>
      <w:r>
        <w:rPr>
          <w:rFonts w:ascii="Arial"/>
          <w:i/>
          <w:color w:val="231F20"/>
          <w:spacing w:val="-2"/>
          <w:sz w:val="22"/>
        </w:rPr>
        <w:t>Practitioner</w:t>
      </w:r>
      <w:r>
        <w:rPr>
          <w:rFonts w:ascii="Arial"/>
          <w:i/>
          <w:color w:val="231F20"/>
          <w:spacing w:val="-13"/>
          <w:sz w:val="22"/>
        </w:rPr>
        <w:t> </w:t>
      </w:r>
      <w:r>
        <w:rPr>
          <w:rFonts w:ascii="Arial"/>
          <w:i/>
          <w:color w:val="231F20"/>
          <w:spacing w:val="-1"/>
          <w:sz w:val="22"/>
        </w:rPr>
        <w:t>Types</w:t>
      </w:r>
    </w:p>
    <w:p>
      <w:pPr>
        <w:pStyle w:val="BodyText"/>
        <w:spacing w:line="266" w:lineRule="auto" w:before="208"/>
        <w:ind w:left="159" w:right="591"/>
      </w:pPr>
      <w:r>
        <w:rPr>
          <w:color w:val="231F20"/>
          <w:spacing w:val="-2"/>
        </w:rPr>
        <w:t>CBT</w:t>
      </w:r>
      <w:r>
        <w:rPr>
          <w:color w:val="231F20"/>
          <w:spacing w:val="-11"/>
        </w:rPr>
        <w:t> </w:t>
      </w:r>
      <w:r>
        <w:rPr>
          <w:color w:val="231F20"/>
          <w:spacing w:val="-2"/>
        </w:rPr>
        <w:t>can</w:t>
      </w:r>
      <w:r>
        <w:rPr>
          <w:color w:val="231F20"/>
          <w:spacing w:val="-7"/>
        </w:rPr>
        <w:t> </w:t>
      </w:r>
      <w:r>
        <w:rPr>
          <w:color w:val="231F20"/>
          <w:spacing w:val="-2"/>
        </w:rPr>
        <w:t>be</w:t>
      </w:r>
      <w:r>
        <w:rPr>
          <w:color w:val="231F20"/>
          <w:spacing w:val="-7"/>
        </w:rPr>
        <w:t> </w:t>
      </w:r>
      <w:r>
        <w:rPr>
          <w:color w:val="231F20"/>
          <w:spacing w:val="-2"/>
        </w:rPr>
        <w:t>implemented</w:t>
      </w:r>
      <w:r>
        <w:rPr>
          <w:color w:val="231F20"/>
          <w:spacing w:val="-8"/>
        </w:rPr>
        <w:t> </w:t>
      </w:r>
      <w:r>
        <w:rPr>
          <w:color w:val="231F20"/>
          <w:spacing w:val="-1"/>
        </w:rPr>
        <w:t>effectively</w:t>
      </w:r>
      <w:r>
        <w:rPr>
          <w:color w:val="231F20"/>
          <w:spacing w:val="-7"/>
        </w:rPr>
        <w:t> </w:t>
      </w:r>
      <w:r>
        <w:rPr>
          <w:color w:val="231F20"/>
          <w:spacing w:val="-1"/>
        </w:rPr>
        <w:t>by</w:t>
      </w:r>
      <w:r>
        <w:rPr>
          <w:color w:val="231F20"/>
          <w:spacing w:val="-7"/>
        </w:rPr>
        <w:t> </w:t>
      </w:r>
      <w:r>
        <w:rPr>
          <w:color w:val="231F20"/>
          <w:spacing w:val="-1"/>
        </w:rPr>
        <w:t>a</w:t>
      </w:r>
      <w:r>
        <w:rPr>
          <w:color w:val="231F20"/>
          <w:spacing w:val="-7"/>
        </w:rPr>
        <w:t> </w:t>
      </w:r>
      <w:r>
        <w:rPr>
          <w:color w:val="231F20"/>
          <w:spacing w:val="-1"/>
        </w:rPr>
        <w:t>variety</w:t>
      </w:r>
      <w:r>
        <w:rPr>
          <w:color w:val="231F20"/>
          <w:spacing w:val="-7"/>
        </w:rPr>
        <w:t> </w:t>
      </w:r>
      <w:r>
        <w:rPr>
          <w:color w:val="231F20"/>
          <w:spacing w:val="-1"/>
        </w:rPr>
        <w:t>of</w:t>
      </w:r>
      <w:r>
        <w:rPr>
          <w:color w:val="231F20"/>
          <w:spacing w:val="-52"/>
        </w:rPr>
        <w:t> </w:t>
      </w:r>
      <w:r>
        <w:rPr>
          <w:color w:val="231F20"/>
        </w:rPr>
        <w:t>professionals</w:t>
      </w:r>
      <w:r>
        <w:rPr>
          <w:color w:val="231F20"/>
          <w:spacing w:val="-5"/>
        </w:rPr>
        <w:t> </w:t>
      </w:r>
      <w:r>
        <w:rPr>
          <w:color w:val="231F20"/>
        </w:rPr>
        <w:t>including:</w:t>
      </w:r>
    </w:p>
    <w:p>
      <w:pPr>
        <w:pStyle w:val="ListParagraph"/>
        <w:numPr>
          <w:ilvl w:val="0"/>
          <w:numId w:val="4"/>
        </w:numPr>
        <w:tabs>
          <w:tab w:pos="879" w:val="left" w:leader="none"/>
          <w:tab w:pos="880" w:val="left" w:leader="none"/>
        </w:tabs>
        <w:spacing w:line="267" w:lineRule="exact" w:before="146" w:after="0"/>
        <w:ind w:left="879" w:right="0" w:hanging="361"/>
        <w:jc w:val="left"/>
        <w:rPr>
          <w:rFonts w:ascii="Symbol" w:hAnsi="Symbol"/>
          <w:color w:val="010202"/>
          <w:sz w:val="22"/>
        </w:rPr>
      </w:pPr>
      <w:r>
        <w:rPr>
          <w:color w:val="010202"/>
          <w:sz w:val="22"/>
        </w:rPr>
        <w:t>Clinical</w:t>
      </w:r>
      <w:r>
        <w:rPr>
          <w:color w:val="010202"/>
          <w:spacing w:val="-6"/>
          <w:sz w:val="22"/>
        </w:rPr>
        <w:t> </w:t>
      </w:r>
      <w:r>
        <w:rPr>
          <w:color w:val="010202"/>
          <w:sz w:val="22"/>
        </w:rPr>
        <w:t>psychologists</w:t>
      </w:r>
      <w:r>
        <w:rPr>
          <w:color w:val="010202"/>
          <w:sz w:val="22"/>
          <w:vertAlign w:val="superscript"/>
        </w:rPr>
        <w:t>63</w:t>
      </w:r>
    </w:p>
    <w:p>
      <w:pPr>
        <w:pStyle w:val="ListParagraph"/>
        <w:numPr>
          <w:ilvl w:val="0"/>
          <w:numId w:val="4"/>
        </w:numPr>
        <w:tabs>
          <w:tab w:pos="879" w:val="left" w:leader="none"/>
          <w:tab w:pos="880" w:val="left" w:leader="none"/>
        </w:tabs>
        <w:spacing w:line="249" w:lineRule="auto" w:before="0" w:after="0"/>
        <w:ind w:left="880" w:right="277" w:hanging="361"/>
        <w:jc w:val="left"/>
        <w:rPr>
          <w:rFonts w:ascii="Symbol" w:hAnsi="Symbol"/>
          <w:color w:val="010202"/>
          <w:sz w:val="22"/>
        </w:rPr>
      </w:pPr>
      <w:r>
        <w:rPr>
          <w:color w:val="010202"/>
          <w:sz w:val="22"/>
        </w:rPr>
        <w:t>Master’s</w:t>
      </w:r>
      <w:r>
        <w:rPr>
          <w:color w:val="010202"/>
          <w:spacing w:val="-10"/>
          <w:sz w:val="22"/>
        </w:rPr>
        <w:t> </w:t>
      </w:r>
      <w:r>
        <w:rPr>
          <w:color w:val="010202"/>
          <w:sz w:val="22"/>
        </w:rPr>
        <w:t>level</w:t>
      </w:r>
      <w:r>
        <w:rPr>
          <w:color w:val="010202"/>
          <w:spacing w:val="-8"/>
          <w:sz w:val="22"/>
        </w:rPr>
        <w:t> </w:t>
      </w:r>
      <w:r>
        <w:rPr>
          <w:color w:val="010202"/>
          <w:sz w:val="22"/>
        </w:rPr>
        <w:t>psychologists,</w:t>
      </w:r>
      <w:r>
        <w:rPr>
          <w:color w:val="010202"/>
          <w:sz w:val="22"/>
          <w:vertAlign w:val="superscript"/>
        </w:rPr>
        <w:t>68</w:t>
      </w:r>
      <w:r>
        <w:rPr>
          <w:color w:val="010202"/>
          <w:spacing w:val="-8"/>
          <w:sz w:val="22"/>
          <w:vertAlign w:val="baseline"/>
        </w:rPr>
        <w:t> </w:t>
      </w:r>
      <w:r>
        <w:rPr>
          <w:color w:val="010202"/>
          <w:sz w:val="22"/>
          <w:vertAlign w:val="baseline"/>
        </w:rPr>
        <w:t>social</w:t>
      </w:r>
      <w:r>
        <w:rPr>
          <w:color w:val="010202"/>
          <w:spacing w:val="-9"/>
          <w:sz w:val="22"/>
          <w:vertAlign w:val="baseline"/>
        </w:rPr>
        <w:t> </w:t>
      </w:r>
      <w:r>
        <w:rPr>
          <w:color w:val="010202"/>
          <w:sz w:val="22"/>
          <w:vertAlign w:val="baseline"/>
        </w:rPr>
        <w:t>workers,</w:t>
      </w:r>
      <w:r>
        <w:rPr>
          <w:color w:val="010202"/>
          <w:spacing w:val="-52"/>
          <w:sz w:val="22"/>
          <w:vertAlign w:val="baseline"/>
        </w:rPr>
        <w:t> </w:t>
      </w:r>
      <w:r>
        <w:rPr>
          <w:color w:val="010202"/>
          <w:sz w:val="22"/>
          <w:vertAlign w:val="baseline"/>
        </w:rPr>
        <w:t>and counselors</w:t>
      </w:r>
    </w:p>
    <w:p>
      <w:pPr>
        <w:pStyle w:val="ListParagraph"/>
        <w:numPr>
          <w:ilvl w:val="0"/>
          <w:numId w:val="4"/>
        </w:numPr>
        <w:tabs>
          <w:tab w:pos="879" w:val="left" w:leader="none"/>
          <w:tab w:pos="881" w:val="left" w:leader="none"/>
        </w:tabs>
        <w:spacing w:line="251" w:lineRule="exact" w:before="0" w:after="0"/>
        <w:ind w:left="880" w:right="0" w:hanging="361"/>
        <w:jc w:val="left"/>
        <w:rPr>
          <w:rFonts w:ascii="Symbol" w:hAnsi="Symbol"/>
          <w:color w:val="010202"/>
          <w:sz w:val="22"/>
        </w:rPr>
      </w:pPr>
      <w:r>
        <w:rPr>
          <w:color w:val="010202"/>
          <w:sz w:val="22"/>
        </w:rPr>
        <w:t>Case</w:t>
      </w:r>
      <w:r>
        <w:rPr>
          <w:color w:val="010202"/>
          <w:spacing w:val="-7"/>
          <w:sz w:val="22"/>
        </w:rPr>
        <w:t> </w:t>
      </w:r>
      <w:r>
        <w:rPr>
          <w:color w:val="010202"/>
          <w:sz w:val="22"/>
        </w:rPr>
        <w:t>managers</w:t>
      </w:r>
      <w:r>
        <w:rPr>
          <w:color w:val="010202"/>
          <w:sz w:val="22"/>
          <w:vertAlign w:val="superscript"/>
        </w:rPr>
        <w:t>72</w:t>
      </w:r>
    </w:p>
    <w:p>
      <w:pPr>
        <w:pStyle w:val="ListParagraph"/>
        <w:numPr>
          <w:ilvl w:val="0"/>
          <w:numId w:val="4"/>
        </w:numPr>
        <w:tabs>
          <w:tab w:pos="879" w:val="left" w:leader="none"/>
          <w:tab w:pos="880" w:val="left" w:leader="none"/>
        </w:tabs>
        <w:spacing w:line="249" w:lineRule="auto" w:before="0" w:after="0"/>
        <w:ind w:left="879" w:right="111" w:hanging="360"/>
        <w:jc w:val="left"/>
        <w:rPr>
          <w:rFonts w:ascii="Symbol" w:hAnsi="Symbol"/>
          <w:color w:val="010202"/>
          <w:sz w:val="22"/>
        </w:rPr>
      </w:pPr>
      <w:r>
        <w:rPr>
          <w:color w:val="010202"/>
          <w:sz w:val="22"/>
        </w:rPr>
        <w:t>Facilitators with an average of 10 years of</w:t>
      </w:r>
      <w:r>
        <w:rPr>
          <w:color w:val="010202"/>
          <w:spacing w:val="1"/>
          <w:sz w:val="22"/>
        </w:rPr>
        <w:t> </w:t>
      </w:r>
      <w:r>
        <w:rPr>
          <w:color w:val="010202"/>
          <w:sz w:val="22"/>
        </w:rPr>
        <w:t>experience</w:t>
      </w:r>
      <w:r>
        <w:rPr>
          <w:color w:val="010202"/>
          <w:spacing w:val="-4"/>
          <w:sz w:val="22"/>
        </w:rPr>
        <w:t> </w:t>
      </w:r>
      <w:r>
        <w:rPr>
          <w:color w:val="010202"/>
          <w:sz w:val="22"/>
        </w:rPr>
        <w:t>leading</w:t>
      </w:r>
      <w:r>
        <w:rPr>
          <w:color w:val="010202"/>
          <w:spacing w:val="-3"/>
          <w:sz w:val="22"/>
        </w:rPr>
        <w:t> </w:t>
      </w:r>
      <w:r>
        <w:rPr>
          <w:color w:val="010202"/>
          <w:sz w:val="22"/>
        </w:rPr>
        <w:t>group-based</w:t>
      </w:r>
      <w:r>
        <w:rPr>
          <w:color w:val="010202"/>
          <w:spacing w:val="-4"/>
          <w:sz w:val="22"/>
        </w:rPr>
        <w:t> </w:t>
      </w:r>
      <w:r>
        <w:rPr>
          <w:color w:val="010202"/>
          <w:sz w:val="22"/>
        </w:rPr>
        <w:t>HIV</w:t>
      </w:r>
      <w:r>
        <w:rPr>
          <w:color w:val="010202"/>
          <w:spacing w:val="-8"/>
          <w:sz w:val="22"/>
        </w:rPr>
        <w:t> </w:t>
      </w:r>
      <w:r>
        <w:rPr>
          <w:color w:val="010202"/>
          <w:sz w:val="22"/>
        </w:rPr>
        <w:t>prevention</w:t>
      </w:r>
      <w:r>
        <w:rPr>
          <w:color w:val="010202"/>
          <w:spacing w:val="-52"/>
          <w:sz w:val="22"/>
        </w:rPr>
        <w:t> </w:t>
      </w:r>
      <w:r>
        <w:rPr>
          <w:color w:val="010202"/>
          <w:sz w:val="22"/>
        </w:rPr>
        <w:t>interventions</w:t>
      </w:r>
      <w:r>
        <w:rPr>
          <w:color w:val="010202"/>
          <w:spacing w:val="-2"/>
          <w:sz w:val="22"/>
        </w:rPr>
        <w:t> </w:t>
      </w:r>
      <w:r>
        <w:rPr>
          <w:color w:val="010202"/>
          <w:sz w:val="22"/>
        </w:rPr>
        <w:t>with</w:t>
      </w:r>
      <w:r>
        <w:rPr>
          <w:color w:val="010202"/>
          <w:spacing w:val="-2"/>
          <w:sz w:val="22"/>
        </w:rPr>
        <w:t> </w:t>
      </w:r>
      <w:r>
        <w:rPr>
          <w:color w:val="010202"/>
          <w:sz w:val="22"/>
        </w:rPr>
        <w:t>people</w:t>
      </w:r>
      <w:r>
        <w:rPr>
          <w:color w:val="010202"/>
          <w:spacing w:val="-1"/>
          <w:sz w:val="22"/>
        </w:rPr>
        <w:t> </w:t>
      </w:r>
      <w:r>
        <w:rPr>
          <w:color w:val="010202"/>
          <w:sz w:val="22"/>
        </w:rPr>
        <w:t>who</w:t>
      </w:r>
      <w:r>
        <w:rPr>
          <w:color w:val="010202"/>
          <w:spacing w:val="-3"/>
          <w:sz w:val="22"/>
        </w:rPr>
        <w:t> </w:t>
      </w:r>
      <w:r>
        <w:rPr>
          <w:color w:val="010202"/>
          <w:sz w:val="22"/>
        </w:rPr>
        <w:t>use</w:t>
      </w:r>
      <w:r>
        <w:rPr>
          <w:color w:val="010202"/>
          <w:spacing w:val="-1"/>
          <w:sz w:val="22"/>
        </w:rPr>
        <w:t> </w:t>
      </w:r>
      <w:r>
        <w:rPr>
          <w:color w:val="010202"/>
          <w:sz w:val="22"/>
        </w:rPr>
        <w:t>drugs</w:t>
      </w:r>
      <w:r>
        <w:rPr>
          <w:color w:val="010202"/>
          <w:sz w:val="22"/>
          <w:vertAlign w:val="superscript"/>
        </w:rPr>
        <w:t>65</w:t>
      </w:r>
    </w:p>
    <w:p>
      <w:pPr>
        <w:pStyle w:val="BodyText"/>
        <w:spacing w:line="266" w:lineRule="auto" w:before="91"/>
        <w:ind w:left="181" w:right="908"/>
      </w:pPr>
      <w:r>
        <w:rPr/>
        <w:br w:type="column"/>
      </w:r>
      <w:r>
        <w:rPr>
          <w:color w:val="231F20"/>
          <w:spacing w:val="-1"/>
        </w:rPr>
        <w:t>Practitioners</w:t>
      </w:r>
      <w:r>
        <w:rPr>
          <w:color w:val="231F20"/>
          <w:spacing w:val="-13"/>
        </w:rPr>
        <w:t> </w:t>
      </w:r>
      <w:r>
        <w:rPr>
          <w:color w:val="231F20"/>
          <w:spacing w:val="-1"/>
        </w:rPr>
        <w:t>do</w:t>
      </w:r>
      <w:r>
        <w:rPr>
          <w:color w:val="231F20"/>
          <w:spacing w:val="-12"/>
        </w:rPr>
        <w:t> </w:t>
      </w:r>
      <w:r>
        <w:rPr>
          <w:color w:val="231F20"/>
          <w:spacing w:val="-1"/>
        </w:rPr>
        <w:t>not</w:t>
      </w:r>
      <w:r>
        <w:rPr>
          <w:color w:val="231F20"/>
          <w:spacing w:val="-12"/>
        </w:rPr>
        <w:t> </w:t>
      </w:r>
      <w:r>
        <w:rPr>
          <w:color w:val="231F20"/>
          <w:spacing w:val="-1"/>
        </w:rPr>
        <w:t>need</w:t>
      </w:r>
      <w:r>
        <w:rPr>
          <w:color w:val="231F20"/>
          <w:spacing w:val="-12"/>
        </w:rPr>
        <w:t> </w:t>
      </w:r>
      <w:r>
        <w:rPr>
          <w:color w:val="231F20"/>
          <w:spacing w:val="-1"/>
        </w:rPr>
        <w:t>to</w:t>
      </w:r>
      <w:r>
        <w:rPr>
          <w:color w:val="231F20"/>
          <w:spacing w:val="-12"/>
        </w:rPr>
        <w:t> </w:t>
      </w:r>
      <w:r>
        <w:rPr>
          <w:color w:val="231F20"/>
          <w:spacing w:val="-1"/>
        </w:rPr>
        <w:t>be</w:t>
      </w:r>
      <w:r>
        <w:rPr>
          <w:color w:val="231F20"/>
          <w:spacing w:val="-12"/>
        </w:rPr>
        <w:t> </w:t>
      </w:r>
      <w:r>
        <w:rPr>
          <w:color w:val="231F20"/>
          <w:spacing w:val="-1"/>
        </w:rPr>
        <w:t>certified</w:t>
      </w:r>
      <w:r>
        <w:rPr>
          <w:color w:val="231F20"/>
          <w:spacing w:val="-12"/>
        </w:rPr>
        <w:t> </w:t>
      </w:r>
      <w:r>
        <w:rPr>
          <w:color w:val="231F20"/>
          <w:spacing w:val="-1"/>
        </w:rPr>
        <w:t>to</w:t>
      </w:r>
      <w:r>
        <w:rPr>
          <w:color w:val="231F20"/>
          <w:spacing w:val="-12"/>
        </w:rPr>
        <w:t> </w:t>
      </w:r>
      <w:r>
        <w:rPr>
          <w:color w:val="231F20"/>
          <w:spacing w:val="-1"/>
        </w:rPr>
        <w:t>practice</w:t>
      </w:r>
      <w:r>
        <w:rPr>
          <w:color w:val="231F20"/>
          <w:spacing w:val="-11"/>
        </w:rPr>
        <w:t> </w:t>
      </w:r>
      <w:r>
        <w:rPr>
          <w:color w:val="231F20"/>
        </w:rPr>
        <w:t>CBT,</w:t>
      </w:r>
      <w:r>
        <w:rPr>
          <w:color w:val="231F20"/>
          <w:spacing w:val="-52"/>
        </w:rPr>
        <w:t> </w:t>
      </w:r>
      <w:r>
        <w:rPr>
          <w:color w:val="231F20"/>
        </w:rPr>
        <w:t>but</w:t>
      </w:r>
      <w:r>
        <w:rPr>
          <w:color w:val="231F20"/>
          <w:spacing w:val="-6"/>
        </w:rPr>
        <w:t> </w:t>
      </w:r>
      <w:r>
        <w:rPr>
          <w:color w:val="231F20"/>
        </w:rPr>
        <w:t>certifications</w:t>
      </w:r>
      <w:r>
        <w:rPr>
          <w:color w:val="231F20"/>
          <w:spacing w:val="-6"/>
        </w:rPr>
        <w:t> </w:t>
      </w:r>
      <w:r>
        <w:rPr>
          <w:color w:val="231F20"/>
        </w:rPr>
        <w:t>are</w:t>
      </w:r>
      <w:r>
        <w:rPr>
          <w:color w:val="231F20"/>
          <w:spacing w:val="-6"/>
        </w:rPr>
        <w:t> </w:t>
      </w:r>
      <w:r>
        <w:rPr>
          <w:color w:val="231F20"/>
        </w:rPr>
        <w:t>available.</w:t>
      </w:r>
      <w:r>
        <w:rPr>
          <w:color w:val="231F20"/>
          <w:vertAlign w:val="superscript"/>
        </w:rPr>
        <w:t>73</w:t>
      </w:r>
    </w:p>
    <w:p>
      <w:pPr>
        <w:spacing w:before="177"/>
        <w:ind w:left="181" w:right="0" w:firstLine="0"/>
        <w:jc w:val="left"/>
        <w:rPr>
          <w:rFonts w:ascii="Arial"/>
          <w:i/>
          <w:sz w:val="22"/>
        </w:rPr>
      </w:pPr>
      <w:r>
        <w:rPr>
          <w:rFonts w:ascii="Arial"/>
          <w:i/>
          <w:color w:val="231F20"/>
          <w:spacing w:val="-1"/>
          <w:sz w:val="22"/>
        </w:rPr>
        <w:t>Intensity</w:t>
      </w:r>
      <w:r>
        <w:rPr>
          <w:rFonts w:ascii="Arial"/>
          <w:i/>
          <w:color w:val="231F20"/>
          <w:spacing w:val="-12"/>
          <w:sz w:val="22"/>
        </w:rPr>
        <w:t> </w:t>
      </w:r>
      <w:r>
        <w:rPr>
          <w:rFonts w:ascii="Arial"/>
          <w:i/>
          <w:color w:val="231F20"/>
          <w:spacing w:val="-1"/>
          <w:sz w:val="22"/>
        </w:rPr>
        <w:t>and</w:t>
      </w:r>
      <w:r>
        <w:rPr>
          <w:rFonts w:ascii="Arial"/>
          <w:i/>
          <w:color w:val="231F20"/>
          <w:spacing w:val="-12"/>
          <w:sz w:val="22"/>
        </w:rPr>
        <w:t> </w:t>
      </w:r>
      <w:r>
        <w:rPr>
          <w:rFonts w:ascii="Arial"/>
          <w:i/>
          <w:color w:val="231F20"/>
          <w:spacing w:val="-1"/>
          <w:sz w:val="22"/>
        </w:rPr>
        <w:t>Duration</w:t>
      </w:r>
    </w:p>
    <w:p>
      <w:pPr>
        <w:pStyle w:val="BodyText"/>
        <w:spacing w:line="266" w:lineRule="auto" w:before="208"/>
        <w:ind w:left="181" w:right="743"/>
      </w:pPr>
      <w:r>
        <w:rPr>
          <w:color w:val="231F20"/>
          <w:spacing w:val="-1"/>
        </w:rPr>
        <w:t>CBT</w:t>
      </w:r>
      <w:r>
        <w:rPr>
          <w:color w:val="231F20"/>
          <w:spacing w:val="-13"/>
        </w:rPr>
        <w:t> </w:t>
      </w:r>
      <w:r>
        <w:rPr>
          <w:color w:val="231F20"/>
          <w:spacing w:val="-1"/>
        </w:rPr>
        <w:t>generally</w:t>
      </w:r>
      <w:r>
        <w:rPr>
          <w:color w:val="231F20"/>
          <w:spacing w:val="-9"/>
        </w:rPr>
        <w:t> </w:t>
      </w:r>
      <w:r>
        <w:rPr>
          <w:color w:val="231F20"/>
          <w:spacing w:val="-1"/>
        </w:rPr>
        <w:t>provides</w:t>
      </w:r>
      <w:r>
        <w:rPr>
          <w:color w:val="231F20"/>
          <w:spacing w:val="-9"/>
        </w:rPr>
        <w:t> </w:t>
      </w:r>
      <w:r>
        <w:rPr>
          <w:color w:val="231F20"/>
          <w:spacing w:val="-1"/>
        </w:rPr>
        <w:t>the</w:t>
      </w:r>
      <w:r>
        <w:rPr>
          <w:color w:val="231F20"/>
          <w:spacing w:val="-8"/>
        </w:rPr>
        <w:t> </w:t>
      </w:r>
      <w:r>
        <w:rPr>
          <w:color w:val="231F20"/>
          <w:spacing w:val="-1"/>
        </w:rPr>
        <w:t>tools</w:t>
      </w:r>
      <w:r>
        <w:rPr>
          <w:color w:val="231F20"/>
          <w:spacing w:val="-9"/>
        </w:rPr>
        <w:t> </w:t>
      </w:r>
      <w:r>
        <w:rPr>
          <w:color w:val="231F20"/>
          <w:spacing w:val="-1"/>
        </w:rPr>
        <w:t>for</w:t>
      </w:r>
      <w:r>
        <w:rPr>
          <w:color w:val="231F20"/>
          <w:spacing w:val="-9"/>
        </w:rPr>
        <w:t> </w:t>
      </w:r>
      <w:r>
        <w:rPr>
          <w:color w:val="231F20"/>
          <w:spacing w:val="-1"/>
        </w:rPr>
        <w:t>behavior</w:t>
      </w:r>
      <w:r>
        <w:rPr>
          <w:color w:val="231F20"/>
          <w:spacing w:val="-9"/>
        </w:rPr>
        <w:t> </w:t>
      </w:r>
      <w:r>
        <w:rPr>
          <w:color w:val="231F20"/>
          <w:spacing w:val="-1"/>
        </w:rPr>
        <w:t>change</w:t>
      </w:r>
      <w:r>
        <w:rPr>
          <w:color w:val="231F20"/>
          <w:spacing w:val="-9"/>
        </w:rPr>
        <w:t> </w:t>
      </w:r>
      <w:r>
        <w:rPr>
          <w:color w:val="231F20"/>
        </w:rPr>
        <w:t>in</w:t>
      </w:r>
      <w:r>
        <w:rPr>
          <w:color w:val="231F20"/>
          <w:spacing w:val="-8"/>
        </w:rPr>
        <w:t> </w:t>
      </w:r>
      <w:r>
        <w:rPr>
          <w:color w:val="231F20"/>
        </w:rPr>
        <w:t>8</w:t>
      </w:r>
      <w:r>
        <w:rPr>
          <w:color w:val="231F20"/>
          <w:spacing w:val="-52"/>
        </w:rPr>
        <w:t> </w:t>
      </w:r>
      <w:r>
        <w:rPr>
          <w:color w:val="231F20"/>
        </w:rPr>
        <w:t>to</w:t>
      </w:r>
      <w:r>
        <w:rPr>
          <w:color w:val="231F20"/>
          <w:spacing w:val="-12"/>
        </w:rPr>
        <w:t> </w:t>
      </w:r>
      <w:r>
        <w:rPr>
          <w:color w:val="231F20"/>
        </w:rPr>
        <w:t>12</w:t>
      </w:r>
      <w:r>
        <w:rPr>
          <w:color w:val="231F20"/>
          <w:spacing w:val="-12"/>
        </w:rPr>
        <w:t> </w:t>
      </w:r>
      <w:r>
        <w:rPr>
          <w:color w:val="231F20"/>
        </w:rPr>
        <w:t>individual</w:t>
      </w:r>
      <w:r>
        <w:rPr>
          <w:color w:val="231F20"/>
          <w:spacing w:val="-12"/>
        </w:rPr>
        <w:t> </w:t>
      </w:r>
      <w:r>
        <w:rPr>
          <w:color w:val="231F20"/>
        </w:rPr>
        <w:t>or</w:t>
      </w:r>
      <w:r>
        <w:rPr>
          <w:color w:val="231F20"/>
          <w:spacing w:val="-12"/>
        </w:rPr>
        <w:t> </w:t>
      </w:r>
      <w:r>
        <w:rPr>
          <w:color w:val="231F20"/>
        </w:rPr>
        <w:t>group</w:t>
      </w:r>
      <w:r>
        <w:rPr>
          <w:color w:val="231F20"/>
          <w:spacing w:val="-11"/>
        </w:rPr>
        <w:t> </w:t>
      </w:r>
      <w:r>
        <w:rPr>
          <w:color w:val="231F20"/>
        </w:rPr>
        <w:t>sessions,</w:t>
      </w:r>
      <w:r>
        <w:rPr>
          <w:color w:val="231F20"/>
          <w:spacing w:val="-13"/>
        </w:rPr>
        <w:t> </w:t>
      </w:r>
      <w:r>
        <w:rPr>
          <w:color w:val="231F20"/>
        </w:rPr>
        <w:t>meeting</w:t>
      </w:r>
      <w:r>
        <w:rPr>
          <w:color w:val="231F20"/>
          <w:spacing w:val="-12"/>
        </w:rPr>
        <w:t> </w:t>
      </w:r>
      <w:r>
        <w:rPr>
          <w:color w:val="231F20"/>
        </w:rPr>
        <w:t>once</w:t>
      </w:r>
      <w:r>
        <w:rPr>
          <w:color w:val="231F20"/>
          <w:spacing w:val="-12"/>
        </w:rPr>
        <w:t> </w:t>
      </w:r>
      <w:r>
        <w:rPr>
          <w:color w:val="231F20"/>
        </w:rPr>
        <w:t>or</w:t>
      </w:r>
      <w:r>
        <w:rPr>
          <w:color w:val="231F20"/>
          <w:spacing w:val="-12"/>
        </w:rPr>
        <w:t> </w:t>
      </w:r>
      <w:r>
        <w:rPr>
          <w:color w:val="231F20"/>
        </w:rPr>
        <w:t>twice</w:t>
      </w:r>
      <w:r>
        <w:rPr>
          <w:color w:val="231F20"/>
          <w:spacing w:val="1"/>
        </w:rPr>
        <w:t> </w:t>
      </w:r>
      <w:r>
        <w:rPr>
          <w:color w:val="231F20"/>
        </w:rPr>
        <w:t>weekly, with each session lasting between 60 and 90</w:t>
      </w:r>
      <w:r>
        <w:rPr>
          <w:color w:val="231F20"/>
          <w:spacing w:val="1"/>
        </w:rPr>
        <w:t> </w:t>
      </w:r>
      <w:r>
        <w:rPr>
          <w:color w:val="231F20"/>
          <w:spacing w:val="-1"/>
        </w:rPr>
        <w:t>minutes.</w:t>
      </w:r>
      <w:r>
        <w:rPr>
          <w:color w:val="231F20"/>
          <w:spacing w:val="-1"/>
          <w:vertAlign w:val="superscript"/>
        </w:rPr>
        <w:t>74</w:t>
      </w:r>
      <w:r>
        <w:rPr>
          <w:color w:val="231F20"/>
          <w:spacing w:val="-1"/>
          <w:vertAlign w:val="baseline"/>
        </w:rPr>
        <w:t> The length of treatment also varies depending</w:t>
      </w:r>
      <w:r>
        <w:rPr>
          <w:color w:val="231F20"/>
          <w:vertAlign w:val="baseline"/>
        </w:rPr>
        <w:t> </w:t>
      </w:r>
      <w:r>
        <w:rPr>
          <w:color w:val="231F20"/>
          <w:spacing w:val="-1"/>
          <w:vertAlign w:val="baseline"/>
        </w:rPr>
        <w:t>on the individual’s symptoms, resources, and preference.</w:t>
      </w:r>
      <w:r>
        <w:rPr>
          <w:color w:val="231F20"/>
          <w:vertAlign w:val="baseline"/>
        </w:rPr>
        <w:t> As highlighted below, studies included in this evidence</w:t>
      </w:r>
      <w:r>
        <w:rPr>
          <w:color w:val="231F20"/>
          <w:spacing w:val="1"/>
          <w:vertAlign w:val="baseline"/>
        </w:rPr>
        <w:t> </w:t>
      </w:r>
      <w:r>
        <w:rPr>
          <w:color w:val="231F20"/>
          <w:vertAlign w:val="baseline"/>
        </w:rPr>
        <w:t>review</w:t>
      </w:r>
      <w:r>
        <w:rPr>
          <w:color w:val="231F20"/>
          <w:spacing w:val="-7"/>
          <w:vertAlign w:val="baseline"/>
        </w:rPr>
        <w:t> </w:t>
      </w:r>
      <w:r>
        <w:rPr>
          <w:color w:val="231F20"/>
          <w:vertAlign w:val="baseline"/>
        </w:rPr>
        <w:t>varied</w:t>
      </w:r>
      <w:r>
        <w:rPr>
          <w:color w:val="231F20"/>
          <w:spacing w:val="-7"/>
          <w:vertAlign w:val="baseline"/>
        </w:rPr>
        <w:t> </w:t>
      </w:r>
      <w:r>
        <w:rPr>
          <w:color w:val="231F20"/>
          <w:vertAlign w:val="baseline"/>
        </w:rPr>
        <w:t>by</w:t>
      </w:r>
      <w:r>
        <w:rPr>
          <w:color w:val="231F20"/>
          <w:spacing w:val="-6"/>
          <w:vertAlign w:val="baseline"/>
        </w:rPr>
        <w:t> </w:t>
      </w:r>
      <w:r>
        <w:rPr>
          <w:color w:val="231F20"/>
          <w:vertAlign w:val="baseline"/>
        </w:rPr>
        <w:t>time</w:t>
      </w:r>
      <w:r>
        <w:rPr>
          <w:color w:val="231F20"/>
          <w:spacing w:val="-7"/>
          <w:vertAlign w:val="baseline"/>
        </w:rPr>
        <w:t> </w:t>
      </w:r>
      <w:r>
        <w:rPr>
          <w:color w:val="231F20"/>
          <w:vertAlign w:val="baseline"/>
        </w:rPr>
        <w:t>and</w:t>
      </w:r>
      <w:r>
        <w:rPr>
          <w:color w:val="231F20"/>
          <w:spacing w:val="-7"/>
          <w:vertAlign w:val="baseline"/>
        </w:rPr>
        <w:t> </w:t>
      </w:r>
      <w:r>
        <w:rPr>
          <w:color w:val="231F20"/>
          <w:vertAlign w:val="baseline"/>
        </w:rPr>
        <w:t>number</w:t>
      </w:r>
      <w:r>
        <w:rPr>
          <w:color w:val="231F20"/>
          <w:spacing w:val="-6"/>
          <w:vertAlign w:val="baseline"/>
        </w:rPr>
        <w:t> </w:t>
      </w:r>
      <w:r>
        <w:rPr>
          <w:color w:val="231F20"/>
          <w:vertAlign w:val="baseline"/>
        </w:rPr>
        <w:t>of</w:t>
      </w:r>
      <w:r>
        <w:rPr>
          <w:color w:val="231F20"/>
          <w:spacing w:val="-7"/>
          <w:vertAlign w:val="baseline"/>
        </w:rPr>
        <w:t> </w:t>
      </w:r>
      <w:r>
        <w:rPr>
          <w:color w:val="231F20"/>
          <w:vertAlign w:val="baseline"/>
        </w:rPr>
        <w:t>sessions.</w:t>
      </w:r>
    </w:p>
    <w:p>
      <w:pPr>
        <w:pStyle w:val="BodyText"/>
        <w:spacing w:before="7"/>
        <w:rPr>
          <w:sz w:val="15"/>
        </w:rPr>
      </w:pPr>
    </w:p>
    <w:tbl>
      <w:tblPr>
        <w:tblW w:w="0" w:type="auto"/>
        <w:jc w:val="left"/>
        <w:tblInd w:w="16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08"/>
        <w:gridCol w:w="4076"/>
      </w:tblGrid>
      <w:tr>
        <w:trPr>
          <w:trHeight w:val="1485" w:hRule="atLeast"/>
        </w:trPr>
        <w:tc>
          <w:tcPr>
            <w:tcW w:w="1008" w:type="dxa"/>
            <w:vMerge w:val="restart"/>
            <w:shd w:val="clear" w:color="auto" w:fill="CE384B"/>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9"/>
              <w:rPr>
                <w:rFonts w:ascii="Times New Roman"/>
                <w:sz w:val="26"/>
              </w:rPr>
            </w:pPr>
          </w:p>
          <w:p>
            <w:pPr>
              <w:pStyle w:val="TableParagraph"/>
              <w:ind w:left="118"/>
              <w:rPr>
                <w:rFonts w:ascii="Times New Roman"/>
                <w:sz w:val="20"/>
              </w:rPr>
            </w:pPr>
            <w:r>
              <w:rPr>
                <w:rFonts w:ascii="Times New Roman"/>
                <w:sz w:val="20"/>
              </w:rPr>
              <w:drawing>
                <wp:inline distT="0" distB="0" distL="0" distR="0">
                  <wp:extent cx="507111" cy="507111"/>
                  <wp:effectExtent l="0" t="0" r="0" b="0"/>
                  <wp:docPr id="59" name="image18.png"/>
                  <wp:cNvGraphicFramePr>
                    <a:graphicFrameLocks noChangeAspect="1"/>
                  </wp:cNvGraphicFramePr>
                  <a:graphic>
                    <a:graphicData uri="http://schemas.openxmlformats.org/drawingml/2006/picture">
                      <pic:pic>
                        <pic:nvPicPr>
                          <pic:cNvPr id="60" name="image18.png"/>
                          <pic:cNvPicPr/>
                        </pic:nvPicPr>
                        <pic:blipFill>
                          <a:blip r:embed="rId148" cstate="print"/>
                          <a:stretch>
                            <a:fillRect/>
                          </a:stretch>
                        </pic:blipFill>
                        <pic:spPr>
                          <a:xfrm>
                            <a:off x="0" y="0"/>
                            <a:ext cx="507111" cy="507111"/>
                          </a:xfrm>
                          <a:prstGeom prst="rect">
                            <a:avLst/>
                          </a:prstGeom>
                        </pic:spPr>
                      </pic:pic>
                    </a:graphicData>
                  </a:graphic>
                </wp:inline>
              </w:drawing>
            </w:r>
            <w:r>
              <w:rPr>
                <w:rFonts w:ascii="Times New Roman"/>
                <w:sz w:val="20"/>
              </w:rPr>
            </w:r>
          </w:p>
        </w:tc>
        <w:tc>
          <w:tcPr>
            <w:tcW w:w="4076" w:type="dxa"/>
            <w:shd w:val="clear" w:color="auto" w:fill="F7E4E6"/>
          </w:tcPr>
          <w:p>
            <w:pPr>
              <w:pStyle w:val="TableParagraph"/>
              <w:spacing w:before="28"/>
              <w:ind w:left="79"/>
              <w:rPr>
                <w:sz w:val="20"/>
              </w:rPr>
            </w:pPr>
            <w:r>
              <w:rPr>
                <w:color w:val="231F20"/>
                <w:sz w:val="20"/>
              </w:rPr>
              <w:t>The</w:t>
            </w:r>
            <w:r>
              <w:rPr>
                <w:color w:val="231F20"/>
                <w:spacing w:val="-2"/>
                <w:sz w:val="20"/>
              </w:rPr>
              <w:t> </w:t>
            </w:r>
            <w:r>
              <w:rPr>
                <w:color w:val="231F20"/>
                <w:sz w:val="20"/>
              </w:rPr>
              <w:t>E-CB</w:t>
            </w:r>
            <w:r>
              <w:rPr>
                <w:color w:val="231F20"/>
                <w:spacing w:val="-2"/>
                <w:sz w:val="20"/>
              </w:rPr>
              <w:t> </w:t>
            </w:r>
            <w:r>
              <w:rPr>
                <w:color w:val="231F20"/>
                <w:sz w:val="20"/>
              </w:rPr>
              <w:t>intervention</w:t>
            </w:r>
            <w:r>
              <w:rPr>
                <w:color w:val="231F20"/>
                <w:spacing w:val="-3"/>
                <w:sz w:val="20"/>
              </w:rPr>
              <w:t> </w:t>
            </w:r>
            <w:r>
              <w:rPr>
                <w:color w:val="231F20"/>
                <w:sz w:val="20"/>
              </w:rPr>
              <w:t>consists</w:t>
            </w:r>
            <w:r>
              <w:rPr>
                <w:color w:val="231F20"/>
                <w:spacing w:val="-2"/>
                <w:sz w:val="20"/>
              </w:rPr>
              <w:t> </w:t>
            </w:r>
            <w:r>
              <w:rPr>
                <w:color w:val="231F20"/>
                <w:sz w:val="20"/>
              </w:rPr>
              <w:t>of</w:t>
            </w:r>
            <w:r>
              <w:rPr>
                <w:color w:val="231F20"/>
                <w:spacing w:val="-3"/>
                <w:sz w:val="20"/>
              </w:rPr>
              <w:t> </w:t>
            </w:r>
            <w:r>
              <w:rPr>
                <w:color w:val="231F20"/>
                <w:sz w:val="20"/>
              </w:rPr>
              <w:t>six</w:t>
            </w:r>
          </w:p>
          <w:p>
            <w:pPr>
              <w:pStyle w:val="TableParagraph"/>
              <w:spacing w:line="249" w:lineRule="auto" w:before="10"/>
              <w:ind w:left="79" w:right="166"/>
              <w:rPr>
                <w:sz w:val="11"/>
              </w:rPr>
            </w:pPr>
            <w:r>
              <w:rPr>
                <w:color w:val="231F20"/>
                <w:sz w:val="20"/>
              </w:rPr>
              <w:t>90-minute sessions over the course of 6</w:t>
            </w:r>
            <w:r>
              <w:rPr>
                <w:color w:val="231F20"/>
                <w:spacing w:val="1"/>
                <w:sz w:val="20"/>
              </w:rPr>
              <w:t> </w:t>
            </w:r>
            <w:r>
              <w:rPr>
                <w:color w:val="231F20"/>
                <w:sz w:val="20"/>
              </w:rPr>
              <w:t>weeks. Weekly sessions gave participants</w:t>
            </w:r>
            <w:r>
              <w:rPr>
                <w:color w:val="231F20"/>
                <w:spacing w:val="1"/>
                <w:sz w:val="20"/>
              </w:rPr>
              <w:t> </w:t>
            </w:r>
            <w:r>
              <w:rPr>
                <w:color w:val="231F20"/>
                <w:sz w:val="20"/>
              </w:rPr>
              <w:t>time to practice lessons between sessions,</w:t>
            </w:r>
            <w:r>
              <w:rPr>
                <w:color w:val="231F20"/>
                <w:spacing w:val="-54"/>
                <w:sz w:val="20"/>
              </w:rPr>
              <w:t> </w:t>
            </w:r>
            <w:r>
              <w:rPr>
                <w:color w:val="231F20"/>
                <w:sz w:val="20"/>
              </w:rPr>
              <w:t>reinforcing content discussed during the</w:t>
            </w:r>
            <w:r>
              <w:rPr>
                <w:color w:val="231F20"/>
                <w:spacing w:val="1"/>
                <w:sz w:val="20"/>
              </w:rPr>
              <w:t> </w:t>
            </w:r>
            <w:r>
              <w:rPr>
                <w:color w:val="231F20"/>
                <w:sz w:val="20"/>
              </w:rPr>
              <w:t>sessions.</w:t>
            </w:r>
            <w:r>
              <w:rPr>
                <w:color w:val="231F20"/>
                <w:position w:val="7"/>
                <w:sz w:val="11"/>
              </w:rPr>
              <w:t>57</w:t>
            </w:r>
          </w:p>
        </w:tc>
      </w:tr>
      <w:tr>
        <w:trPr>
          <w:trHeight w:val="1245" w:hRule="atLeast"/>
        </w:trPr>
        <w:tc>
          <w:tcPr>
            <w:tcW w:w="1008" w:type="dxa"/>
            <w:vMerge/>
            <w:tcBorders>
              <w:top w:val="nil"/>
            </w:tcBorders>
            <w:shd w:val="clear" w:color="auto" w:fill="CE384B"/>
          </w:tcPr>
          <w:p>
            <w:pPr>
              <w:rPr>
                <w:sz w:val="2"/>
                <w:szCs w:val="2"/>
              </w:rPr>
            </w:pPr>
          </w:p>
        </w:tc>
        <w:tc>
          <w:tcPr>
            <w:tcW w:w="4076" w:type="dxa"/>
            <w:shd w:val="clear" w:color="auto" w:fill="F7E4E6"/>
          </w:tcPr>
          <w:p>
            <w:pPr>
              <w:pStyle w:val="TableParagraph"/>
              <w:spacing w:line="249" w:lineRule="auto" w:before="28"/>
              <w:ind w:left="79" w:right="164"/>
              <w:rPr>
                <w:sz w:val="11"/>
              </w:rPr>
            </w:pPr>
            <w:r>
              <w:rPr>
                <w:color w:val="231F20"/>
                <w:sz w:val="20"/>
              </w:rPr>
              <w:t>Project</w:t>
            </w:r>
            <w:r>
              <w:rPr>
                <w:color w:val="231F20"/>
                <w:spacing w:val="-7"/>
                <w:sz w:val="20"/>
              </w:rPr>
              <w:t> </w:t>
            </w:r>
            <w:r>
              <w:rPr>
                <w:color w:val="231F20"/>
                <w:sz w:val="20"/>
              </w:rPr>
              <w:t>Thrive</w:t>
            </w:r>
            <w:r>
              <w:rPr>
                <w:color w:val="231F20"/>
                <w:spacing w:val="-3"/>
                <w:sz w:val="20"/>
              </w:rPr>
              <w:t> </w:t>
            </w:r>
            <w:r>
              <w:rPr>
                <w:color w:val="231F20"/>
                <w:sz w:val="20"/>
              </w:rPr>
              <w:t>consists</w:t>
            </w:r>
            <w:r>
              <w:rPr>
                <w:color w:val="231F20"/>
                <w:spacing w:val="-3"/>
                <w:sz w:val="20"/>
              </w:rPr>
              <w:t> </w:t>
            </w:r>
            <w:r>
              <w:rPr>
                <w:color w:val="231F20"/>
                <w:sz w:val="20"/>
              </w:rPr>
              <w:t>of</w:t>
            </w:r>
            <w:r>
              <w:rPr>
                <w:color w:val="231F20"/>
                <w:spacing w:val="-4"/>
                <w:sz w:val="20"/>
              </w:rPr>
              <w:t> </w:t>
            </w:r>
            <w:r>
              <w:rPr>
                <w:color w:val="231F20"/>
                <w:sz w:val="20"/>
              </w:rPr>
              <w:t>approximately</w:t>
            </w:r>
            <w:r>
              <w:rPr>
                <w:color w:val="231F20"/>
                <w:spacing w:val="-3"/>
                <w:sz w:val="20"/>
              </w:rPr>
              <w:t> </w:t>
            </w:r>
            <w:r>
              <w:rPr>
                <w:color w:val="231F20"/>
                <w:sz w:val="20"/>
              </w:rPr>
              <w:t>10</w:t>
            </w:r>
            <w:r>
              <w:rPr>
                <w:color w:val="231F20"/>
                <w:spacing w:val="-53"/>
                <w:sz w:val="20"/>
              </w:rPr>
              <w:t> </w:t>
            </w:r>
            <w:r>
              <w:rPr>
                <w:color w:val="231F20"/>
                <w:sz w:val="20"/>
              </w:rPr>
              <w:t>individual therapy sessions on integrated</w:t>
            </w:r>
            <w:r>
              <w:rPr>
                <w:color w:val="231F20"/>
                <w:spacing w:val="1"/>
                <w:sz w:val="20"/>
              </w:rPr>
              <w:t> </w:t>
            </w:r>
            <w:r>
              <w:rPr>
                <w:color w:val="231F20"/>
                <w:sz w:val="20"/>
              </w:rPr>
              <w:t>cognitive therapy strategies, behavioral</w:t>
            </w:r>
            <w:r>
              <w:rPr>
                <w:color w:val="231F20"/>
                <w:spacing w:val="1"/>
                <w:sz w:val="20"/>
              </w:rPr>
              <w:t> </w:t>
            </w:r>
            <w:r>
              <w:rPr>
                <w:color w:val="231F20"/>
                <w:sz w:val="20"/>
              </w:rPr>
              <w:t>techniques, and sexual risk reduction</w:t>
            </w:r>
            <w:r>
              <w:rPr>
                <w:color w:val="231F20"/>
                <w:spacing w:val="1"/>
                <w:sz w:val="20"/>
              </w:rPr>
              <w:t> </w:t>
            </w:r>
            <w:r>
              <w:rPr>
                <w:color w:val="231F20"/>
                <w:sz w:val="20"/>
              </w:rPr>
              <w:t>counseling.</w:t>
            </w:r>
            <w:r>
              <w:rPr>
                <w:color w:val="231F20"/>
                <w:position w:val="7"/>
                <w:sz w:val="11"/>
              </w:rPr>
              <w:t>58</w:t>
            </w:r>
          </w:p>
        </w:tc>
      </w:tr>
      <w:tr>
        <w:trPr>
          <w:trHeight w:val="1725" w:hRule="atLeast"/>
        </w:trPr>
        <w:tc>
          <w:tcPr>
            <w:tcW w:w="1008" w:type="dxa"/>
            <w:vMerge/>
            <w:tcBorders>
              <w:top w:val="nil"/>
            </w:tcBorders>
            <w:shd w:val="clear" w:color="auto" w:fill="CE384B"/>
          </w:tcPr>
          <w:p>
            <w:pPr>
              <w:rPr>
                <w:sz w:val="2"/>
                <w:szCs w:val="2"/>
              </w:rPr>
            </w:pPr>
          </w:p>
        </w:tc>
        <w:tc>
          <w:tcPr>
            <w:tcW w:w="4076" w:type="dxa"/>
            <w:shd w:val="clear" w:color="auto" w:fill="F7E4E6"/>
          </w:tcPr>
          <w:p>
            <w:pPr>
              <w:pStyle w:val="TableParagraph"/>
              <w:spacing w:before="28"/>
              <w:ind w:left="79"/>
              <w:rPr>
                <w:sz w:val="20"/>
              </w:rPr>
            </w:pPr>
            <w:r>
              <w:rPr>
                <w:color w:val="231F20"/>
                <w:sz w:val="20"/>
              </w:rPr>
              <w:t>Project</w:t>
            </w:r>
            <w:r>
              <w:rPr>
                <w:color w:val="231F20"/>
                <w:spacing w:val="-7"/>
                <w:sz w:val="20"/>
              </w:rPr>
              <w:t> </w:t>
            </w:r>
            <w:r>
              <w:rPr>
                <w:color w:val="231F20"/>
                <w:sz w:val="20"/>
              </w:rPr>
              <w:t>IMPACT</w:t>
            </w:r>
            <w:r>
              <w:rPr>
                <w:color w:val="231F20"/>
                <w:spacing w:val="-9"/>
                <w:sz w:val="20"/>
              </w:rPr>
              <w:t> </w:t>
            </w:r>
            <w:r>
              <w:rPr>
                <w:color w:val="231F20"/>
                <w:sz w:val="20"/>
              </w:rPr>
              <w:t>consists</w:t>
            </w:r>
            <w:r>
              <w:rPr>
                <w:color w:val="231F20"/>
                <w:spacing w:val="-6"/>
                <w:sz w:val="20"/>
              </w:rPr>
              <w:t> </w:t>
            </w:r>
            <w:r>
              <w:rPr>
                <w:color w:val="231F20"/>
                <w:sz w:val="20"/>
              </w:rPr>
              <w:t>of</w:t>
            </w:r>
            <w:r>
              <w:rPr>
                <w:color w:val="231F20"/>
                <w:spacing w:val="-7"/>
                <w:sz w:val="20"/>
              </w:rPr>
              <w:t> </w:t>
            </w:r>
            <w:r>
              <w:rPr>
                <w:color w:val="231F20"/>
                <w:sz w:val="20"/>
              </w:rPr>
              <w:t>10</w:t>
            </w:r>
            <w:r>
              <w:rPr>
                <w:color w:val="231F20"/>
                <w:spacing w:val="-7"/>
                <w:sz w:val="20"/>
              </w:rPr>
              <w:t> </w:t>
            </w:r>
            <w:r>
              <w:rPr>
                <w:color w:val="231F20"/>
                <w:sz w:val="20"/>
              </w:rPr>
              <w:t>weekly,</w:t>
            </w:r>
          </w:p>
          <w:p>
            <w:pPr>
              <w:pStyle w:val="TableParagraph"/>
              <w:spacing w:line="249" w:lineRule="auto" w:before="10"/>
              <w:ind w:left="79" w:right="210"/>
              <w:rPr>
                <w:sz w:val="11"/>
              </w:rPr>
            </w:pPr>
            <w:r>
              <w:rPr>
                <w:color w:val="231F20"/>
                <w:sz w:val="20"/>
              </w:rPr>
              <w:t>50-minute, in-person sessions that include</w:t>
            </w:r>
            <w:r>
              <w:rPr>
                <w:color w:val="231F20"/>
                <w:spacing w:val="-54"/>
                <w:sz w:val="20"/>
              </w:rPr>
              <w:t> </w:t>
            </w:r>
            <w:r>
              <w:rPr>
                <w:color w:val="231F20"/>
                <w:sz w:val="20"/>
              </w:rPr>
              <w:t>HIV risk reduction sessions, sessions of</w:t>
            </w:r>
            <w:r>
              <w:rPr>
                <w:color w:val="231F20"/>
                <w:spacing w:val="1"/>
                <w:sz w:val="20"/>
              </w:rPr>
              <w:t> </w:t>
            </w:r>
            <w:r>
              <w:rPr>
                <w:color w:val="231F20"/>
                <w:sz w:val="20"/>
              </w:rPr>
              <w:t>cognitive behavioral therapy for reducing</w:t>
            </w:r>
            <w:r>
              <w:rPr>
                <w:color w:val="231F20"/>
                <w:spacing w:val="1"/>
                <w:sz w:val="20"/>
              </w:rPr>
              <w:t> </w:t>
            </w:r>
            <w:r>
              <w:rPr>
                <w:color w:val="231F20"/>
                <w:sz w:val="20"/>
              </w:rPr>
              <w:t>substance use, behavioral activation</w:t>
            </w:r>
            <w:r>
              <w:rPr>
                <w:color w:val="231F20"/>
                <w:spacing w:val="1"/>
                <w:sz w:val="20"/>
              </w:rPr>
              <w:t> </w:t>
            </w:r>
            <w:r>
              <w:rPr>
                <w:color w:val="231F20"/>
                <w:sz w:val="20"/>
              </w:rPr>
              <w:t>sessions, and preventing re-starting</w:t>
            </w:r>
            <w:r>
              <w:rPr>
                <w:color w:val="231F20"/>
                <w:spacing w:val="1"/>
                <w:sz w:val="20"/>
              </w:rPr>
              <w:t> </w:t>
            </w:r>
            <w:r>
              <w:rPr>
                <w:color w:val="231F20"/>
                <w:sz w:val="20"/>
              </w:rPr>
              <w:t>substance use.</w:t>
            </w:r>
            <w:r>
              <w:rPr>
                <w:color w:val="231F20"/>
                <w:position w:val="7"/>
                <w:sz w:val="11"/>
              </w:rPr>
              <w:t>60</w:t>
            </w:r>
          </w:p>
        </w:tc>
      </w:tr>
      <w:tr>
        <w:trPr>
          <w:trHeight w:val="1245" w:hRule="atLeast"/>
        </w:trPr>
        <w:tc>
          <w:tcPr>
            <w:tcW w:w="1008" w:type="dxa"/>
            <w:vMerge/>
            <w:tcBorders>
              <w:top w:val="nil"/>
            </w:tcBorders>
            <w:shd w:val="clear" w:color="auto" w:fill="CE384B"/>
          </w:tcPr>
          <w:p>
            <w:pPr>
              <w:rPr>
                <w:sz w:val="2"/>
                <w:szCs w:val="2"/>
              </w:rPr>
            </w:pPr>
          </w:p>
        </w:tc>
        <w:tc>
          <w:tcPr>
            <w:tcW w:w="4076" w:type="dxa"/>
            <w:shd w:val="clear" w:color="auto" w:fill="F7E4E6"/>
          </w:tcPr>
          <w:p>
            <w:pPr>
              <w:pStyle w:val="TableParagraph"/>
              <w:spacing w:line="249" w:lineRule="auto" w:before="28"/>
              <w:ind w:left="79" w:right="241"/>
              <w:rPr>
                <w:sz w:val="11"/>
              </w:rPr>
            </w:pPr>
            <w:r>
              <w:rPr>
                <w:color w:val="231F20"/>
                <w:sz w:val="20"/>
              </w:rPr>
              <w:t>Sexual Confidence consists of 10 weekly</w:t>
            </w:r>
            <w:r>
              <w:rPr>
                <w:color w:val="231F20"/>
                <w:spacing w:val="1"/>
                <w:sz w:val="20"/>
              </w:rPr>
              <w:t> </w:t>
            </w:r>
            <w:r>
              <w:rPr>
                <w:color w:val="231F20"/>
                <w:sz w:val="20"/>
              </w:rPr>
              <w:t>1 hour sessions using an integrated CBT</w:t>
            </w:r>
            <w:r>
              <w:rPr>
                <w:color w:val="231F20"/>
                <w:spacing w:val="1"/>
                <w:sz w:val="20"/>
              </w:rPr>
              <w:t> </w:t>
            </w:r>
            <w:r>
              <w:rPr>
                <w:color w:val="231F20"/>
                <w:sz w:val="20"/>
              </w:rPr>
              <w:t>model focusing on conversations between</w:t>
            </w:r>
            <w:r>
              <w:rPr>
                <w:color w:val="231F20"/>
                <w:spacing w:val="-53"/>
                <w:sz w:val="20"/>
              </w:rPr>
              <w:t> </w:t>
            </w:r>
            <w:r>
              <w:rPr>
                <w:color w:val="231F20"/>
                <w:sz w:val="20"/>
              </w:rPr>
              <w:t>the client and facilitator (instead of a</w:t>
            </w:r>
            <w:r>
              <w:rPr>
                <w:color w:val="231F20"/>
                <w:spacing w:val="1"/>
                <w:sz w:val="20"/>
              </w:rPr>
              <w:t> </w:t>
            </w:r>
            <w:r>
              <w:rPr>
                <w:color w:val="231F20"/>
                <w:sz w:val="20"/>
              </w:rPr>
              <w:t>didactic</w:t>
            </w:r>
            <w:r>
              <w:rPr>
                <w:color w:val="231F20"/>
                <w:spacing w:val="-2"/>
                <w:sz w:val="20"/>
              </w:rPr>
              <w:t> </w:t>
            </w:r>
            <w:r>
              <w:rPr>
                <w:color w:val="231F20"/>
                <w:sz w:val="20"/>
              </w:rPr>
              <w:t>learning</w:t>
            </w:r>
            <w:r>
              <w:rPr>
                <w:color w:val="231F20"/>
                <w:spacing w:val="-1"/>
                <w:sz w:val="20"/>
              </w:rPr>
              <w:t> </w:t>
            </w:r>
            <w:r>
              <w:rPr>
                <w:color w:val="231F20"/>
                <w:sz w:val="20"/>
              </w:rPr>
              <w:t>session).</w:t>
            </w:r>
            <w:r>
              <w:rPr>
                <w:color w:val="231F20"/>
                <w:position w:val="7"/>
                <w:sz w:val="11"/>
              </w:rPr>
              <w:t>62</w:t>
            </w:r>
          </w:p>
        </w:tc>
      </w:tr>
      <w:tr>
        <w:trPr>
          <w:trHeight w:val="1485" w:hRule="atLeast"/>
        </w:trPr>
        <w:tc>
          <w:tcPr>
            <w:tcW w:w="1008" w:type="dxa"/>
            <w:shd w:val="clear" w:color="auto" w:fill="CE384B"/>
          </w:tcPr>
          <w:p>
            <w:pPr>
              <w:pStyle w:val="TableParagraph"/>
              <w:rPr>
                <w:rFonts w:ascii="Times New Roman"/>
                <w:sz w:val="20"/>
              </w:rPr>
            </w:pPr>
          </w:p>
          <w:p>
            <w:pPr>
              <w:pStyle w:val="TableParagraph"/>
              <w:spacing w:before="9"/>
              <w:rPr>
                <w:rFonts w:ascii="Times New Roman"/>
                <w:sz w:val="12"/>
              </w:rPr>
            </w:pPr>
          </w:p>
          <w:p>
            <w:pPr>
              <w:pStyle w:val="TableParagraph"/>
              <w:ind w:left="122"/>
              <w:rPr>
                <w:rFonts w:ascii="Times New Roman"/>
                <w:sz w:val="20"/>
              </w:rPr>
            </w:pPr>
            <w:r>
              <w:rPr>
                <w:rFonts w:ascii="Times New Roman"/>
                <w:sz w:val="20"/>
              </w:rPr>
              <w:drawing>
                <wp:inline distT="0" distB="0" distL="0" distR="0">
                  <wp:extent cx="502919" cy="502919"/>
                  <wp:effectExtent l="0" t="0" r="0" b="0"/>
                  <wp:docPr id="61" name="image20.png"/>
                  <wp:cNvGraphicFramePr>
                    <a:graphicFrameLocks noChangeAspect="1"/>
                  </wp:cNvGraphicFramePr>
                  <a:graphic>
                    <a:graphicData uri="http://schemas.openxmlformats.org/drawingml/2006/picture">
                      <pic:pic>
                        <pic:nvPicPr>
                          <pic:cNvPr id="62" name="image20.png"/>
                          <pic:cNvPicPr/>
                        </pic:nvPicPr>
                        <pic:blipFill>
                          <a:blip r:embed="rId150" cstate="print"/>
                          <a:stretch>
                            <a:fillRect/>
                          </a:stretch>
                        </pic:blipFill>
                        <pic:spPr>
                          <a:xfrm>
                            <a:off x="0" y="0"/>
                            <a:ext cx="502919" cy="502919"/>
                          </a:xfrm>
                          <a:prstGeom prst="rect">
                            <a:avLst/>
                          </a:prstGeom>
                        </pic:spPr>
                      </pic:pic>
                    </a:graphicData>
                  </a:graphic>
                </wp:inline>
              </w:drawing>
            </w:r>
            <w:r>
              <w:rPr>
                <w:rFonts w:ascii="Times New Roman"/>
                <w:sz w:val="20"/>
              </w:rPr>
            </w:r>
          </w:p>
        </w:tc>
        <w:tc>
          <w:tcPr>
            <w:tcW w:w="4076" w:type="dxa"/>
            <w:shd w:val="clear" w:color="auto" w:fill="F7E4E6"/>
          </w:tcPr>
          <w:p>
            <w:pPr>
              <w:pStyle w:val="TableParagraph"/>
              <w:spacing w:line="249" w:lineRule="auto" w:before="28"/>
              <w:ind w:left="80" w:right="138"/>
              <w:rPr>
                <w:sz w:val="20"/>
              </w:rPr>
            </w:pPr>
            <w:r>
              <w:rPr>
                <w:color w:val="231F20"/>
                <w:sz w:val="20"/>
              </w:rPr>
              <w:t>CBT-AD consists of between nine and 12</w:t>
            </w:r>
            <w:r>
              <w:rPr>
                <w:color w:val="231F20"/>
                <w:spacing w:val="1"/>
                <w:sz w:val="20"/>
              </w:rPr>
              <w:t> </w:t>
            </w:r>
            <w:r>
              <w:rPr>
                <w:color w:val="231F20"/>
                <w:sz w:val="20"/>
              </w:rPr>
              <w:t>50- to 60-minute sessions, with three “open</w:t>
            </w:r>
            <w:r>
              <w:rPr>
                <w:color w:val="231F20"/>
                <w:spacing w:val="-54"/>
                <w:sz w:val="20"/>
              </w:rPr>
              <w:t> </w:t>
            </w:r>
            <w:r>
              <w:rPr>
                <w:color w:val="231F20"/>
                <w:sz w:val="20"/>
              </w:rPr>
              <w:t>sessions” (which</w:t>
            </w:r>
            <w:r>
              <w:rPr>
                <w:color w:val="231F20"/>
                <w:spacing w:val="1"/>
                <w:sz w:val="20"/>
              </w:rPr>
              <w:t> </w:t>
            </w:r>
            <w:r>
              <w:rPr>
                <w:color w:val="231F20"/>
                <w:sz w:val="20"/>
              </w:rPr>
              <w:t>allow for</w:t>
            </w:r>
            <w:r>
              <w:rPr>
                <w:color w:val="231F20"/>
                <w:spacing w:val="1"/>
                <w:sz w:val="20"/>
              </w:rPr>
              <w:t> </w:t>
            </w:r>
            <w:r>
              <w:rPr>
                <w:color w:val="231F20"/>
                <w:sz w:val="20"/>
              </w:rPr>
              <w:t>the individual</w:t>
            </w:r>
            <w:r>
              <w:rPr>
                <w:color w:val="231F20"/>
                <w:spacing w:val="1"/>
                <w:sz w:val="20"/>
              </w:rPr>
              <w:t> </w:t>
            </w:r>
            <w:r>
              <w:rPr>
                <w:color w:val="231F20"/>
                <w:sz w:val="20"/>
              </w:rPr>
              <w:t>and</w:t>
            </w:r>
            <w:r>
              <w:rPr>
                <w:color w:val="231F20"/>
                <w:spacing w:val="8"/>
                <w:sz w:val="20"/>
              </w:rPr>
              <w:t> </w:t>
            </w:r>
            <w:r>
              <w:rPr>
                <w:color w:val="231F20"/>
                <w:sz w:val="20"/>
              </w:rPr>
              <w:t>therapist</w:t>
            </w:r>
            <w:r>
              <w:rPr>
                <w:color w:val="231F20"/>
                <w:spacing w:val="10"/>
                <w:sz w:val="20"/>
              </w:rPr>
              <w:t> </w:t>
            </w:r>
            <w:r>
              <w:rPr>
                <w:color w:val="231F20"/>
                <w:sz w:val="20"/>
              </w:rPr>
              <w:t>to</w:t>
            </w:r>
            <w:r>
              <w:rPr>
                <w:color w:val="231F20"/>
                <w:spacing w:val="10"/>
                <w:sz w:val="20"/>
              </w:rPr>
              <w:t> </w:t>
            </w:r>
            <w:r>
              <w:rPr>
                <w:color w:val="231F20"/>
                <w:sz w:val="20"/>
              </w:rPr>
              <w:t>revisit</w:t>
            </w:r>
            <w:r>
              <w:rPr>
                <w:color w:val="231F20"/>
                <w:spacing w:val="10"/>
                <w:sz w:val="20"/>
              </w:rPr>
              <w:t> </w:t>
            </w:r>
            <w:r>
              <w:rPr>
                <w:color w:val="231F20"/>
                <w:sz w:val="20"/>
              </w:rPr>
              <w:t>the</w:t>
            </w:r>
            <w:r>
              <w:rPr>
                <w:color w:val="231F20"/>
                <w:spacing w:val="10"/>
                <w:sz w:val="20"/>
              </w:rPr>
              <w:t> </w:t>
            </w:r>
            <w:r>
              <w:rPr>
                <w:color w:val="231F20"/>
                <w:sz w:val="20"/>
              </w:rPr>
              <w:t>modules</w:t>
            </w:r>
            <w:r>
              <w:rPr>
                <w:color w:val="231F20"/>
                <w:spacing w:val="10"/>
                <w:sz w:val="20"/>
              </w:rPr>
              <w:t> </w:t>
            </w:r>
            <w:r>
              <w:rPr>
                <w:color w:val="231F20"/>
                <w:sz w:val="20"/>
              </w:rPr>
              <w:t>that</w:t>
            </w:r>
            <w:r>
              <w:rPr>
                <w:color w:val="231F20"/>
                <w:spacing w:val="1"/>
                <w:sz w:val="20"/>
              </w:rPr>
              <w:t> </w:t>
            </w:r>
            <w:r>
              <w:rPr>
                <w:color w:val="231F20"/>
                <w:sz w:val="20"/>
              </w:rPr>
              <w:t>are</w:t>
            </w:r>
            <w:r>
              <w:rPr>
                <w:color w:val="231F20"/>
                <w:spacing w:val="-2"/>
                <w:sz w:val="20"/>
              </w:rPr>
              <w:t> </w:t>
            </w:r>
            <w:r>
              <w:rPr>
                <w:color w:val="231F20"/>
                <w:sz w:val="20"/>
              </w:rPr>
              <w:t>most relevant</w:t>
            </w:r>
            <w:r>
              <w:rPr>
                <w:color w:val="231F20"/>
                <w:spacing w:val="-1"/>
                <w:sz w:val="20"/>
              </w:rPr>
              <w:t> </w:t>
            </w:r>
            <w:r>
              <w:rPr>
                <w:color w:val="231F20"/>
                <w:sz w:val="20"/>
              </w:rPr>
              <w:t>to the</w:t>
            </w:r>
            <w:r>
              <w:rPr>
                <w:color w:val="231F20"/>
                <w:spacing w:val="-1"/>
                <w:sz w:val="20"/>
              </w:rPr>
              <w:t> </w:t>
            </w:r>
            <w:r>
              <w:rPr>
                <w:color w:val="231F20"/>
                <w:sz w:val="20"/>
              </w:rPr>
              <w:t>client’s specific</w:t>
            </w:r>
          </w:p>
          <w:p>
            <w:pPr>
              <w:pStyle w:val="TableParagraph"/>
              <w:spacing w:before="7"/>
              <w:ind w:left="80"/>
              <w:rPr>
                <w:sz w:val="11"/>
              </w:rPr>
            </w:pPr>
            <w:r>
              <w:rPr>
                <w:color w:val="231F20"/>
                <w:spacing w:val="-1"/>
                <w:w w:val="105"/>
                <w:position w:val="-6"/>
                <w:sz w:val="20"/>
              </w:rPr>
              <w:t>needs).</w:t>
            </w:r>
            <w:r>
              <w:rPr>
                <w:color w:val="231F20"/>
                <w:spacing w:val="-1"/>
                <w:w w:val="105"/>
                <w:sz w:val="11"/>
              </w:rPr>
              <w:t>63,</w:t>
            </w:r>
            <w:r>
              <w:rPr>
                <w:color w:val="231F20"/>
                <w:spacing w:val="-7"/>
                <w:w w:val="105"/>
                <w:sz w:val="11"/>
              </w:rPr>
              <w:t> </w:t>
            </w:r>
            <w:r>
              <w:rPr>
                <w:color w:val="231F20"/>
                <w:w w:val="105"/>
                <w:sz w:val="11"/>
              </w:rPr>
              <w:t>64,</w:t>
            </w:r>
            <w:r>
              <w:rPr>
                <w:color w:val="231F20"/>
                <w:spacing w:val="-7"/>
                <w:w w:val="105"/>
                <w:sz w:val="11"/>
              </w:rPr>
              <w:t> </w:t>
            </w:r>
            <w:r>
              <w:rPr>
                <w:color w:val="231F20"/>
                <w:w w:val="105"/>
                <w:sz w:val="11"/>
              </w:rPr>
              <w:t>67,</w:t>
            </w:r>
            <w:r>
              <w:rPr>
                <w:color w:val="231F20"/>
                <w:spacing w:val="-7"/>
                <w:w w:val="105"/>
                <w:sz w:val="11"/>
              </w:rPr>
              <w:t> </w:t>
            </w:r>
            <w:r>
              <w:rPr>
                <w:color w:val="231F20"/>
                <w:w w:val="105"/>
                <w:sz w:val="11"/>
              </w:rPr>
              <w:t>69</w:t>
            </w:r>
          </w:p>
        </w:tc>
      </w:tr>
    </w:tbl>
    <w:p>
      <w:pPr>
        <w:spacing w:after="0"/>
        <w:rPr>
          <w:sz w:val="11"/>
        </w:rPr>
        <w:sectPr>
          <w:type w:val="continuous"/>
          <w:pgSz w:w="12240" w:h="15840"/>
          <w:pgMar w:header="0" w:footer="666" w:top="1500" w:bottom="0" w:left="560" w:right="0"/>
          <w:cols w:num="2" w:equalWidth="0">
            <w:col w:w="5230" w:space="508"/>
            <w:col w:w="5942"/>
          </w:cols>
        </w:sectPr>
      </w:pPr>
    </w:p>
    <w:p>
      <w:pPr>
        <w:pStyle w:val="BodyText"/>
        <w:rPr>
          <w:sz w:val="20"/>
        </w:rPr>
      </w:pPr>
    </w:p>
    <w:p>
      <w:pPr>
        <w:pStyle w:val="BodyText"/>
        <w:rPr>
          <w:sz w:val="20"/>
        </w:rPr>
      </w:pPr>
    </w:p>
    <w:p>
      <w:pPr>
        <w:pStyle w:val="BodyText"/>
        <w:spacing w:before="6"/>
        <w:rPr>
          <w:sz w:val="20"/>
        </w:rPr>
      </w:pPr>
    </w:p>
    <w:p>
      <w:pPr>
        <w:pStyle w:val="BodyText"/>
        <w:spacing w:line="20" w:lineRule="exact"/>
        <w:ind w:left="160"/>
        <w:rPr>
          <w:sz w:val="2"/>
        </w:rPr>
      </w:pPr>
      <w:r>
        <w:rPr>
          <w:sz w:val="2"/>
        </w:rPr>
        <w:pict>
          <v:group style="width:540pt;height:1pt;mso-position-horizontal-relative:char;mso-position-vertical-relative:line" id="docshapegroup107" coordorigin="0,0" coordsize="10800,20">
            <v:line style="position:absolute" from="0,10" to="10800,10" stroked="true" strokeweight="1pt" strokecolor="#1c384b">
              <v:stroke dashstyle="solid"/>
            </v:line>
          </v:group>
        </w:pict>
      </w:r>
      <w:r>
        <w:rPr>
          <w:sz w:val="2"/>
        </w:rPr>
      </w:r>
    </w:p>
    <w:p>
      <w:pPr>
        <w:spacing w:before="107"/>
        <w:ind w:left="160" w:right="0" w:firstLine="0"/>
        <w:jc w:val="left"/>
        <w:rPr>
          <w:rFonts w:ascii="Arial"/>
          <w:b/>
          <w:sz w:val="22"/>
        </w:rPr>
      </w:pPr>
      <w:r>
        <w:rPr/>
        <w:pict>
          <v:group style="position:absolute;margin-left:323.975006pt;margin-top:7.499597pt;width:252.05pt;height:261pt;mso-position-horizontal-relative:page;mso-position-vertical-relative:paragraph;z-index:15756288" id="docshapegroup108" coordorigin="6480,150" coordsize="5041,5220">
            <v:shape style="position:absolute;left:6479;top:150;width:5041;height:5220" id="docshape109" coordorigin="6480,150" coordsize="5041,5220" path="m11431,150l6570,150,6534,157,6506,176,6487,205,6480,240,6480,5280,6487,5315,6506,5344,6534,5363,6570,5370,11431,5370,11466,5363,11494,5344,11513,5315,11521,5280,11521,240,11513,205,11494,176,11466,157,11431,150xe" filled="true" fillcolor="#f7e0e0" stroked="false">
              <v:path arrowok="t"/>
              <v:fill type="solid"/>
            </v:shape>
            <v:shape style="position:absolute;left:6479;top:150;width:5041;height:5220" type="#_x0000_t202" id="docshape110" filled="false" stroked="false">
              <v:textbox inset="0,0,0,0">
                <w:txbxContent>
                  <w:p>
                    <w:pPr>
                      <w:spacing w:before="87"/>
                      <w:ind w:left="278" w:right="278" w:firstLine="0"/>
                      <w:jc w:val="center"/>
                      <w:rPr>
                        <w:rFonts w:ascii="Arial Black"/>
                        <w:sz w:val="24"/>
                      </w:rPr>
                    </w:pPr>
                    <w:r>
                      <w:rPr>
                        <w:rFonts w:ascii="Arial Black"/>
                        <w:color w:val="CE384B"/>
                        <w:spacing w:val="-3"/>
                        <w:sz w:val="24"/>
                      </w:rPr>
                      <w:t>PATIENT</w:t>
                    </w:r>
                    <w:r>
                      <w:rPr>
                        <w:rFonts w:ascii="Arial Black"/>
                        <w:color w:val="CE384B"/>
                        <w:spacing w:val="-15"/>
                        <w:sz w:val="24"/>
                      </w:rPr>
                      <w:t> </w:t>
                    </w:r>
                    <w:r>
                      <w:rPr>
                        <w:rFonts w:ascii="Arial Black"/>
                        <w:color w:val="CE384B"/>
                        <w:spacing w:val="-3"/>
                        <w:sz w:val="24"/>
                      </w:rPr>
                      <w:t>NAVIGATION:</w:t>
                    </w:r>
                  </w:p>
                  <w:p>
                    <w:pPr>
                      <w:spacing w:line="184" w:lineRule="auto" w:before="73"/>
                      <w:ind w:left="280" w:right="278" w:firstLine="0"/>
                      <w:jc w:val="center"/>
                      <w:rPr>
                        <w:rFonts w:ascii="Arial Black"/>
                        <w:sz w:val="24"/>
                      </w:rPr>
                    </w:pPr>
                    <w:r>
                      <w:rPr>
                        <w:rFonts w:ascii="Arial Black"/>
                        <w:color w:val="CE384B"/>
                        <w:sz w:val="24"/>
                      </w:rPr>
                      <w:t>Supporting</w:t>
                    </w:r>
                    <w:r>
                      <w:rPr>
                        <w:rFonts w:ascii="Arial Black"/>
                        <w:color w:val="CE384B"/>
                        <w:spacing w:val="1"/>
                        <w:sz w:val="24"/>
                      </w:rPr>
                      <w:t> </w:t>
                    </w:r>
                    <w:r>
                      <w:rPr>
                        <w:rFonts w:ascii="Arial Black"/>
                        <w:color w:val="CE384B"/>
                        <w:sz w:val="24"/>
                      </w:rPr>
                      <w:t>transition</w:t>
                    </w:r>
                    <w:r>
                      <w:rPr>
                        <w:rFonts w:ascii="Arial Black"/>
                        <w:color w:val="CE384B"/>
                        <w:spacing w:val="1"/>
                        <w:sz w:val="24"/>
                      </w:rPr>
                      <w:t> </w:t>
                    </w:r>
                    <w:r>
                      <w:rPr>
                        <w:rFonts w:ascii="Arial Black"/>
                        <w:color w:val="CE384B"/>
                        <w:sz w:val="24"/>
                      </w:rPr>
                      <w:t>between</w:t>
                    </w:r>
                    <w:r>
                      <w:rPr>
                        <w:rFonts w:ascii="Arial Black"/>
                        <w:color w:val="CE384B"/>
                        <w:spacing w:val="1"/>
                        <w:sz w:val="24"/>
                      </w:rPr>
                      <w:t> </w:t>
                    </w:r>
                    <w:r>
                      <w:rPr>
                        <w:rFonts w:ascii="Arial Black"/>
                        <w:color w:val="CE384B"/>
                        <w:sz w:val="24"/>
                      </w:rPr>
                      <w:t>jail</w:t>
                    </w:r>
                    <w:r>
                      <w:rPr>
                        <w:rFonts w:ascii="Arial Black"/>
                        <w:color w:val="CE384B"/>
                        <w:spacing w:val="-77"/>
                        <w:sz w:val="24"/>
                      </w:rPr>
                      <w:t> </w:t>
                    </w:r>
                    <w:r>
                      <w:rPr>
                        <w:rFonts w:ascii="Arial Black"/>
                        <w:color w:val="CE384B"/>
                        <w:sz w:val="24"/>
                      </w:rPr>
                      <w:t>and</w:t>
                    </w:r>
                    <w:r>
                      <w:rPr>
                        <w:rFonts w:ascii="Arial Black"/>
                        <w:color w:val="CE384B"/>
                        <w:spacing w:val="-1"/>
                        <w:sz w:val="24"/>
                      </w:rPr>
                      <w:t> </w:t>
                    </w:r>
                    <w:r>
                      <w:rPr>
                        <w:rFonts w:ascii="Arial Black"/>
                        <w:color w:val="CE384B"/>
                        <w:sz w:val="24"/>
                      </w:rPr>
                      <w:t>community</w:t>
                    </w:r>
                  </w:p>
                  <w:p>
                    <w:pPr>
                      <w:spacing w:line="259" w:lineRule="auto" w:before="125"/>
                      <w:ind w:left="179" w:right="91" w:firstLine="0"/>
                      <w:jc w:val="left"/>
                      <w:rPr>
                        <w:rFonts w:ascii="Arial"/>
                        <w:sz w:val="12"/>
                      </w:rPr>
                    </w:pPr>
                    <w:r>
                      <w:rPr>
                        <w:rFonts w:ascii="Arial"/>
                        <w:color w:val="010202"/>
                        <w:sz w:val="21"/>
                      </w:rPr>
                      <w:t>While</w:t>
                    </w:r>
                    <w:r>
                      <w:rPr>
                        <w:rFonts w:ascii="Arial"/>
                        <w:color w:val="010202"/>
                        <w:spacing w:val="-5"/>
                        <w:sz w:val="21"/>
                      </w:rPr>
                      <w:t> </w:t>
                    </w:r>
                    <w:r>
                      <w:rPr>
                        <w:rFonts w:ascii="Arial"/>
                        <w:color w:val="010202"/>
                        <w:sz w:val="21"/>
                      </w:rPr>
                      <w:t>incarcerated,</w:t>
                    </w:r>
                    <w:r>
                      <w:rPr>
                        <w:rFonts w:ascii="Arial"/>
                        <w:color w:val="010202"/>
                        <w:spacing w:val="-6"/>
                        <w:sz w:val="21"/>
                      </w:rPr>
                      <w:t> </w:t>
                    </w:r>
                    <w:r>
                      <w:rPr>
                        <w:rFonts w:ascii="Arial"/>
                        <w:color w:val="010202"/>
                        <w:sz w:val="21"/>
                      </w:rPr>
                      <w:t>people</w:t>
                    </w:r>
                    <w:r>
                      <w:rPr>
                        <w:rFonts w:ascii="Arial"/>
                        <w:color w:val="010202"/>
                        <w:spacing w:val="-6"/>
                        <w:sz w:val="21"/>
                      </w:rPr>
                      <w:t> </w:t>
                    </w:r>
                    <w:r>
                      <w:rPr>
                        <w:rFonts w:ascii="Arial"/>
                        <w:color w:val="010202"/>
                        <w:sz w:val="21"/>
                      </w:rPr>
                      <w:t>with</w:t>
                    </w:r>
                    <w:r>
                      <w:rPr>
                        <w:rFonts w:ascii="Arial"/>
                        <w:color w:val="010202"/>
                        <w:spacing w:val="-6"/>
                        <w:sz w:val="21"/>
                      </w:rPr>
                      <w:t> </w:t>
                    </w:r>
                    <w:r>
                      <w:rPr>
                        <w:rFonts w:ascii="Arial"/>
                        <w:color w:val="010202"/>
                        <w:sz w:val="21"/>
                      </w:rPr>
                      <w:t>HIV</w:t>
                    </w:r>
                    <w:r>
                      <w:rPr>
                        <w:rFonts w:ascii="Arial"/>
                        <w:color w:val="010202"/>
                        <w:spacing w:val="-6"/>
                        <w:sz w:val="21"/>
                      </w:rPr>
                      <w:t> </w:t>
                    </w:r>
                    <w:r>
                      <w:rPr>
                        <w:rFonts w:ascii="Arial"/>
                        <w:color w:val="010202"/>
                        <w:sz w:val="21"/>
                      </w:rPr>
                      <w:t>often</w:t>
                    </w:r>
                    <w:r>
                      <w:rPr>
                        <w:rFonts w:ascii="Arial"/>
                        <w:color w:val="010202"/>
                        <w:spacing w:val="-6"/>
                        <w:sz w:val="21"/>
                      </w:rPr>
                      <w:t> </w:t>
                    </w:r>
                    <w:r>
                      <w:rPr>
                        <w:rFonts w:ascii="Arial"/>
                        <w:color w:val="010202"/>
                        <w:sz w:val="21"/>
                      </w:rPr>
                      <w:t>achieve</w:t>
                    </w:r>
                    <w:r>
                      <w:rPr>
                        <w:rFonts w:ascii="Arial"/>
                        <w:color w:val="010202"/>
                        <w:spacing w:val="-55"/>
                        <w:sz w:val="21"/>
                      </w:rPr>
                      <w:t> </w:t>
                    </w:r>
                    <w:r>
                      <w:rPr>
                        <w:rFonts w:ascii="Arial"/>
                        <w:color w:val="010202"/>
                        <w:sz w:val="21"/>
                      </w:rPr>
                      <w:t>viral suppression due to the highly structured</w:t>
                    </w:r>
                    <w:r>
                      <w:rPr>
                        <w:rFonts w:ascii="Arial"/>
                        <w:color w:val="010202"/>
                        <w:spacing w:val="1"/>
                        <w:sz w:val="21"/>
                      </w:rPr>
                      <w:t> </w:t>
                    </w:r>
                    <w:r>
                      <w:rPr>
                        <w:rFonts w:ascii="Arial"/>
                        <w:color w:val="010202"/>
                        <w:sz w:val="21"/>
                      </w:rPr>
                      <w:t>environment and consistent access to care. Post-</w:t>
                    </w:r>
                    <w:r>
                      <w:rPr>
                        <w:rFonts w:ascii="Arial"/>
                        <w:color w:val="010202"/>
                        <w:spacing w:val="-56"/>
                        <w:sz w:val="21"/>
                      </w:rPr>
                      <w:t> </w:t>
                    </w:r>
                    <w:r>
                      <w:rPr>
                        <w:rFonts w:ascii="Arial"/>
                        <w:color w:val="010202"/>
                        <w:sz w:val="21"/>
                      </w:rPr>
                      <w:t>release delays in linkage to and retention in care</w:t>
                    </w:r>
                    <w:r>
                      <w:rPr>
                        <w:rFonts w:ascii="Arial"/>
                        <w:color w:val="010202"/>
                        <w:spacing w:val="1"/>
                        <w:sz w:val="21"/>
                      </w:rPr>
                      <w:t> </w:t>
                    </w:r>
                    <w:r>
                      <w:rPr>
                        <w:rFonts w:ascii="Arial"/>
                        <w:color w:val="010202"/>
                        <w:sz w:val="21"/>
                      </w:rPr>
                      <w:t>can</w:t>
                    </w:r>
                    <w:r>
                      <w:rPr>
                        <w:rFonts w:ascii="Arial"/>
                        <w:color w:val="010202"/>
                        <w:spacing w:val="-1"/>
                        <w:sz w:val="21"/>
                      </w:rPr>
                      <w:t> </w:t>
                    </w:r>
                    <w:r>
                      <w:rPr>
                        <w:rFonts w:ascii="Arial"/>
                        <w:color w:val="010202"/>
                        <w:sz w:val="21"/>
                      </w:rPr>
                      <w:t>cause declines</w:t>
                    </w:r>
                    <w:r>
                      <w:rPr>
                        <w:rFonts w:ascii="Arial"/>
                        <w:color w:val="010202"/>
                        <w:spacing w:val="-2"/>
                        <w:sz w:val="21"/>
                      </w:rPr>
                      <w:t> </w:t>
                    </w:r>
                    <w:r>
                      <w:rPr>
                        <w:rFonts w:ascii="Arial"/>
                        <w:color w:val="010202"/>
                        <w:sz w:val="21"/>
                      </w:rPr>
                      <w:t>in</w:t>
                    </w:r>
                    <w:r>
                      <w:rPr>
                        <w:rFonts w:ascii="Arial"/>
                        <w:color w:val="010202"/>
                        <w:spacing w:val="-1"/>
                        <w:sz w:val="21"/>
                      </w:rPr>
                      <w:t> </w:t>
                    </w:r>
                    <w:r>
                      <w:rPr>
                        <w:rFonts w:ascii="Arial"/>
                        <w:color w:val="010202"/>
                        <w:sz w:val="21"/>
                      </w:rPr>
                      <w:t>viral suppression.</w:t>
                    </w:r>
                    <w:r>
                      <w:rPr>
                        <w:rFonts w:ascii="Arial"/>
                        <w:color w:val="010202"/>
                        <w:position w:val="7"/>
                        <w:sz w:val="12"/>
                      </w:rPr>
                      <w:t>74</w:t>
                    </w:r>
                  </w:p>
                  <w:p>
                    <w:pPr>
                      <w:spacing w:line="259" w:lineRule="auto" w:before="176"/>
                      <w:ind w:left="179" w:right="655" w:firstLine="0"/>
                      <w:jc w:val="left"/>
                      <w:rPr>
                        <w:rFonts w:ascii="Arial"/>
                        <w:sz w:val="21"/>
                      </w:rPr>
                    </w:pPr>
                    <w:r>
                      <w:rPr>
                        <w:rFonts w:ascii="Arial"/>
                        <w:color w:val="010202"/>
                        <w:sz w:val="21"/>
                      </w:rPr>
                      <w:t>Peer patient navigators with shared lived</w:t>
                    </w:r>
                    <w:r>
                      <w:rPr>
                        <w:rFonts w:ascii="Arial"/>
                        <w:color w:val="010202"/>
                        <w:spacing w:val="1"/>
                        <w:sz w:val="21"/>
                      </w:rPr>
                      <w:t> </w:t>
                    </w:r>
                    <w:r>
                      <w:rPr>
                        <w:rFonts w:ascii="Arial"/>
                        <w:color w:val="010202"/>
                        <w:spacing w:val="-1"/>
                        <w:sz w:val="21"/>
                      </w:rPr>
                      <w:t>experiences</w:t>
                    </w:r>
                    <w:r>
                      <w:rPr>
                        <w:rFonts w:ascii="Arial"/>
                        <w:color w:val="010202"/>
                        <w:spacing w:val="-13"/>
                        <w:sz w:val="21"/>
                      </w:rPr>
                      <w:t> </w:t>
                    </w:r>
                    <w:r>
                      <w:rPr>
                        <w:rFonts w:ascii="Arial"/>
                        <w:color w:val="010202"/>
                        <w:spacing w:val="-1"/>
                        <w:sz w:val="21"/>
                      </w:rPr>
                      <w:t>can</w:t>
                    </w:r>
                    <w:r>
                      <w:rPr>
                        <w:rFonts w:ascii="Arial"/>
                        <w:color w:val="010202"/>
                        <w:spacing w:val="-12"/>
                        <w:sz w:val="21"/>
                      </w:rPr>
                      <w:t> </w:t>
                    </w:r>
                    <w:r>
                      <w:rPr>
                        <w:rFonts w:ascii="Arial"/>
                        <w:color w:val="010202"/>
                        <w:spacing w:val="-1"/>
                        <w:sz w:val="21"/>
                      </w:rPr>
                      <w:t>play</w:t>
                    </w:r>
                    <w:r>
                      <w:rPr>
                        <w:rFonts w:ascii="Arial"/>
                        <w:color w:val="010202"/>
                        <w:spacing w:val="-13"/>
                        <w:sz w:val="21"/>
                      </w:rPr>
                      <w:t> </w:t>
                    </w:r>
                    <w:r>
                      <w:rPr>
                        <w:rFonts w:ascii="Arial"/>
                        <w:color w:val="010202"/>
                        <w:spacing w:val="-1"/>
                        <w:sz w:val="21"/>
                      </w:rPr>
                      <w:t>a</w:t>
                    </w:r>
                    <w:r>
                      <w:rPr>
                        <w:rFonts w:ascii="Arial"/>
                        <w:color w:val="010202"/>
                        <w:spacing w:val="-12"/>
                        <w:sz w:val="21"/>
                      </w:rPr>
                      <w:t> </w:t>
                    </w:r>
                    <w:r>
                      <w:rPr>
                        <w:rFonts w:ascii="Arial"/>
                        <w:color w:val="010202"/>
                        <w:spacing w:val="-1"/>
                        <w:sz w:val="21"/>
                      </w:rPr>
                      <w:t>key</w:t>
                    </w:r>
                    <w:r>
                      <w:rPr>
                        <w:rFonts w:ascii="Arial"/>
                        <w:color w:val="010202"/>
                        <w:spacing w:val="-13"/>
                        <w:sz w:val="21"/>
                      </w:rPr>
                      <w:t> </w:t>
                    </w:r>
                    <w:r>
                      <w:rPr>
                        <w:rFonts w:ascii="Arial"/>
                        <w:color w:val="010202"/>
                        <w:spacing w:val="-1"/>
                        <w:sz w:val="21"/>
                      </w:rPr>
                      <w:t>part</w:t>
                    </w:r>
                    <w:r>
                      <w:rPr>
                        <w:rFonts w:ascii="Arial"/>
                        <w:color w:val="010202"/>
                        <w:spacing w:val="-12"/>
                        <w:sz w:val="21"/>
                      </w:rPr>
                      <w:t> </w:t>
                    </w:r>
                    <w:r>
                      <w:rPr>
                        <w:rFonts w:ascii="Arial"/>
                        <w:color w:val="010202"/>
                        <w:spacing w:val="-1"/>
                        <w:sz w:val="21"/>
                      </w:rPr>
                      <w:t>in</w:t>
                    </w:r>
                    <w:r>
                      <w:rPr>
                        <w:rFonts w:ascii="Arial"/>
                        <w:color w:val="010202"/>
                        <w:spacing w:val="-12"/>
                        <w:sz w:val="21"/>
                      </w:rPr>
                      <w:t> </w:t>
                    </w:r>
                    <w:r>
                      <w:rPr>
                        <w:rFonts w:ascii="Arial"/>
                        <w:color w:val="010202"/>
                        <w:spacing w:val="-1"/>
                        <w:sz w:val="21"/>
                      </w:rPr>
                      <w:t>facilitating</w:t>
                    </w:r>
                    <w:r>
                      <w:rPr>
                        <w:rFonts w:ascii="Arial"/>
                        <w:color w:val="010202"/>
                        <w:spacing w:val="-56"/>
                        <w:sz w:val="21"/>
                      </w:rPr>
                      <w:t> </w:t>
                    </w:r>
                    <w:r>
                      <w:rPr>
                        <w:rFonts w:ascii="Arial"/>
                        <w:color w:val="010202"/>
                        <w:sz w:val="21"/>
                      </w:rPr>
                      <w:t>linkage to care by acting as role models. In</w:t>
                    </w:r>
                    <w:r>
                      <w:rPr>
                        <w:rFonts w:ascii="Arial"/>
                        <w:color w:val="010202"/>
                        <w:spacing w:val="1"/>
                        <w:sz w:val="21"/>
                      </w:rPr>
                      <w:t> </w:t>
                    </w:r>
                    <w:r>
                      <w:rPr>
                        <w:rFonts w:ascii="Arial"/>
                        <w:color w:val="010202"/>
                        <w:spacing w:val="-2"/>
                        <w:sz w:val="21"/>
                      </w:rPr>
                      <w:t>the</w:t>
                    </w:r>
                    <w:r>
                      <w:rPr>
                        <w:rFonts w:ascii="Arial"/>
                        <w:color w:val="010202"/>
                        <w:spacing w:val="-12"/>
                        <w:sz w:val="21"/>
                      </w:rPr>
                      <w:t> </w:t>
                    </w:r>
                    <w:r>
                      <w:rPr>
                        <w:rFonts w:ascii="Arial"/>
                        <w:color w:val="010202"/>
                        <w:spacing w:val="-2"/>
                        <w:sz w:val="21"/>
                      </w:rPr>
                      <w:t>study</w:t>
                    </w:r>
                    <w:r>
                      <w:rPr>
                        <w:rFonts w:ascii="Arial"/>
                        <w:color w:val="010202"/>
                        <w:spacing w:val="-12"/>
                        <w:sz w:val="21"/>
                      </w:rPr>
                      <w:t> </w:t>
                    </w:r>
                    <w:r>
                      <w:rPr>
                        <w:rFonts w:ascii="Arial"/>
                        <w:color w:val="010202"/>
                        <w:spacing w:val="-2"/>
                        <w:sz w:val="21"/>
                      </w:rPr>
                      <w:t>included</w:t>
                    </w:r>
                    <w:r>
                      <w:rPr>
                        <w:rFonts w:ascii="Arial"/>
                        <w:color w:val="010202"/>
                        <w:spacing w:val="-12"/>
                        <w:sz w:val="21"/>
                      </w:rPr>
                      <w:t> </w:t>
                    </w:r>
                    <w:r>
                      <w:rPr>
                        <w:rFonts w:ascii="Arial"/>
                        <w:color w:val="010202"/>
                        <w:spacing w:val="-1"/>
                        <w:sz w:val="21"/>
                      </w:rPr>
                      <w:t>in</w:t>
                    </w:r>
                    <w:r>
                      <w:rPr>
                        <w:rFonts w:ascii="Arial"/>
                        <w:color w:val="010202"/>
                        <w:spacing w:val="-12"/>
                        <w:sz w:val="21"/>
                      </w:rPr>
                      <w:t> </w:t>
                    </w:r>
                    <w:r>
                      <w:rPr>
                        <w:rFonts w:ascii="Arial"/>
                        <w:color w:val="010202"/>
                        <w:spacing w:val="-1"/>
                        <w:sz w:val="21"/>
                      </w:rPr>
                      <w:t>this</w:t>
                    </w:r>
                    <w:r>
                      <w:rPr>
                        <w:rFonts w:ascii="Arial"/>
                        <w:color w:val="010202"/>
                        <w:spacing w:val="-12"/>
                        <w:sz w:val="21"/>
                      </w:rPr>
                      <w:t> </w:t>
                    </w:r>
                    <w:r>
                      <w:rPr>
                        <w:rFonts w:ascii="Arial"/>
                        <w:color w:val="010202"/>
                        <w:spacing w:val="-1"/>
                        <w:sz w:val="21"/>
                      </w:rPr>
                      <w:t>review,</w:t>
                    </w:r>
                    <w:r>
                      <w:rPr>
                        <w:rFonts w:ascii="Arial"/>
                        <w:color w:val="010202"/>
                        <w:spacing w:val="-12"/>
                        <w:sz w:val="21"/>
                      </w:rPr>
                      <w:t> </w:t>
                    </w:r>
                    <w:r>
                      <w:rPr>
                        <w:rFonts w:ascii="Arial"/>
                        <w:color w:val="010202"/>
                        <w:spacing w:val="-1"/>
                        <w:sz w:val="21"/>
                      </w:rPr>
                      <w:t>peer</w:t>
                    </w:r>
                    <w:r>
                      <w:rPr>
                        <w:rFonts w:ascii="Arial"/>
                        <w:color w:val="010202"/>
                        <w:spacing w:val="-12"/>
                        <w:sz w:val="21"/>
                      </w:rPr>
                      <w:t> </w:t>
                    </w:r>
                    <w:r>
                      <w:rPr>
                        <w:rFonts w:ascii="Arial"/>
                        <w:color w:val="010202"/>
                        <w:spacing w:val="-1"/>
                        <w:sz w:val="21"/>
                      </w:rPr>
                      <w:t>patient</w:t>
                    </w:r>
                    <w:r>
                      <w:rPr>
                        <w:rFonts w:ascii="Arial"/>
                        <w:color w:val="010202"/>
                        <w:spacing w:val="-56"/>
                        <w:sz w:val="21"/>
                      </w:rPr>
                      <w:t> </w:t>
                    </w:r>
                    <w:r>
                      <w:rPr>
                        <w:rFonts w:ascii="Arial"/>
                        <w:color w:val="010202"/>
                        <w:sz w:val="21"/>
                      </w:rPr>
                      <w:t>navigators</w:t>
                    </w:r>
                    <w:r>
                      <w:rPr>
                        <w:rFonts w:ascii="Arial"/>
                        <w:color w:val="010202"/>
                        <w:spacing w:val="-15"/>
                        <w:sz w:val="21"/>
                      </w:rPr>
                      <w:t> </w:t>
                    </w:r>
                    <w:r>
                      <w:rPr>
                        <w:rFonts w:ascii="Arial"/>
                        <w:color w:val="010202"/>
                        <w:sz w:val="21"/>
                      </w:rPr>
                      <w:t>established</w:t>
                    </w:r>
                    <w:r>
                      <w:rPr>
                        <w:rFonts w:ascii="Arial"/>
                        <w:color w:val="010202"/>
                        <w:spacing w:val="-14"/>
                        <w:sz w:val="21"/>
                      </w:rPr>
                      <w:t> </w:t>
                    </w:r>
                    <w:r>
                      <w:rPr>
                        <w:rFonts w:ascii="Arial"/>
                        <w:color w:val="010202"/>
                        <w:sz w:val="21"/>
                      </w:rPr>
                      <w:t>relationships</w:t>
                    </w:r>
                    <w:r>
                      <w:rPr>
                        <w:rFonts w:ascii="Arial"/>
                        <w:color w:val="010202"/>
                        <w:spacing w:val="-14"/>
                        <w:sz w:val="21"/>
                      </w:rPr>
                      <w:t> </w:t>
                    </w:r>
                    <w:r>
                      <w:rPr>
                        <w:rFonts w:ascii="Arial"/>
                        <w:color w:val="010202"/>
                        <w:sz w:val="21"/>
                      </w:rPr>
                      <w:t>with</w:t>
                    </w:r>
                  </w:p>
                  <w:p>
                    <w:pPr>
                      <w:spacing w:line="259" w:lineRule="auto" w:before="0"/>
                      <w:ind w:left="179" w:right="91" w:firstLine="0"/>
                      <w:jc w:val="left"/>
                      <w:rPr>
                        <w:rFonts w:ascii="Arial"/>
                        <w:sz w:val="21"/>
                      </w:rPr>
                    </w:pPr>
                    <w:r>
                      <w:rPr>
                        <w:rFonts w:ascii="Arial"/>
                        <w:color w:val="010202"/>
                        <w:sz w:val="21"/>
                      </w:rPr>
                      <w:t>participants before they left jail, met them at the</w:t>
                    </w:r>
                    <w:r>
                      <w:rPr>
                        <w:rFonts w:ascii="Arial"/>
                        <w:color w:val="010202"/>
                        <w:spacing w:val="1"/>
                        <w:sz w:val="21"/>
                      </w:rPr>
                      <w:t> </w:t>
                    </w:r>
                    <w:r>
                      <w:rPr>
                        <w:rFonts w:ascii="Arial"/>
                        <w:color w:val="010202"/>
                        <w:spacing w:val="-2"/>
                        <w:sz w:val="21"/>
                      </w:rPr>
                      <w:t>time of release, provided </w:t>
                    </w:r>
                    <w:r>
                      <w:rPr>
                        <w:rFonts w:ascii="Arial"/>
                        <w:color w:val="010202"/>
                        <w:spacing w:val="-1"/>
                        <w:sz w:val="21"/>
                      </w:rPr>
                      <w:t>referrals for post-release</w:t>
                    </w:r>
                    <w:r>
                      <w:rPr>
                        <w:rFonts w:ascii="Arial"/>
                        <w:color w:val="010202"/>
                        <w:spacing w:val="-56"/>
                        <w:sz w:val="21"/>
                      </w:rPr>
                      <w:t> </w:t>
                    </w:r>
                    <w:r>
                      <w:rPr>
                        <w:rFonts w:ascii="Arial"/>
                        <w:color w:val="010202"/>
                        <w:spacing w:val="-1"/>
                        <w:sz w:val="21"/>
                      </w:rPr>
                      <w:t>housing and SUD treatment, and counseled </w:t>
                    </w:r>
                    <w:r>
                      <w:rPr>
                        <w:rFonts w:ascii="Arial"/>
                        <w:color w:val="010202"/>
                        <w:sz w:val="21"/>
                      </w:rPr>
                      <w:t>them</w:t>
                    </w:r>
                    <w:r>
                      <w:rPr>
                        <w:rFonts w:ascii="Arial"/>
                        <w:color w:val="010202"/>
                        <w:spacing w:val="-56"/>
                        <w:sz w:val="21"/>
                      </w:rPr>
                      <w:t> </w:t>
                    </w:r>
                    <w:r>
                      <w:rPr>
                        <w:rFonts w:ascii="Arial"/>
                        <w:color w:val="010202"/>
                        <w:spacing w:val="-1"/>
                        <w:sz w:val="21"/>
                      </w:rPr>
                      <w:t>on</w:t>
                    </w:r>
                    <w:r>
                      <w:rPr>
                        <w:rFonts w:ascii="Arial"/>
                        <w:color w:val="010202"/>
                        <w:spacing w:val="-14"/>
                        <w:sz w:val="21"/>
                      </w:rPr>
                      <w:t> </w:t>
                    </w:r>
                    <w:r>
                      <w:rPr>
                        <w:rFonts w:ascii="Arial"/>
                        <w:color w:val="010202"/>
                        <w:spacing w:val="-1"/>
                        <w:sz w:val="21"/>
                      </w:rPr>
                      <w:t>retention</w:t>
                    </w:r>
                    <w:r>
                      <w:rPr>
                        <w:rFonts w:ascii="Arial"/>
                        <w:color w:val="010202"/>
                        <w:spacing w:val="-13"/>
                        <w:sz w:val="21"/>
                      </w:rPr>
                      <w:t> </w:t>
                    </w:r>
                    <w:r>
                      <w:rPr>
                        <w:rFonts w:ascii="Arial"/>
                        <w:color w:val="010202"/>
                        <w:spacing w:val="-1"/>
                        <w:sz w:val="21"/>
                      </w:rPr>
                      <w:t>and</w:t>
                    </w:r>
                    <w:r>
                      <w:rPr>
                        <w:rFonts w:ascii="Arial"/>
                        <w:color w:val="010202"/>
                        <w:spacing w:val="-13"/>
                        <w:sz w:val="21"/>
                      </w:rPr>
                      <w:t> </w:t>
                    </w:r>
                    <w:r>
                      <w:rPr>
                        <w:rFonts w:ascii="Arial"/>
                        <w:color w:val="010202"/>
                        <w:spacing w:val="-1"/>
                        <w:sz w:val="21"/>
                      </w:rPr>
                      <w:t>adherence</w:t>
                    </w:r>
                    <w:r>
                      <w:rPr>
                        <w:rFonts w:ascii="Arial"/>
                        <w:color w:val="010202"/>
                        <w:spacing w:val="-13"/>
                        <w:sz w:val="21"/>
                      </w:rPr>
                      <w:t> </w:t>
                    </w:r>
                    <w:r>
                      <w:rPr>
                        <w:rFonts w:ascii="Arial"/>
                        <w:color w:val="010202"/>
                        <w:spacing w:val="-1"/>
                        <w:sz w:val="21"/>
                      </w:rPr>
                      <w:t>behaviors</w:t>
                    </w:r>
                    <w:r>
                      <w:rPr>
                        <w:rFonts w:ascii="Arial"/>
                        <w:color w:val="010202"/>
                        <w:spacing w:val="-13"/>
                        <w:sz w:val="21"/>
                      </w:rPr>
                      <w:t> </w:t>
                    </w:r>
                    <w:r>
                      <w:rPr>
                        <w:rFonts w:ascii="Arial"/>
                        <w:color w:val="010202"/>
                        <w:spacing w:val="-1"/>
                        <w:sz w:val="21"/>
                      </w:rPr>
                      <w:t>in</w:t>
                    </w:r>
                    <w:r>
                      <w:rPr>
                        <w:rFonts w:ascii="Arial"/>
                        <w:color w:val="010202"/>
                        <w:spacing w:val="-13"/>
                        <w:sz w:val="21"/>
                      </w:rPr>
                      <w:t> </w:t>
                    </w:r>
                    <w:r>
                      <w:rPr>
                        <w:rFonts w:ascii="Arial"/>
                        <w:color w:val="010202"/>
                        <w:spacing w:val="-1"/>
                        <w:sz w:val="21"/>
                      </w:rPr>
                      <w:t>HIV</w:t>
                    </w:r>
                    <w:r>
                      <w:rPr>
                        <w:rFonts w:ascii="Arial"/>
                        <w:color w:val="010202"/>
                        <w:spacing w:val="-14"/>
                        <w:sz w:val="21"/>
                      </w:rPr>
                      <w:t> </w:t>
                    </w:r>
                    <w:r>
                      <w:rPr>
                        <w:rFonts w:ascii="Arial"/>
                        <w:color w:val="010202"/>
                        <w:spacing w:val="-1"/>
                        <w:sz w:val="21"/>
                      </w:rPr>
                      <w:t>care.</w:t>
                    </w:r>
                  </w:p>
                </w:txbxContent>
              </v:textbox>
              <w10:wrap type="none"/>
            </v:shape>
            <w10:wrap type="none"/>
          </v:group>
        </w:pict>
      </w:r>
      <w:bookmarkStart w:name="Patient Navigation" w:id="71"/>
      <w:bookmarkEnd w:id="71"/>
      <w:r>
        <w:rPr/>
      </w:r>
      <w:bookmarkStart w:name="Goal" w:id="72"/>
      <w:bookmarkEnd w:id="72"/>
      <w:r>
        <w:rPr/>
      </w:r>
      <w:bookmarkStart w:name="Outcomes Associated with Patient Navigat" w:id="73"/>
      <w:bookmarkEnd w:id="73"/>
      <w:r>
        <w:rPr/>
      </w:r>
      <w:bookmarkStart w:name="Typical Settings" w:id="74"/>
      <w:bookmarkEnd w:id="74"/>
      <w:r>
        <w:rPr/>
      </w:r>
      <w:bookmarkStart w:name="PATIENT NAVIGATION:" w:id="75"/>
      <w:bookmarkEnd w:id="75"/>
      <w:r>
        <w:rPr/>
      </w:r>
      <w:bookmarkStart w:name="Demographic Groups" w:id="76"/>
      <w:bookmarkEnd w:id="76"/>
      <w:r>
        <w:rPr/>
      </w:r>
      <w:bookmarkStart w:name="Practitioner Types" w:id="77"/>
      <w:bookmarkEnd w:id="77"/>
      <w:r>
        <w:rPr/>
      </w:r>
      <w:r>
        <w:rPr>
          <w:rFonts w:ascii="Arial"/>
          <w:b/>
          <w:color w:val="CE384B"/>
          <w:sz w:val="22"/>
        </w:rPr>
        <w:t>Patient</w:t>
      </w:r>
      <w:r>
        <w:rPr>
          <w:rFonts w:ascii="Arial"/>
          <w:b/>
          <w:color w:val="CE384B"/>
          <w:spacing w:val="-10"/>
          <w:sz w:val="22"/>
        </w:rPr>
        <w:t> </w:t>
      </w:r>
      <w:r>
        <w:rPr>
          <w:rFonts w:ascii="Arial"/>
          <w:b/>
          <w:color w:val="CE384B"/>
          <w:sz w:val="22"/>
        </w:rPr>
        <w:t>Navigation</w:t>
      </w:r>
    </w:p>
    <w:p>
      <w:pPr>
        <w:pStyle w:val="BodyText"/>
        <w:spacing w:before="1"/>
        <w:rPr>
          <w:rFonts w:ascii="Arial"/>
          <w:b/>
          <w:sz w:val="11"/>
        </w:rPr>
      </w:pPr>
      <w:r>
        <w:rPr/>
        <w:drawing>
          <wp:anchor distT="0" distB="0" distL="0" distR="0" allowOverlap="1" layoutInCell="1" locked="0" behindDoc="0" simplePos="0" relativeHeight="53">
            <wp:simplePos x="0" y="0"/>
            <wp:positionH relativeFrom="page">
              <wp:posOffset>477005</wp:posOffset>
            </wp:positionH>
            <wp:positionV relativeFrom="paragraph">
              <wp:posOffset>96621</wp:posOffset>
            </wp:positionV>
            <wp:extent cx="2964405" cy="336803"/>
            <wp:effectExtent l="0" t="0" r="0" b="0"/>
            <wp:wrapTopAndBottom/>
            <wp:docPr id="63" name="image19.jpeg"/>
            <wp:cNvGraphicFramePr>
              <a:graphicFrameLocks noChangeAspect="1"/>
            </wp:cNvGraphicFramePr>
            <a:graphic>
              <a:graphicData uri="http://schemas.openxmlformats.org/drawingml/2006/picture">
                <pic:pic>
                  <pic:nvPicPr>
                    <pic:cNvPr id="64" name="image19.jpeg"/>
                    <pic:cNvPicPr/>
                  </pic:nvPicPr>
                  <pic:blipFill>
                    <a:blip r:embed="rId149" cstate="print"/>
                    <a:stretch>
                      <a:fillRect/>
                    </a:stretch>
                  </pic:blipFill>
                  <pic:spPr>
                    <a:xfrm>
                      <a:off x="0" y="0"/>
                      <a:ext cx="2964405" cy="336803"/>
                    </a:xfrm>
                    <a:prstGeom prst="rect">
                      <a:avLst/>
                    </a:prstGeom>
                  </pic:spPr>
                </pic:pic>
              </a:graphicData>
            </a:graphic>
          </wp:anchor>
        </w:drawing>
      </w:r>
    </w:p>
    <w:p>
      <w:pPr>
        <w:pStyle w:val="BodyText"/>
        <w:spacing w:before="1"/>
        <w:rPr>
          <w:rFonts w:ascii="Arial"/>
          <w:b/>
          <w:sz w:val="6"/>
        </w:rPr>
      </w:pPr>
    </w:p>
    <w:p>
      <w:pPr>
        <w:spacing w:after="0"/>
        <w:rPr>
          <w:rFonts w:ascii="Arial"/>
          <w:sz w:val="6"/>
        </w:rPr>
        <w:sectPr>
          <w:pgSz w:w="12240" w:h="15840"/>
          <w:pgMar w:header="0" w:footer="666" w:top="380" w:bottom="860" w:left="560" w:right="0"/>
        </w:sectPr>
      </w:pPr>
    </w:p>
    <w:p>
      <w:pPr>
        <w:pStyle w:val="Heading5"/>
        <w:spacing w:before="73"/>
        <w:rPr>
          <w:i/>
        </w:rPr>
      </w:pPr>
      <w:r>
        <w:rPr>
          <w:i/>
          <w:color w:val="1C384B"/>
        </w:rPr>
        <w:t>Goal</w:t>
      </w:r>
    </w:p>
    <w:p>
      <w:pPr>
        <w:pStyle w:val="BodyText"/>
        <w:spacing w:line="266" w:lineRule="auto" w:before="184"/>
        <w:ind w:left="160" w:right="204"/>
      </w:pPr>
      <w:r>
        <w:rPr>
          <w:color w:val="231F20"/>
        </w:rPr>
        <w:t>Patient navigation is a client-centered approach aimed</w:t>
      </w:r>
      <w:r>
        <w:rPr>
          <w:color w:val="231F20"/>
          <w:spacing w:val="1"/>
        </w:rPr>
        <w:t> </w:t>
      </w:r>
      <w:r>
        <w:rPr>
          <w:color w:val="231F20"/>
        </w:rPr>
        <w:t>at improving care engagement by addressing client and</w:t>
      </w:r>
      <w:r>
        <w:rPr>
          <w:color w:val="231F20"/>
          <w:spacing w:val="-52"/>
        </w:rPr>
        <w:t> </w:t>
      </w:r>
      <w:r>
        <w:rPr>
          <w:color w:val="231F20"/>
        </w:rPr>
        <w:t>system</w:t>
      </w:r>
      <w:r>
        <w:rPr>
          <w:color w:val="231F20"/>
          <w:spacing w:val="-2"/>
        </w:rPr>
        <w:t> </w:t>
      </w:r>
      <w:r>
        <w:rPr>
          <w:color w:val="231F20"/>
        </w:rPr>
        <w:t>barriers, and</w:t>
      </w:r>
      <w:r>
        <w:rPr>
          <w:color w:val="231F20"/>
          <w:spacing w:val="-1"/>
        </w:rPr>
        <w:t> </w:t>
      </w:r>
      <w:r>
        <w:rPr>
          <w:color w:val="231F20"/>
        </w:rPr>
        <w:t>helps clients</w:t>
      </w:r>
      <w:r>
        <w:rPr>
          <w:color w:val="231F20"/>
          <w:spacing w:val="-1"/>
        </w:rPr>
        <w:t> </w:t>
      </w:r>
      <w:r>
        <w:rPr>
          <w:color w:val="231F20"/>
        </w:rPr>
        <w:t>access medical</w:t>
      </w:r>
      <w:r>
        <w:rPr>
          <w:color w:val="231F20"/>
          <w:spacing w:val="-1"/>
        </w:rPr>
        <w:t> </w:t>
      </w:r>
      <w:r>
        <w:rPr>
          <w:color w:val="231F20"/>
        </w:rPr>
        <w:t>and</w:t>
      </w:r>
    </w:p>
    <w:p>
      <w:pPr>
        <w:pStyle w:val="BodyText"/>
        <w:spacing w:line="266" w:lineRule="auto"/>
        <w:ind w:left="160"/>
      </w:pPr>
      <w:r>
        <w:rPr>
          <w:color w:val="231F20"/>
        </w:rPr>
        <w:t>support</w:t>
      </w:r>
      <w:r>
        <w:rPr>
          <w:color w:val="231F20"/>
          <w:spacing w:val="-6"/>
        </w:rPr>
        <w:t> </w:t>
      </w:r>
      <w:r>
        <w:rPr>
          <w:color w:val="231F20"/>
        </w:rPr>
        <w:t>services</w:t>
      </w:r>
      <w:r>
        <w:rPr>
          <w:color w:val="231F20"/>
          <w:spacing w:val="-5"/>
        </w:rPr>
        <w:t> </w:t>
      </w:r>
      <w:r>
        <w:rPr>
          <w:color w:val="231F20"/>
        </w:rPr>
        <w:t>in</w:t>
      </w:r>
      <w:r>
        <w:rPr>
          <w:color w:val="231F20"/>
          <w:spacing w:val="-4"/>
        </w:rPr>
        <w:t> </w:t>
      </w:r>
      <w:r>
        <w:rPr>
          <w:color w:val="231F20"/>
        </w:rPr>
        <w:t>an</w:t>
      </w:r>
      <w:r>
        <w:rPr>
          <w:color w:val="231F20"/>
          <w:spacing w:val="-5"/>
        </w:rPr>
        <w:t> </w:t>
      </w:r>
      <w:r>
        <w:rPr>
          <w:color w:val="231F20"/>
        </w:rPr>
        <w:t>often</w:t>
      </w:r>
      <w:r>
        <w:rPr>
          <w:color w:val="231F20"/>
          <w:spacing w:val="-4"/>
        </w:rPr>
        <w:t> </w:t>
      </w:r>
      <w:r>
        <w:rPr>
          <w:color w:val="231F20"/>
        </w:rPr>
        <w:t>complex</w:t>
      </w:r>
      <w:r>
        <w:rPr>
          <w:color w:val="231F20"/>
          <w:spacing w:val="-5"/>
        </w:rPr>
        <w:t> </w:t>
      </w:r>
      <w:r>
        <w:rPr>
          <w:color w:val="231F20"/>
        </w:rPr>
        <w:t>healthcare</w:t>
      </w:r>
      <w:r>
        <w:rPr>
          <w:color w:val="231F20"/>
          <w:spacing w:val="-5"/>
        </w:rPr>
        <w:t> </w:t>
      </w:r>
      <w:r>
        <w:rPr>
          <w:color w:val="231F20"/>
        </w:rPr>
        <w:t>system.</w:t>
      </w:r>
      <w:r>
        <w:rPr>
          <w:color w:val="231F20"/>
          <w:vertAlign w:val="superscript"/>
        </w:rPr>
        <w:t>75</w:t>
      </w:r>
      <w:r>
        <w:rPr>
          <w:color w:val="231F20"/>
          <w:spacing w:val="-52"/>
          <w:vertAlign w:val="baseline"/>
        </w:rPr>
        <w:t> </w:t>
      </w:r>
      <w:r>
        <w:rPr>
          <w:color w:val="231F20"/>
          <w:vertAlign w:val="baseline"/>
        </w:rPr>
        <w:t>Originally developed as a strategy to improve timely</w:t>
      </w:r>
      <w:r>
        <w:rPr>
          <w:color w:val="231F20"/>
          <w:spacing w:val="1"/>
          <w:vertAlign w:val="baseline"/>
        </w:rPr>
        <w:t> </w:t>
      </w:r>
      <w:r>
        <w:rPr>
          <w:color w:val="231F20"/>
          <w:vertAlign w:val="baseline"/>
        </w:rPr>
        <w:t>access to cancer screening, diagnosis, and treatment,</w:t>
      </w:r>
      <w:r>
        <w:rPr>
          <w:color w:val="231F20"/>
          <w:vertAlign w:val="superscript"/>
        </w:rPr>
        <w:t>76</w:t>
      </w:r>
      <w:r>
        <w:rPr>
          <w:color w:val="231F20"/>
          <w:spacing w:val="1"/>
          <w:vertAlign w:val="baseline"/>
        </w:rPr>
        <w:t> </w:t>
      </w:r>
      <w:r>
        <w:rPr>
          <w:color w:val="231F20"/>
          <w:vertAlign w:val="baseline"/>
        </w:rPr>
        <w:t>patient navigation has been used to improve the health</w:t>
      </w:r>
      <w:r>
        <w:rPr>
          <w:color w:val="231F20"/>
          <w:spacing w:val="1"/>
          <w:vertAlign w:val="baseline"/>
        </w:rPr>
        <w:t> </w:t>
      </w:r>
      <w:r>
        <w:rPr>
          <w:color w:val="231F20"/>
          <w:vertAlign w:val="baseline"/>
        </w:rPr>
        <w:t>outcomes of multiple medical conditions, including</w:t>
      </w:r>
    </w:p>
    <w:p>
      <w:pPr>
        <w:pStyle w:val="BodyText"/>
        <w:spacing w:line="266" w:lineRule="auto"/>
        <w:ind w:left="160" w:right="106"/>
      </w:pPr>
      <w:r>
        <w:rPr>
          <w:color w:val="231F20"/>
        </w:rPr>
        <w:t>HIV. During individual sessions, navigators work with</w:t>
      </w:r>
      <w:r>
        <w:rPr>
          <w:color w:val="231F20"/>
          <w:spacing w:val="1"/>
        </w:rPr>
        <w:t> </w:t>
      </w:r>
      <w:r>
        <w:rPr>
          <w:color w:val="231F20"/>
        </w:rPr>
        <w:t>participants to facilitate access to care, review health</w:t>
      </w:r>
      <w:r>
        <w:rPr>
          <w:color w:val="231F20"/>
          <w:spacing w:val="1"/>
        </w:rPr>
        <w:t> </w:t>
      </w:r>
      <w:r>
        <w:rPr>
          <w:color w:val="231F20"/>
        </w:rPr>
        <w:t>information, overcome personal or logistical challenges,</w:t>
      </w:r>
      <w:r>
        <w:rPr>
          <w:color w:val="231F20"/>
          <w:spacing w:val="-52"/>
        </w:rPr>
        <w:t> </w:t>
      </w:r>
      <w:r>
        <w:rPr>
          <w:color w:val="231F20"/>
        </w:rPr>
        <w:t>and provide psychosocial support by promoting self-</w:t>
      </w:r>
      <w:r>
        <w:rPr>
          <w:color w:val="231F20"/>
          <w:spacing w:val="1"/>
        </w:rPr>
        <w:t> </w:t>
      </w:r>
      <w:r>
        <w:rPr>
          <w:color w:val="231F20"/>
        </w:rPr>
        <w:t>efficacy and problem-solving behaviors. In addition to</w:t>
      </w:r>
      <w:r>
        <w:rPr>
          <w:color w:val="231F20"/>
          <w:spacing w:val="1"/>
        </w:rPr>
        <w:t> </w:t>
      </w:r>
      <w:r>
        <w:rPr>
          <w:color w:val="231F20"/>
        </w:rPr>
        <w:t>the sessions, navigators accompany participants to HIV</w:t>
      </w:r>
      <w:r>
        <w:rPr>
          <w:color w:val="231F20"/>
          <w:spacing w:val="1"/>
        </w:rPr>
        <w:t> </w:t>
      </w:r>
      <w:r>
        <w:rPr>
          <w:color w:val="231F20"/>
        </w:rPr>
        <w:t>care</w:t>
      </w:r>
      <w:r>
        <w:rPr>
          <w:color w:val="231F20"/>
          <w:spacing w:val="-1"/>
        </w:rPr>
        <w:t> </w:t>
      </w:r>
      <w:r>
        <w:rPr>
          <w:color w:val="231F20"/>
        </w:rPr>
        <w:t>and SUD</w:t>
      </w:r>
      <w:r>
        <w:rPr>
          <w:color w:val="231F20"/>
          <w:spacing w:val="-1"/>
        </w:rPr>
        <w:t> </w:t>
      </w:r>
      <w:r>
        <w:rPr>
          <w:color w:val="231F20"/>
        </w:rPr>
        <w:t>treatment appointments.</w:t>
      </w:r>
    </w:p>
    <w:p>
      <w:pPr>
        <w:pStyle w:val="BodyText"/>
        <w:spacing w:line="266" w:lineRule="auto" w:before="169"/>
        <w:ind w:left="160" w:right="180"/>
      </w:pPr>
      <w:r>
        <w:rPr>
          <w:color w:val="231F20"/>
        </w:rPr>
        <w:t>In the context of the HIV-care continuum, patient</w:t>
      </w:r>
      <w:r>
        <w:rPr>
          <w:color w:val="231F20"/>
          <w:spacing w:val="1"/>
        </w:rPr>
        <w:t> </w:t>
      </w:r>
      <w:r>
        <w:rPr>
          <w:color w:val="231F20"/>
        </w:rPr>
        <w:t>navigation services typically focus on linkage to and</w:t>
      </w:r>
      <w:r>
        <w:rPr>
          <w:color w:val="231F20"/>
          <w:spacing w:val="1"/>
        </w:rPr>
        <w:t> </w:t>
      </w:r>
      <w:r>
        <w:rPr>
          <w:color w:val="231F20"/>
        </w:rPr>
        <w:t>retention</w:t>
      </w:r>
      <w:r>
        <w:rPr>
          <w:color w:val="231F20"/>
          <w:spacing w:val="-3"/>
        </w:rPr>
        <w:t> </w:t>
      </w:r>
      <w:r>
        <w:rPr>
          <w:color w:val="231F20"/>
        </w:rPr>
        <w:t>in</w:t>
      </w:r>
      <w:r>
        <w:rPr>
          <w:color w:val="231F20"/>
          <w:spacing w:val="-2"/>
        </w:rPr>
        <w:t> </w:t>
      </w:r>
      <w:r>
        <w:rPr>
          <w:color w:val="231F20"/>
        </w:rPr>
        <w:t>care,</w:t>
      </w:r>
      <w:r>
        <w:rPr>
          <w:color w:val="231F20"/>
          <w:spacing w:val="-3"/>
        </w:rPr>
        <w:t> </w:t>
      </w:r>
      <w:r>
        <w:rPr>
          <w:color w:val="231F20"/>
        </w:rPr>
        <w:t>improving</w:t>
      </w:r>
      <w:r>
        <w:rPr>
          <w:color w:val="231F20"/>
          <w:spacing w:val="-2"/>
        </w:rPr>
        <w:t> </w:t>
      </w:r>
      <w:r>
        <w:rPr>
          <w:color w:val="231F20"/>
        </w:rPr>
        <w:t>HIV</w:t>
      </w:r>
      <w:r>
        <w:rPr>
          <w:color w:val="231F20"/>
          <w:spacing w:val="-7"/>
        </w:rPr>
        <w:t> </w:t>
      </w:r>
      <w:r>
        <w:rPr>
          <w:color w:val="231F20"/>
        </w:rPr>
        <w:t>treatment</w:t>
      </w:r>
      <w:r>
        <w:rPr>
          <w:color w:val="231F20"/>
          <w:spacing w:val="-2"/>
        </w:rPr>
        <w:t> </w:t>
      </w:r>
      <w:r>
        <w:rPr>
          <w:color w:val="231F20"/>
        </w:rPr>
        <w:t>outcomes,</w:t>
      </w:r>
      <w:r>
        <w:rPr>
          <w:color w:val="231F20"/>
          <w:spacing w:val="-52"/>
        </w:rPr>
        <w:t> </w:t>
      </w:r>
      <w:r>
        <w:rPr>
          <w:color w:val="231F20"/>
        </w:rPr>
        <w:t>client</w:t>
      </w:r>
      <w:r>
        <w:rPr>
          <w:color w:val="231F20"/>
          <w:spacing w:val="-4"/>
        </w:rPr>
        <w:t> </w:t>
      </w:r>
      <w:r>
        <w:rPr>
          <w:color w:val="231F20"/>
        </w:rPr>
        <w:t>satisfaction,</w:t>
      </w:r>
      <w:r>
        <w:rPr>
          <w:color w:val="231F20"/>
          <w:spacing w:val="-4"/>
        </w:rPr>
        <w:t> </w:t>
      </w:r>
      <w:r>
        <w:rPr>
          <w:color w:val="231F20"/>
        </w:rPr>
        <w:t>and</w:t>
      </w:r>
      <w:r>
        <w:rPr>
          <w:color w:val="231F20"/>
          <w:spacing w:val="-3"/>
        </w:rPr>
        <w:t> </w:t>
      </w:r>
      <w:r>
        <w:rPr>
          <w:color w:val="231F20"/>
        </w:rPr>
        <w:t>client</w:t>
      </w:r>
      <w:r>
        <w:rPr>
          <w:color w:val="231F20"/>
          <w:spacing w:val="-3"/>
        </w:rPr>
        <w:t> </w:t>
      </w:r>
      <w:r>
        <w:rPr>
          <w:color w:val="231F20"/>
        </w:rPr>
        <w:t>self-management.</w:t>
      </w:r>
      <w:r>
        <w:rPr>
          <w:color w:val="231F20"/>
          <w:vertAlign w:val="superscript"/>
        </w:rPr>
        <w:t>77</w:t>
      </w:r>
    </w:p>
    <w:p>
      <w:pPr>
        <w:pStyle w:val="Heading5"/>
        <w:spacing w:before="164"/>
        <w:rPr>
          <w:i/>
        </w:rPr>
      </w:pPr>
      <w:r>
        <w:rPr>
          <w:i/>
          <w:color w:val="1C384B"/>
        </w:rPr>
        <w:t>Outcomes</w:t>
      </w:r>
      <w:r>
        <w:rPr>
          <w:i/>
          <w:color w:val="1C384B"/>
          <w:spacing w:val="-12"/>
        </w:rPr>
        <w:t> </w:t>
      </w:r>
      <w:r>
        <w:rPr>
          <w:i/>
          <w:color w:val="1C384B"/>
        </w:rPr>
        <w:t>Associated</w:t>
      </w:r>
      <w:r>
        <w:rPr>
          <w:i/>
          <w:color w:val="1C384B"/>
          <w:spacing w:val="-2"/>
        </w:rPr>
        <w:t> </w:t>
      </w:r>
      <w:r>
        <w:rPr>
          <w:i/>
          <w:color w:val="1C384B"/>
        </w:rPr>
        <w:t>with</w:t>
      </w:r>
      <w:r>
        <w:rPr>
          <w:i/>
          <w:color w:val="1C384B"/>
          <w:spacing w:val="-4"/>
        </w:rPr>
        <w:t> </w:t>
      </w:r>
      <w:r>
        <w:rPr>
          <w:i/>
          <w:color w:val="1C384B"/>
        </w:rPr>
        <w:t>Patient</w:t>
      </w:r>
      <w:r>
        <w:rPr>
          <w:i/>
          <w:color w:val="1C384B"/>
          <w:spacing w:val="-2"/>
        </w:rPr>
        <w:t> </w:t>
      </w:r>
      <w:r>
        <w:rPr>
          <w:i/>
          <w:color w:val="1C384B"/>
        </w:rPr>
        <w:t>Navigation</w:t>
      </w:r>
    </w:p>
    <w:p>
      <w:pPr>
        <w:pStyle w:val="BodyText"/>
        <w:spacing w:before="5"/>
        <w:rPr>
          <w:rFonts w:ascii="Arial"/>
          <w:i/>
          <w:sz w:val="16"/>
        </w:rPr>
      </w:pPr>
    </w:p>
    <w:tbl>
      <w:tblPr>
        <w:tblW w:w="0" w:type="auto"/>
        <w:jc w:val="left"/>
        <w:tblInd w:w="18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004"/>
        <w:gridCol w:w="4016"/>
      </w:tblGrid>
      <w:tr>
        <w:trPr>
          <w:trHeight w:val="2205" w:hRule="atLeast"/>
        </w:trPr>
        <w:tc>
          <w:tcPr>
            <w:tcW w:w="1004" w:type="dxa"/>
            <w:shd w:val="clear" w:color="auto" w:fill="CE384B"/>
          </w:tcPr>
          <w:p>
            <w:pPr>
              <w:pStyle w:val="TableParagraph"/>
              <w:rPr>
                <w:i/>
                <w:sz w:val="20"/>
              </w:rPr>
            </w:pPr>
          </w:p>
          <w:p>
            <w:pPr>
              <w:pStyle w:val="TableParagraph"/>
              <w:rPr>
                <w:i/>
                <w:sz w:val="20"/>
              </w:rPr>
            </w:pPr>
          </w:p>
          <w:p>
            <w:pPr>
              <w:pStyle w:val="TableParagraph"/>
              <w:spacing w:before="2" w:after="1"/>
              <w:rPr>
                <w:i/>
                <w:sz w:val="11"/>
              </w:rPr>
            </w:pPr>
          </w:p>
          <w:p>
            <w:pPr>
              <w:pStyle w:val="TableParagraph"/>
              <w:ind w:left="90"/>
              <w:rPr>
                <w:sz w:val="20"/>
              </w:rPr>
            </w:pPr>
            <w:r>
              <w:rPr>
                <w:sz w:val="20"/>
              </w:rPr>
              <w:drawing>
                <wp:inline distT="0" distB="0" distL="0" distR="0">
                  <wp:extent cx="502920" cy="502920"/>
                  <wp:effectExtent l="0" t="0" r="0" b="0"/>
                  <wp:docPr id="65" name="image20.png"/>
                  <wp:cNvGraphicFramePr>
                    <a:graphicFrameLocks noChangeAspect="1"/>
                  </wp:cNvGraphicFramePr>
                  <a:graphic>
                    <a:graphicData uri="http://schemas.openxmlformats.org/drawingml/2006/picture">
                      <pic:pic>
                        <pic:nvPicPr>
                          <pic:cNvPr id="66" name="image20.png"/>
                          <pic:cNvPicPr/>
                        </pic:nvPicPr>
                        <pic:blipFill>
                          <a:blip r:embed="rId150" cstate="print"/>
                          <a:stretch>
                            <a:fillRect/>
                          </a:stretch>
                        </pic:blipFill>
                        <pic:spPr>
                          <a:xfrm>
                            <a:off x="0" y="0"/>
                            <a:ext cx="502920" cy="502920"/>
                          </a:xfrm>
                          <a:prstGeom prst="rect">
                            <a:avLst/>
                          </a:prstGeom>
                        </pic:spPr>
                      </pic:pic>
                    </a:graphicData>
                  </a:graphic>
                </wp:inline>
              </w:drawing>
            </w:r>
            <w:r>
              <w:rPr>
                <w:sz w:val="20"/>
              </w:rPr>
            </w:r>
          </w:p>
        </w:tc>
        <w:tc>
          <w:tcPr>
            <w:tcW w:w="4016" w:type="dxa"/>
            <w:shd w:val="clear" w:color="auto" w:fill="F7E4E6"/>
          </w:tcPr>
          <w:p>
            <w:pPr>
              <w:pStyle w:val="TableParagraph"/>
              <w:numPr>
                <w:ilvl w:val="0"/>
                <w:numId w:val="18"/>
              </w:numPr>
              <w:tabs>
                <w:tab w:pos="439" w:val="left" w:leader="none"/>
                <w:tab w:pos="440" w:val="left" w:leader="none"/>
              </w:tabs>
              <w:spacing w:line="247" w:lineRule="auto" w:before="14" w:after="0"/>
              <w:ind w:left="440" w:right="278" w:hanging="360"/>
              <w:jc w:val="left"/>
              <w:rPr>
                <w:sz w:val="11"/>
              </w:rPr>
            </w:pPr>
            <w:r>
              <w:rPr>
                <w:color w:val="231F20"/>
                <w:sz w:val="20"/>
              </w:rPr>
              <w:t>Viral</w:t>
            </w:r>
            <w:r>
              <w:rPr>
                <w:color w:val="231F20"/>
                <w:spacing w:val="-3"/>
                <w:sz w:val="20"/>
              </w:rPr>
              <w:t> </w:t>
            </w:r>
            <w:r>
              <w:rPr>
                <w:color w:val="231F20"/>
                <w:sz w:val="20"/>
              </w:rPr>
              <w:t>suppression,</w:t>
            </w:r>
            <w:r>
              <w:rPr>
                <w:color w:val="231F20"/>
                <w:spacing w:val="-2"/>
                <w:sz w:val="20"/>
              </w:rPr>
              <w:t> </w:t>
            </w:r>
            <w:r>
              <w:rPr>
                <w:color w:val="231F20"/>
                <w:sz w:val="20"/>
              </w:rPr>
              <w:t>sustained</w:t>
            </w:r>
            <w:r>
              <w:rPr>
                <w:color w:val="231F20"/>
                <w:spacing w:val="-2"/>
                <w:sz w:val="20"/>
              </w:rPr>
              <w:t> </w:t>
            </w:r>
            <w:r>
              <w:rPr>
                <w:color w:val="231F20"/>
                <w:sz w:val="20"/>
              </w:rPr>
              <w:t>up</w:t>
            </w:r>
            <w:r>
              <w:rPr>
                <w:color w:val="231F20"/>
                <w:spacing w:val="-3"/>
                <w:sz w:val="20"/>
              </w:rPr>
              <w:t> </w:t>
            </w:r>
            <w:r>
              <w:rPr>
                <w:color w:val="231F20"/>
                <w:sz w:val="20"/>
              </w:rPr>
              <w:t>to</w:t>
            </w:r>
            <w:r>
              <w:rPr>
                <w:color w:val="231F20"/>
                <w:spacing w:val="-2"/>
                <w:sz w:val="20"/>
              </w:rPr>
              <w:t> </w:t>
            </w:r>
            <w:r>
              <w:rPr>
                <w:color w:val="231F20"/>
                <w:sz w:val="20"/>
              </w:rPr>
              <w:t>12</w:t>
            </w:r>
            <w:r>
              <w:rPr>
                <w:color w:val="231F20"/>
                <w:spacing w:val="-53"/>
                <w:sz w:val="20"/>
              </w:rPr>
              <w:t> </w:t>
            </w:r>
            <w:r>
              <w:rPr>
                <w:color w:val="231F20"/>
                <w:sz w:val="20"/>
              </w:rPr>
              <w:t>months</w:t>
            </w:r>
            <w:r>
              <w:rPr>
                <w:color w:val="231F20"/>
                <w:position w:val="7"/>
                <w:sz w:val="11"/>
              </w:rPr>
              <w:t>78</w:t>
            </w:r>
          </w:p>
          <w:p>
            <w:pPr>
              <w:pStyle w:val="TableParagraph"/>
              <w:numPr>
                <w:ilvl w:val="0"/>
                <w:numId w:val="18"/>
              </w:numPr>
              <w:tabs>
                <w:tab w:pos="439" w:val="left" w:leader="none"/>
                <w:tab w:pos="440" w:val="left" w:leader="none"/>
              </w:tabs>
              <w:spacing w:line="249" w:lineRule="auto" w:before="0" w:after="0"/>
              <w:ind w:left="440" w:right="120" w:hanging="360"/>
              <w:jc w:val="left"/>
              <w:rPr>
                <w:sz w:val="11"/>
              </w:rPr>
            </w:pPr>
            <w:r>
              <w:rPr>
                <w:color w:val="231F20"/>
                <w:sz w:val="20"/>
              </w:rPr>
              <w:t>Linkage to HIV care, with the greatest</w:t>
            </w:r>
            <w:r>
              <w:rPr>
                <w:color w:val="231F20"/>
                <w:spacing w:val="1"/>
                <w:sz w:val="20"/>
              </w:rPr>
              <w:t> </w:t>
            </w:r>
            <w:r>
              <w:rPr>
                <w:color w:val="231F20"/>
                <w:sz w:val="20"/>
              </w:rPr>
              <w:t>probability</w:t>
            </w:r>
            <w:r>
              <w:rPr>
                <w:color w:val="231F20"/>
                <w:spacing w:val="-7"/>
                <w:sz w:val="20"/>
              </w:rPr>
              <w:t> </w:t>
            </w:r>
            <w:r>
              <w:rPr>
                <w:color w:val="231F20"/>
                <w:sz w:val="20"/>
              </w:rPr>
              <w:t>of</w:t>
            </w:r>
            <w:r>
              <w:rPr>
                <w:color w:val="231F20"/>
                <w:spacing w:val="-6"/>
                <w:sz w:val="20"/>
              </w:rPr>
              <w:t> </w:t>
            </w:r>
            <w:r>
              <w:rPr>
                <w:color w:val="231F20"/>
                <w:sz w:val="20"/>
              </w:rPr>
              <w:t>linkage</w:t>
            </w:r>
            <w:r>
              <w:rPr>
                <w:color w:val="231F20"/>
                <w:spacing w:val="-6"/>
                <w:sz w:val="20"/>
              </w:rPr>
              <w:t> </w:t>
            </w:r>
            <w:r>
              <w:rPr>
                <w:color w:val="231F20"/>
                <w:sz w:val="20"/>
              </w:rPr>
              <w:t>occurring</w:t>
            </w:r>
            <w:r>
              <w:rPr>
                <w:color w:val="231F20"/>
                <w:spacing w:val="-7"/>
                <w:sz w:val="20"/>
              </w:rPr>
              <w:t> </w:t>
            </w:r>
            <w:r>
              <w:rPr>
                <w:color w:val="231F20"/>
                <w:sz w:val="20"/>
              </w:rPr>
              <w:t>within</w:t>
            </w:r>
            <w:r>
              <w:rPr>
                <w:color w:val="231F20"/>
                <w:spacing w:val="-6"/>
                <w:sz w:val="20"/>
              </w:rPr>
              <w:t> </w:t>
            </w:r>
            <w:r>
              <w:rPr>
                <w:color w:val="231F20"/>
                <w:sz w:val="20"/>
              </w:rPr>
              <w:t>6</w:t>
            </w:r>
            <w:r>
              <w:rPr>
                <w:color w:val="231F20"/>
                <w:spacing w:val="-53"/>
                <w:sz w:val="20"/>
              </w:rPr>
              <w:t> </w:t>
            </w:r>
            <w:r>
              <w:rPr>
                <w:color w:val="231F20"/>
                <w:sz w:val="20"/>
              </w:rPr>
              <w:t>months</w:t>
            </w:r>
            <w:r>
              <w:rPr>
                <w:color w:val="231F20"/>
                <w:position w:val="7"/>
                <w:sz w:val="11"/>
              </w:rPr>
              <w:t>53,</w:t>
            </w:r>
            <w:r>
              <w:rPr>
                <w:color w:val="231F20"/>
                <w:spacing w:val="1"/>
                <w:position w:val="7"/>
                <w:sz w:val="11"/>
              </w:rPr>
              <w:t> </w:t>
            </w:r>
            <w:r>
              <w:rPr>
                <w:color w:val="231F20"/>
                <w:position w:val="7"/>
                <w:sz w:val="11"/>
              </w:rPr>
              <w:t>78</w:t>
            </w:r>
          </w:p>
          <w:p>
            <w:pPr>
              <w:pStyle w:val="TableParagraph"/>
              <w:numPr>
                <w:ilvl w:val="0"/>
                <w:numId w:val="18"/>
              </w:numPr>
              <w:tabs>
                <w:tab w:pos="439" w:val="left" w:leader="none"/>
                <w:tab w:pos="441" w:val="left" w:leader="none"/>
              </w:tabs>
              <w:spacing w:line="232" w:lineRule="exact" w:before="0" w:after="0"/>
              <w:ind w:left="440" w:right="0" w:hanging="361"/>
              <w:jc w:val="left"/>
              <w:rPr>
                <w:sz w:val="20"/>
              </w:rPr>
            </w:pPr>
            <w:r>
              <w:rPr>
                <w:color w:val="231F20"/>
                <w:sz w:val="20"/>
              </w:rPr>
              <w:t>Retention</w:t>
            </w:r>
            <w:r>
              <w:rPr>
                <w:color w:val="231F20"/>
                <w:spacing w:val="-3"/>
                <w:sz w:val="20"/>
              </w:rPr>
              <w:t> </w:t>
            </w:r>
            <w:r>
              <w:rPr>
                <w:color w:val="231F20"/>
                <w:sz w:val="20"/>
              </w:rPr>
              <w:t>in</w:t>
            </w:r>
            <w:r>
              <w:rPr>
                <w:color w:val="231F20"/>
                <w:spacing w:val="-3"/>
                <w:sz w:val="20"/>
              </w:rPr>
              <w:t> </w:t>
            </w:r>
            <w:r>
              <w:rPr>
                <w:color w:val="231F20"/>
                <w:sz w:val="20"/>
              </w:rPr>
              <w:t>HIV</w:t>
            </w:r>
            <w:r>
              <w:rPr>
                <w:color w:val="231F20"/>
                <w:spacing w:val="-2"/>
                <w:sz w:val="20"/>
              </w:rPr>
              <w:t> </w:t>
            </w:r>
            <w:r>
              <w:rPr>
                <w:color w:val="231F20"/>
                <w:sz w:val="20"/>
              </w:rPr>
              <w:t>care,</w:t>
            </w:r>
            <w:r>
              <w:rPr>
                <w:color w:val="231F20"/>
                <w:spacing w:val="-2"/>
                <w:sz w:val="20"/>
              </w:rPr>
              <w:t> </w:t>
            </w:r>
            <w:r>
              <w:rPr>
                <w:color w:val="231F20"/>
                <w:sz w:val="20"/>
              </w:rPr>
              <w:t>sustained</w:t>
            </w:r>
            <w:r>
              <w:rPr>
                <w:color w:val="231F20"/>
                <w:spacing w:val="-2"/>
                <w:sz w:val="20"/>
              </w:rPr>
              <w:t> </w:t>
            </w:r>
            <w:r>
              <w:rPr>
                <w:color w:val="231F20"/>
                <w:sz w:val="20"/>
              </w:rPr>
              <w:t>up</w:t>
            </w:r>
            <w:r>
              <w:rPr>
                <w:color w:val="231F20"/>
                <w:spacing w:val="-2"/>
                <w:sz w:val="20"/>
              </w:rPr>
              <w:t> </w:t>
            </w:r>
            <w:r>
              <w:rPr>
                <w:color w:val="231F20"/>
                <w:sz w:val="20"/>
              </w:rPr>
              <w:t>to</w:t>
            </w:r>
          </w:p>
          <w:p>
            <w:pPr>
              <w:pStyle w:val="TableParagraph"/>
              <w:spacing w:line="228" w:lineRule="exact"/>
              <w:ind w:left="440"/>
              <w:rPr>
                <w:sz w:val="11"/>
              </w:rPr>
            </w:pPr>
            <w:r>
              <w:rPr>
                <w:color w:val="231F20"/>
                <w:sz w:val="20"/>
              </w:rPr>
              <w:t>12 months</w:t>
            </w:r>
            <w:r>
              <w:rPr>
                <w:color w:val="231F20"/>
                <w:position w:val="7"/>
                <w:sz w:val="11"/>
              </w:rPr>
              <w:t>78</w:t>
            </w:r>
          </w:p>
          <w:p>
            <w:pPr>
              <w:pStyle w:val="TableParagraph"/>
              <w:numPr>
                <w:ilvl w:val="0"/>
                <w:numId w:val="18"/>
              </w:numPr>
              <w:tabs>
                <w:tab w:pos="439" w:val="left" w:leader="none"/>
                <w:tab w:pos="440" w:val="left" w:leader="none"/>
              </w:tabs>
              <w:spacing w:line="247" w:lineRule="auto" w:before="0" w:after="0"/>
              <w:ind w:left="439" w:right="748" w:hanging="360"/>
              <w:jc w:val="left"/>
              <w:rPr>
                <w:sz w:val="11"/>
              </w:rPr>
            </w:pPr>
            <w:r>
              <w:rPr>
                <w:color w:val="231F20"/>
                <w:spacing w:val="-1"/>
                <w:sz w:val="20"/>
              </w:rPr>
              <w:t>Adherence</w:t>
            </w:r>
            <w:r>
              <w:rPr>
                <w:color w:val="231F20"/>
                <w:spacing w:val="-4"/>
                <w:sz w:val="20"/>
              </w:rPr>
              <w:t> </w:t>
            </w:r>
            <w:r>
              <w:rPr>
                <w:color w:val="231F20"/>
                <w:sz w:val="20"/>
              </w:rPr>
              <w:t>to</w:t>
            </w:r>
            <w:r>
              <w:rPr>
                <w:color w:val="231F20"/>
                <w:spacing w:val="-14"/>
                <w:sz w:val="20"/>
              </w:rPr>
              <w:t> </w:t>
            </w:r>
            <w:r>
              <w:rPr>
                <w:color w:val="231F20"/>
                <w:sz w:val="20"/>
              </w:rPr>
              <w:t>ART</w:t>
            </w:r>
            <w:r>
              <w:rPr>
                <w:color w:val="231F20"/>
                <w:spacing w:val="-7"/>
                <w:sz w:val="20"/>
              </w:rPr>
              <w:t> </w:t>
            </w:r>
            <w:r>
              <w:rPr>
                <w:color w:val="231F20"/>
                <w:sz w:val="20"/>
              </w:rPr>
              <w:t>medications,</w:t>
            </w:r>
            <w:r>
              <w:rPr>
                <w:color w:val="231F20"/>
                <w:spacing w:val="-52"/>
                <w:sz w:val="20"/>
              </w:rPr>
              <w:t> </w:t>
            </w:r>
            <w:r>
              <w:rPr>
                <w:color w:val="231F20"/>
                <w:sz w:val="20"/>
              </w:rPr>
              <w:t>sustained up</w:t>
            </w:r>
            <w:r>
              <w:rPr>
                <w:color w:val="231F20"/>
                <w:spacing w:val="-1"/>
                <w:sz w:val="20"/>
              </w:rPr>
              <w:t> </w:t>
            </w:r>
            <w:r>
              <w:rPr>
                <w:color w:val="231F20"/>
                <w:sz w:val="20"/>
              </w:rPr>
              <w:t>to 12 months</w:t>
            </w:r>
            <w:r>
              <w:rPr>
                <w:color w:val="231F20"/>
                <w:position w:val="7"/>
                <w:sz w:val="11"/>
              </w:rPr>
              <w:t>53</w:t>
            </w:r>
          </w:p>
        </w:tc>
      </w:tr>
    </w:tbl>
    <w:p>
      <w:pPr>
        <w:spacing w:before="163"/>
        <w:ind w:left="160" w:right="0" w:firstLine="0"/>
        <w:jc w:val="left"/>
        <w:rPr>
          <w:rFonts w:ascii="Arial"/>
          <w:i/>
          <w:sz w:val="24"/>
        </w:rPr>
      </w:pPr>
      <w:r>
        <w:rPr>
          <w:rFonts w:ascii="Arial"/>
          <w:i/>
          <w:color w:val="1C384B"/>
          <w:sz w:val="24"/>
        </w:rPr>
        <w:t>Typical</w:t>
      </w:r>
      <w:r>
        <w:rPr>
          <w:rFonts w:ascii="Arial"/>
          <w:i/>
          <w:color w:val="1C384B"/>
          <w:spacing w:val="-9"/>
          <w:sz w:val="24"/>
        </w:rPr>
        <w:t> </w:t>
      </w:r>
      <w:r>
        <w:rPr>
          <w:rFonts w:ascii="Arial"/>
          <w:i/>
          <w:color w:val="1C384B"/>
          <w:sz w:val="24"/>
        </w:rPr>
        <w:t>Settings</w:t>
      </w:r>
    </w:p>
    <w:p>
      <w:pPr>
        <w:pStyle w:val="BodyText"/>
        <w:spacing w:line="266" w:lineRule="auto" w:before="184"/>
        <w:ind w:left="160" w:right="82"/>
      </w:pPr>
      <w:r>
        <w:rPr>
          <w:color w:val="231F20"/>
        </w:rPr>
        <w:t>Practitioners can provide patient navigation services in a</w:t>
      </w:r>
      <w:r>
        <w:rPr>
          <w:color w:val="231F20"/>
          <w:spacing w:val="-53"/>
        </w:rPr>
        <w:t> </w:t>
      </w:r>
      <w:r>
        <w:rPr>
          <w:color w:val="231F20"/>
        </w:rPr>
        <w:t>wide</w:t>
      </w:r>
      <w:r>
        <w:rPr>
          <w:color w:val="231F20"/>
          <w:spacing w:val="-2"/>
        </w:rPr>
        <w:t> </w:t>
      </w:r>
      <w:r>
        <w:rPr>
          <w:color w:val="231F20"/>
        </w:rPr>
        <w:t>range of</w:t>
      </w:r>
      <w:r>
        <w:rPr>
          <w:color w:val="231F20"/>
          <w:spacing w:val="-1"/>
        </w:rPr>
        <w:t> </w:t>
      </w:r>
      <w:r>
        <w:rPr>
          <w:color w:val="231F20"/>
        </w:rPr>
        <w:t>treatment settings</w:t>
      </w:r>
      <w:r>
        <w:rPr>
          <w:color w:val="231F20"/>
          <w:spacing w:val="-1"/>
        </w:rPr>
        <w:t> </w:t>
      </w:r>
      <w:r>
        <w:rPr>
          <w:color w:val="231F20"/>
        </w:rPr>
        <w:t>including:</w:t>
      </w:r>
    </w:p>
    <w:p>
      <w:pPr>
        <w:pStyle w:val="ListParagraph"/>
        <w:numPr>
          <w:ilvl w:val="0"/>
          <w:numId w:val="4"/>
        </w:numPr>
        <w:tabs>
          <w:tab w:pos="879" w:val="left" w:leader="none"/>
          <w:tab w:pos="880" w:val="left" w:leader="none"/>
        </w:tabs>
        <w:spacing w:line="267" w:lineRule="exact" w:before="147" w:after="0"/>
        <w:ind w:left="879" w:right="0" w:hanging="361"/>
        <w:jc w:val="left"/>
        <w:rPr>
          <w:rFonts w:ascii="Symbol" w:hAnsi="Symbol"/>
          <w:color w:val="010202"/>
          <w:sz w:val="22"/>
        </w:rPr>
      </w:pPr>
      <w:r>
        <w:rPr>
          <w:color w:val="010202"/>
          <w:sz w:val="22"/>
        </w:rPr>
        <w:t>Correctional</w:t>
      </w:r>
      <w:r>
        <w:rPr>
          <w:color w:val="010202"/>
          <w:spacing w:val="-5"/>
          <w:sz w:val="22"/>
        </w:rPr>
        <w:t> </w:t>
      </w:r>
      <w:r>
        <w:rPr>
          <w:color w:val="010202"/>
          <w:sz w:val="22"/>
        </w:rPr>
        <w:t>and</w:t>
      </w:r>
      <w:r>
        <w:rPr>
          <w:color w:val="010202"/>
          <w:spacing w:val="-4"/>
          <w:sz w:val="22"/>
        </w:rPr>
        <w:t> </w:t>
      </w:r>
      <w:r>
        <w:rPr>
          <w:color w:val="010202"/>
          <w:sz w:val="22"/>
        </w:rPr>
        <w:t>criminal</w:t>
      </w:r>
      <w:r>
        <w:rPr>
          <w:color w:val="010202"/>
          <w:spacing w:val="-4"/>
          <w:sz w:val="22"/>
        </w:rPr>
        <w:t> </w:t>
      </w:r>
      <w:r>
        <w:rPr>
          <w:color w:val="010202"/>
          <w:sz w:val="22"/>
        </w:rPr>
        <w:t>justice</w:t>
      </w:r>
      <w:r>
        <w:rPr>
          <w:color w:val="010202"/>
          <w:spacing w:val="-4"/>
          <w:sz w:val="22"/>
        </w:rPr>
        <w:t> </w:t>
      </w:r>
      <w:r>
        <w:rPr>
          <w:color w:val="010202"/>
          <w:sz w:val="22"/>
        </w:rPr>
        <w:t>settings</w:t>
      </w:r>
      <w:r>
        <w:rPr>
          <w:color w:val="010202"/>
          <w:sz w:val="22"/>
          <w:vertAlign w:val="superscript"/>
        </w:rPr>
        <w:t>78</w:t>
      </w:r>
    </w:p>
    <w:p>
      <w:pPr>
        <w:pStyle w:val="ListParagraph"/>
        <w:numPr>
          <w:ilvl w:val="0"/>
          <w:numId w:val="4"/>
        </w:numPr>
        <w:tabs>
          <w:tab w:pos="879" w:val="left" w:leader="none"/>
          <w:tab w:pos="880" w:val="left" w:leader="none"/>
        </w:tabs>
        <w:spacing w:line="264" w:lineRule="exact" w:before="0" w:after="0"/>
        <w:ind w:left="879" w:right="0" w:hanging="360"/>
        <w:jc w:val="left"/>
        <w:rPr>
          <w:rFonts w:ascii="Symbol" w:hAnsi="Symbol"/>
          <w:color w:val="010202"/>
          <w:sz w:val="22"/>
        </w:rPr>
      </w:pPr>
      <w:r>
        <w:rPr>
          <w:color w:val="010202"/>
          <w:sz w:val="22"/>
        </w:rPr>
        <w:t>Mental</w:t>
      </w:r>
      <w:r>
        <w:rPr>
          <w:color w:val="010202"/>
          <w:spacing w:val="-5"/>
          <w:sz w:val="22"/>
        </w:rPr>
        <w:t> </w:t>
      </w:r>
      <w:r>
        <w:rPr>
          <w:color w:val="010202"/>
          <w:sz w:val="22"/>
        </w:rPr>
        <w:t>illness</w:t>
      </w:r>
      <w:r>
        <w:rPr>
          <w:color w:val="010202"/>
          <w:spacing w:val="-3"/>
          <w:sz w:val="22"/>
        </w:rPr>
        <w:t> </w:t>
      </w:r>
      <w:r>
        <w:rPr>
          <w:color w:val="010202"/>
          <w:sz w:val="22"/>
        </w:rPr>
        <w:t>and/or</w:t>
      </w:r>
      <w:r>
        <w:rPr>
          <w:color w:val="010202"/>
          <w:spacing w:val="-4"/>
          <w:sz w:val="22"/>
        </w:rPr>
        <w:t> </w:t>
      </w:r>
      <w:r>
        <w:rPr>
          <w:color w:val="010202"/>
          <w:sz w:val="22"/>
        </w:rPr>
        <w:t>SUD</w:t>
      </w:r>
      <w:r>
        <w:rPr>
          <w:color w:val="010202"/>
          <w:spacing w:val="-4"/>
          <w:sz w:val="22"/>
        </w:rPr>
        <w:t> </w:t>
      </w:r>
      <w:r>
        <w:rPr>
          <w:color w:val="010202"/>
          <w:sz w:val="22"/>
        </w:rPr>
        <w:t>treatment</w:t>
      </w:r>
      <w:r>
        <w:rPr>
          <w:color w:val="010202"/>
          <w:spacing w:val="-3"/>
          <w:sz w:val="22"/>
        </w:rPr>
        <w:t> </w:t>
      </w:r>
      <w:r>
        <w:rPr>
          <w:color w:val="010202"/>
          <w:sz w:val="22"/>
        </w:rPr>
        <w:t>programs</w:t>
      </w:r>
      <w:r>
        <w:rPr>
          <w:color w:val="010202"/>
          <w:sz w:val="22"/>
          <w:vertAlign w:val="superscript"/>
        </w:rPr>
        <w:t>79</w:t>
      </w:r>
    </w:p>
    <w:p>
      <w:pPr>
        <w:pStyle w:val="ListParagraph"/>
        <w:numPr>
          <w:ilvl w:val="0"/>
          <w:numId w:val="4"/>
        </w:numPr>
        <w:tabs>
          <w:tab w:pos="879" w:val="left" w:leader="none"/>
          <w:tab w:pos="880" w:val="left" w:leader="none"/>
        </w:tabs>
        <w:spacing w:line="264" w:lineRule="exact" w:before="0" w:after="0"/>
        <w:ind w:left="879" w:right="0" w:hanging="360"/>
        <w:jc w:val="left"/>
        <w:rPr>
          <w:rFonts w:ascii="Symbol" w:hAnsi="Symbol"/>
          <w:color w:val="010202"/>
          <w:sz w:val="22"/>
        </w:rPr>
      </w:pPr>
      <w:r>
        <w:rPr>
          <w:color w:val="010202"/>
          <w:sz w:val="22"/>
        </w:rPr>
        <w:t>Primary</w:t>
      </w:r>
      <w:r>
        <w:rPr>
          <w:color w:val="010202"/>
          <w:spacing w:val="-10"/>
          <w:sz w:val="22"/>
        </w:rPr>
        <w:t> </w:t>
      </w:r>
      <w:r>
        <w:rPr>
          <w:color w:val="010202"/>
          <w:sz w:val="22"/>
        </w:rPr>
        <w:t>health</w:t>
      </w:r>
      <w:r>
        <w:rPr>
          <w:color w:val="010202"/>
          <w:spacing w:val="-9"/>
          <w:sz w:val="22"/>
        </w:rPr>
        <w:t> </w:t>
      </w:r>
      <w:r>
        <w:rPr>
          <w:color w:val="010202"/>
          <w:sz w:val="22"/>
        </w:rPr>
        <w:t>and</w:t>
      </w:r>
      <w:r>
        <w:rPr>
          <w:color w:val="010202"/>
          <w:spacing w:val="-8"/>
          <w:sz w:val="22"/>
        </w:rPr>
        <w:t> </w:t>
      </w:r>
      <w:r>
        <w:rPr>
          <w:color w:val="010202"/>
          <w:sz w:val="22"/>
        </w:rPr>
        <w:t>HIV-specific</w:t>
      </w:r>
      <w:r>
        <w:rPr>
          <w:color w:val="010202"/>
          <w:spacing w:val="-9"/>
          <w:sz w:val="22"/>
        </w:rPr>
        <w:t> </w:t>
      </w:r>
      <w:r>
        <w:rPr>
          <w:color w:val="010202"/>
          <w:sz w:val="22"/>
        </w:rPr>
        <w:t>care</w:t>
      </w:r>
      <w:r>
        <w:rPr>
          <w:color w:val="010202"/>
          <w:spacing w:val="-8"/>
          <w:sz w:val="22"/>
        </w:rPr>
        <w:t> </w:t>
      </w:r>
      <w:r>
        <w:rPr>
          <w:color w:val="010202"/>
          <w:sz w:val="22"/>
        </w:rPr>
        <w:t>clinics</w:t>
      </w:r>
      <w:r>
        <w:rPr>
          <w:color w:val="010202"/>
          <w:sz w:val="22"/>
          <w:vertAlign w:val="superscript"/>
        </w:rPr>
        <w:t>53</w:t>
      </w:r>
    </w:p>
    <w:p>
      <w:pPr>
        <w:pStyle w:val="ListParagraph"/>
        <w:numPr>
          <w:ilvl w:val="0"/>
          <w:numId w:val="4"/>
        </w:numPr>
        <w:tabs>
          <w:tab w:pos="879" w:val="left" w:leader="none"/>
          <w:tab w:pos="880" w:val="left" w:leader="none"/>
        </w:tabs>
        <w:spacing w:line="267" w:lineRule="exact" w:before="0" w:after="0"/>
        <w:ind w:left="879" w:right="0" w:hanging="360"/>
        <w:jc w:val="left"/>
        <w:rPr>
          <w:rFonts w:ascii="Symbol" w:hAnsi="Symbol"/>
          <w:color w:val="010202"/>
          <w:sz w:val="22"/>
        </w:rPr>
      </w:pPr>
      <w:r>
        <w:rPr>
          <w:color w:val="010202"/>
          <w:sz w:val="22"/>
        </w:rPr>
        <w:t>Hospitals</w:t>
      </w:r>
      <w:r>
        <w:rPr>
          <w:color w:val="010202"/>
          <w:sz w:val="22"/>
          <w:vertAlign w:val="superscript"/>
        </w:rPr>
        <w:t>53</w:t>
      </w:r>
    </w:p>
    <w:p>
      <w:pPr>
        <w:spacing w:line="240" w:lineRule="auto" w:before="0"/>
        <w:rPr>
          <w:sz w:val="26"/>
        </w:rPr>
      </w:pPr>
      <w:r>
        <w:rPr/>
        <w:br w:type="column"/>
      </w:r>
      <w:r>
        <w:rPr>
          <w:sz w:val="26"/>
        </w:rPr>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38"/>
        </w:rPr>
      </w:pPr>
    </w:p>
    <w:p>
      <w:pPr>
        <w:pStyle w:val="Heading5"/>
        <w:rPr>
          <w:i/>
        </w:rPr>
      </w:pPr>
      <w:r>
        <w:rPr>
          <w:i/>
          <w:color w:val="1C384B"/>
        </w:rPr>
        <w:t>Demographic</w:t>
      </w:r>
      <w:r>
        <w:rPr>
          <w:i/>
          <w:color w:val="1C384B"/>
          <w:spacing w:val="-6"/>
        </w:rPr>
        <w:t> </w:t>
      </w:r>
      <w:r>
        <w:rPr>
          <w:i/>
          <w:color w:val="1C384B"/>
        </w:rPr>
        <w:t>Groups</w:t>
      </w:r>
    </w:p>
    <w:p>
      <w:pPr>
        <w:pStyle w:val="BodyText"/>
        <w:spacing w:line="266" w:lineRule="auto" w:before="184"/>
        <w:ind w:left="160" w:right="710"/>
      </w:pPr>
      <w:r>
        <w:rPr>
          <w:color w:val="231F20"/>
          <w:spacing w:val="-5"/>
        </w:rPr>
        <w:t>Patient</w:t>
      </w:r>
      <w:r>
        <w:rPr>
          <w:color w:val="231F20"/>
          <w:spacing w:val="-11"/>
        </w:rPr>
        <w:t> </w:t>
      </w:r>
      <w:r>
        <w:rPr>
          <w:color w:val="231F20"/>
          <w:spacing w:val="-4"/>
        </w:rPr>
        <w:t>navigation</w:t>
      </w:r>
      <w:r>
        <w:rPr>
          <w:color w:val="231F20"/>
          <w:spacing w:val="-11"/>
        </w:rPr>
        <w:t> </w:t>
      </w:r>
      <w:r>
        <w:rPr>
          <w:color w:val="231F20"/>
          <w:spacing w:val="-4"/>
        </w:rPr>
        <w:t>can</w:t>
      </w:r>
      <w:r>
        <w:rPr>
          <w:color w:val="231F20"/>
          <w:spacing w:val="-11"/>
        </w:rPr>
        <w:t> </w:t>
      </w:r>
      <w:r>
        <w:rPr>
          <w:color w:val="231F20"/>
          <w:spacing w:val="-4"/>
        </w:rPr>
        <w:t>be</w:t>
      </w:r>
      <w:r>
        <w:rPr>
          <w:color w:val="231F20"/>
          <w:spacing w:val="-11"/>
        </w:rPr>
        <w:t> </w:t>
      </w:r>
      <w:r>
        <w:rPr>
          <w:color w:val="231F20"/>
          <w:spacing w:val="-4"/>
        </w:rPr>
        <w:t>used</w:t>
      </w:r>
      <w:r>
        <w:rPr>
          <w:color w:val="231F20"/>
          <w:spacing w:val="-11"/>
        </w:rPr>
        <w:t> </w:t>
      </w:r>
      <w:r>
        <w:rPr>
          <w:color w:val="231F20"/>
          <w:spacing w:val="-4"/>
        </w:rPr>
        <w:t>with</w:t>
      </w:r>
      <w:r>
        <w:rPr>
          <w:color w:val="231F20"/>
          <w:spacing w:val="-11"/>
        </w:rPr>
        <w:t> </w:t>
      </w:r>
      <w:r>
        <w:rPr>
          <w:color w:val="231F20"/>
          <w:spacing w:val="-4"/>
        </w:rPr>
        <w:t>a</w:t>
      </w:r>
      <w:r>
        <w:rPr>
          <w:color w:val="231F20"/>
          <w:spacing w:val="-11"/>
        </w:rPr>
        <w:t> </w:t>
      </w:r>
      <w:r>
        <w:rPr>
          <w:color w:val="231F20"/>
          <w:spacing w:val="-4"/>
        </w:rPr>
        <w:t>variety</w:t>
      </w:r>
      <w:r>
        <w:rPr>
          <w:color w:val="231F20"/>
          <w:spacing w:val="-11"/>
        </w:rPr>
        <w:t> </w:t>
      </w:r>
      <w:r>
        <w:rPr>
          <w:color w:val="231F20"/>
          <w:spacing w:val="-4"/>
        </w:rPr>
        <w:t>of</w:t>
      </w:r>
      <w:r>
        <w:rPr>
          <w:color w:val="231F20"/>
          <w:spacing w:val="-11"/>
        </w:rPr>
        <w:t> </w:t>
      </w:r>
      <w:r>
        <w:rPr>
          <w:color w:val="231F20"/>
          <w:spacing w:val="-4"/>
        </w:rPr>
        <w:t>populations,</w:t>
      </w:r>
      <w:r>
        <w:rPr>
          <w:color w:val="231F20"/>
          <w:spacing w:val="-52"/>
        </w:rPr>
        <w:t> </w:t>
      </w:r>
      <w:r>
        <w:rPr>
          <w:color w:val="231F20"/>
          <w:spacing w:val="-4"/>
        </w:rPr>
        <w:t>but is often targeted for those at highest likelihood </w:t>
      </w:r>
      <w:r>
        <w:rPr>
          <w:color w:val="231F20"/>
          <w:spacing w:val="-3"/>
        </w:rPr>
        <w:t>of not</w:t>
      </w:r>
      <w:r>
        <w:rPr>
          <w:color w:val="231F20"/>
          <w:spacing w:val="-2"/>
        </w:rPr>
        <w:t> </w:t>
      </w:r>
      <w:r>
        <w:rPr>
          <w:color w:val="231F20"/>
          <w:spacing w:val="-1"/>
          <w:w w:val="95"/>
        </w:rPr>
        <w:t>linking</w:t>
      </w:r>
      <w:r>
        <w:rPr>
          <w:color w:val="231F20"/>
          <w:spacing w:val="-7"/>
          <w:w w:val="95"/>
        </w:rPr>
        <w:t> </w:t>
      </w:r>
      <w:r>
        <w:rPr>
          <w:color w:val="231F20"/>
          <w:w w:val="95"/>
        </w:rPr>
        <w:t>to</w:t>
      </w:r>
      <w:r>
        <w:rPr>
          <w:color w:val="231F20"/>
          <w:spacing w:val="-6"/>
          <w:w w:val="95"/>
        </w:rPr>
        <w:t> </w:t>
      </w:r>
      <w:r>
        <w:rPr>
          <w:color w:val="231F20"/>
          <w:w w:val="95"/>
        </w:rPr>
        <w:t>or</w:t>
      </w:r>
      <w:r>
        <w:rPr>
          <w:color w:val="231F20"/>
          <w:spacing w:val="-6"/>
          <w:w w:val="95"/>
        </w:rPr>
        <w:t> </w:t>
      </w:r>
      <w:r>
        <w:rPr>
          <w:color w:val="231F20"/>
          <w:w w:val="95"/>
        </w:rPr>
        <w:t>continuing</w:t>
      </w:r>
      <w:r>
        <w:rPr>
          <w:color w:val="231F20"/>
          <w:spacing w:val="-6"/>
          <w:w w:val="95"/>
        </w:rPr>
        <w:t> </w:t>
      </w:r>
      <w:r>
        <w:rPr>
          <w:color w:val="231F20"/>
          <w:w w:val="95"/>
        </w:rPr>
        <w:t>in</w:t>
      </w:r>
      <w:r>
        <w:rPr>
          <w:color w:val="231F20"/>
          <w:spacing w:val="-6"/>
          <w:w w:val="95"/>
        </w:rPr>
        <w:t> </w:t>
      </w:r>
      <w:r>
        <w:rPr>
          <w:color w:val="231F20"/>
          <w:w w:val="95"/>
        </w:rPr>
        <w:t>care</w:t>
      </w:r>
      <w:r>
        <w:rPr>
          <w:color w:val="231F20"/>
          <w:w w:val="95"/>
          <w:vertAlign w:val="superscript"/>
        </w:rPr>
        <w:t>80</w:t>
      </w:r>
      <w:r>
        <w:rPr>
          <w:color w:val="231F20"/>
          <w:spacing w:val="-26"/>
          <w:w w:val="95"/>
          <w:vertAlign w:val="baseline"/>
        </w:rPr>
        <w:t> </w:t>
      </w:r>
      <w:r>
        <w:rPr>
          <w:color w:val="231F20"/>
          <w:w w:val="95"/>
          <w:vertAlign w:val="baseline"/>
        </w:rPr>
        <w:t>including:</w:t>
      </w:r>
    </w:p>
    <w:p>
      <w:pPr>
        <w:pStyle w:val="ListParagraph"/>
        <w:numPr>
          <w:ilvl w:val="0"/>
          <w:numId w:val="4"/>
        </w:numPr>
        <w:tabs>
          <w:tab w:pos="879" w:val="left" w:leader="none"/>
          <w:tab w:pos="881" w:val="left" w:leader="none"/>
        </w:tabs>
        <w:spacing w:line="249" w:lineRule="auto" w:before="145" w:after="0"/>
        <w:ind w:left="880" w:right="1128" w:hanging="360"/>
        <w:jc w:val="left"/>
        <w:rPr>
          <w:rFonts w:ascii="Symbol" w:hAnsi="Symbol"/>
          <w:color w:val="010202"/>
          <w:sz w:val="22"/>
        </w:rPr>
      </w:pPr>
      <w:r>
        <w:rPr>
          <w:color w:val="010202"/>
          <w:sz w:val="22"/>
        </w:rPr>
        <w:t>People with HIV, aged 18 or older, who</w:t>
      </w:r>
      <w:r>
        <w:rPr>
          <w:color w:val="010202"/>
          <w:spacing w:val="1"/>
          <w:sz w:val="22"/>
        </w:rPr>
        <w:t> </w:t>
      </w:r>
      <w:r>
        <w:rPr>
          <w:color w:val="010202"/>
          <w:sz w:val="22"/>
        </w:rPr>
        <w:t>report recent use of substances (i.e., opioids,</w:t>
      </w:r>
      <w:r>
        <w:rPr>
          <w:color w:val="010202"/>
          <w:spacing w:val="-53"/>
          <w:sz w:val="22"/>
        </w:rPr>
        <w:t> </w:t>
      </w:r>
      <w:r>
        <w:rPr>
          <w:color w:val="010202"/>
          <w:sz w:val="22"/>
        </w:rPr>
        <w:t>stimulants,</w:t>
      </w:r>
      <w:r>
        <w:rPr>
          <w:color w:val="010202"/>
          <w:spacing w:val="-2"/>
          <w:sz w:val="22"/>
        </w:rPr>
        <w:t> </w:t>
      </w:r>
      <w:r>
        <w:rPr>
          <w:color w:val="010202"/>
          <w:sz w:val="22"/>
        </w:rPr>
        <w:t>alcohol)</w:t>
      </w:r>
      <w:r>
        <w:rPr>
          <w:color w:val="010202"/>
          <w:sz w:val="22"/>
          <w:vertAlign w:val="superscript"/>
        </w:rPr>
        <w:t>53</w:t>
      </w:r>
    </w:p>
    <w:p>
      <w:pPr>
        <w:pStyle w:val="ListParagraph"/>
        <w:numPr>
          <w:ilvl w:val="0"/>
          <w:numId w:val="4"/>
        </w:numPr>
        <w:tabs>
          <w:tab w:pos="879" w:val="left" w:leader="none"/>
          <w:tab w:pos="880" w:val="left" w:leader="none"/>
        </w:tabs>
        <w:spacing w:line="255" w:lineRule="exact" w:before="0" w:after="0"/>
        <w:ind w:left="879" w:right="0" w:hanging="360"/>
        <w:jc w:val="left"/>
        <w:rPr>
          <w:rFonts w:ascii="Symbol" w:hAnsi="Symbol"/>
          <w:color w:val="010202"/>
          <w:sz w:val="22"/>
        </w:rPr>
      </w:pPr>
      <w:r>
        <w:rPr>
          <w:color w:val="010202"/>
          <w:sz w:val="22"/>
        </w:rPr>
        <w:t>People</w:t>
      </w:r>
      <w:r>
        <w:rPr>
          <w:color w:val="010202"/>
          <w:spacing w:val="-5"/>
          <w:sz w:val="22"/>
        </w:rPr>
        <w:t> </w:t>
      </w:r>
      <w:r>
        <w:rPr>
          <w:color w:val="010202"/>
          <w:sz w:val="22"/>
        </w:rPr>
        <w:t>with</w:t>
      </w:r>
      <w:r>
        <w:rPr>
          <w:color w:val="010202"/>
          <w:spacing w:val="-4"/>
          <w:sz w:val="22"/>
        </w:rPr>
        <w:t> </w:t>
      </w:r>
      <w:r>
        <w:rPr>
          <w:color w:val="010202"/>
          <w:sz w:val="22"/>
        </w:rPr>
        <w:t>HIV</w:t>
      </w:r>
      <w:r>
        <w:rPr>
          <w:color w:val="010202"/>
          <w:spacing w:val="-8"/>
          <w:sz w:val="22"/>
        </w:rPr>
        <w:t> </w:t>
      </w:r>
      <w:r>
        <w:rPr>
          <w:color w:val="010202"/>
          <w:sz w:val="22"/>
        </w:rPr>
        <w:t>(specifically</w:t>
      </w:r>
      <w:r>
        <w:rPr>
          <w:color w:val="010202"/>
          <w:spacing w:val="-3"/>
          <w:sz w:val="22"/>
        </w:rPr>
        <w:t> </w:t>
      </w:r>
      <w:r>
        <w:rPr>
          <w:color w:val="010202"/>
          <w:sz w:val="22"/>
        </w:rPr>
        <w:t>men</w:t>
      </w:r>
      <w:r>
        <w:rPr>
          <w:color w:val="010202"/>
          <w:spacing w:val="-4"/>
          <w:sz w:val="22"/>
        </w:rPr>
        <w:t> </w:t>
      </w:r>
      <w:r>
        <w:rPr>
          <w:color w:val="010202"/>
          <w:sz w:val="22"/>
        </w:rPr>
        <w:t>and</w:t>
      </w:r>
    </w:p>
    <w:p>
      <w:pPr>
        <w:pStyle w:val="BodyText"/>
        <w:spacing w:before="11"/>
        <w:ind w:left="879"/>
      </w:pPr>
      <w:r>
        <w:rPr>
          <w:color w:val="010202"/>
        </w:rPr>
        <w:t>transgender</w:t>
      </w:r>
      <w:r>
        <w:rPr>
          <w:color w:val="010202"/>
          <w:spacing w:val="-1"/>
        </w:rPr>
        <w:t> </w:t>
      </w:r>
      <w:r>
        <w:rPr>
          <w:color w:val="010202"/>
        </w:rPr>
        <w:t>women)</w:t>
      </w:r>
      <w:r>
        <w:rPr>
          <w:color w:val="010202"/>
          <w:spacing w:val="-2"/>
        </w:rPr>
        <w:t> </w:t>
      </w:r>
      <w:r>
        <w:rPr>
          <w:color w:val="010202"/>
        </w:rPr>
        <w:t>transitioning</w:t>
      </w:r>
      <w:r>
        <w:rPr>
          <w:color w:val="010202"/>
          <w:spacing w:val="-1"/>
        </w:rPr>
        <w:t> </w:t>
      </w:r>
      <w:r>
        <w:rPr>
          <w:color w:val="010202"/>
        </w:rPr>
        <w:t>from</w:t>
      </w:r>
      <w:r>
        <w:rPr>
          <w:color w:val="010202"/>
          <w:spacing w:val="-1"/>
        </w:rPr>
        <w:t> </w:t>
      </w:r>
      <w:r>
        <w:rPr>
          <w:color w:val="010202"/>
        </w:rPr>
        <w:t>jail to</w:t>
      </w:r>
    </w:p>
    <w:p>
      <w:pPr>
        <w:pStyle w:val="BodyText"/>
        <w:spacing w:before="11"/>
        <w:ind w:left="879"/>
      </w:pPr>
      <w:r>
        <w:rPr>
          <w:color w:val="010202"/>
        </w:rPr>
        <w:t>the</w:t>
      </w:r>
      <w:r>
        <w:rPr>
          <w:color w:val="010202"/>
          <w:spacing w:val="-7"/>
        </w:rPr>
        <w:t> </w:t>
      </w:r>
      <w:r>
        <w:rPr>
          <w:color w:val="010202"/>
        </w:rPr>
        <w:t>community</w:t>
      </w:r>
      <w:r>
        <w:rPr>
          <w:color w:val="010202"/>
          <w:vertAlign w:val="superscript"/>
        </w:rPr>
        <w:t>78</w:t>
      </w:r>
    </w:p>
    <w:p>
      <w:pPr>
        <w:pStyle w:val="Heading5"/>
        <w:spacing w:before="195"/>
        <w:rPr>
          <w:i/>
        </w:rPr>
      </w:pPr>
      <w:r>
        <w:rPr>
          <w:i/>
          <w:color w:val="1C384B"/>
        </w:rPr>
        <w:t>Practitioner</w:t>
      </w:r>
      <w:r>
        <w:rPr>
          <w:i/>
          <w:color w:val="1C384B"/>
          <w:spacing w:val="-9"/>
        </w:rPr>
        <w:t> </w:t>
      </w:r>
      <w:r>
        <w:rPr>
          <w:i/>
          <w:color w:val="1C384B"/>
        </w:rPr>
        <w:t>Types</w:t>
      </w:r>
    </w:p>
    <w:p>
      <w:pPr>
        <w:pStyle w:val="BodyText"/>
        <w:spacing w:line="266" w:lineRule="auto" w:before="184"/>
        <w:ind w:left="160" w:right="907"/>
      </w:pPr>
      <w:r>
        <w:rPr>
          <w:color w:val="231F20"/>
        </w:rPr>
        <w:t>Patient</w:t>
      </w:r>
      <w:r>
        <w:rPr>
          <w:color w:val="231F20"/>
          <w:spacing w:val="-3"/>
        </w:rPr>
        <w:t> </w:t>
      </w:r>
      <w:r>
        <w:rPr>
          <w:color w:val="231F20"/>
        </w:rPr>
        <w:t>navigation</w:t>
      </w:r>
      <w:r>
        <w:rPr>
          <w:color w:val="231F20"/>
          <w:spacing w:val="-2"/>
        </w:rPr>
        <w:t> </w:t>
      </w:r>
      <w:r>
        <w:rPr>
          <w:color w:val="231F20"/>
        </w:rPr>
        <w:t>can</w:t>
      </w:r>
      <w:r>
        <w:rPr>
          <w:color w:val="231F20"/>
          <w:spacing w:val="-1"/>
        </w:rPr>
        <w:t> </w:t>
      </w:r>
      <w:r>
        <w:rPr>
          <w:color w:val="231F20"/>
        </w:rPr>
        <w:t>be</w:t>
      </w:r>
      <w:r>
        <w:rPr>
          <w:color w:val="231F20"/>
          <w:spacing w:val="-2"/>
        </w:rPr>
        <w:t> </w:t>
      </w:r>
      <w:r>
        <w:rPr>
          <w:color w:val="231F20"/>
        </w:rPr>
        <w:t>implemented</w:t>
      </w:r>
      <w:r>
        <w:rPr>
          <w:color w:val="231F20"/>
          <w:spacing w:val="-1"/>
        </w:rPr>
        <w:t> </w:t>
      </w:r>
      <w:r>
        <w:rPr>
          <w:color w:val="231F20"/>
        </w:rPr>
        <w:t>effectively</w:t>
      </w:r>
      <w:r>
        <w:rPr>
          <w:color w:val="231F20"/>
          <w:spacing w:val="-2"/>
        </w:rPr>
        <w:t> </w:t>
      </w:r>
      <w:r>
        <w:rPr>
          <w:color w:val="231F20"/>
        </w:rPr>
        <w:t>by</w:t>
      </w:r>
      <w:r>
        <w:rPr>
          <w:color w:val="231F20"/>
          <w:spacing w:val="-1"/>
        </w:rPr>
        <w:t> </w:t>
      </w:r>
      <w:r>
        <w:rPr>
          <w:color w:val="231F20"/>
        </w:rPr>
        <w:t>a</w:t>
      </w:r>
      <w:r>
        <w:rPr>
          <w:color w:val="231F20"/>
          <w:spacing w:val="-52"/>
        </w:rPr>
        <w:t> </w:t>
      </w:r>
      <w:r>
        <w:rPr>
          <w:color w:val="231F20"/>
        </w:rPr>
        <w:t>variety of professionals including:</w:t>
      </w:r>
    </w:p>
    <w:p>
      <w:pPr>
        <w:pStyle w:val="ListParagraph"/>
        <w:numPr>
          <w:ilvl w:val="0"/>
          <w:numId w:val="4"/>
        </w:numPr>
        <w:tabs>
          <w:tab w:pos="879" w:val="left" w:leader="none"/>
          <w:tab w:pos="880" w:val="left" w:leader="none"/>
        </w:tabs>
        <w:spacing w:line="249" w:lineRule="auto" w:before="146" w:after="0"/>
        <w:ind w:left="879" w:right="852" w:hanging="360"/>
        <w:jc w:val="left"/>
        <w:rPr>
          <w:rFonts w:ascii="Symbol" w:hAnsi="Symbol"/>
          <w:color w:val="010202"/>
          <w:sz w:val="22"/>
        </w:rPr>
      </w:pPr>
      <w:r>
        <w:rPr>
          <w:color w:val="010202"/>
          <w:sz w:val="22"/>
        </w:rPr>
        <w:t>Medical professionals or clinical staff,</w:t>
      </w:r>
      <w:r>
        <w:rPr>
          <w:color w:val="010202"/>
          <w:spacing w:val="1"/>
          <w:sz w:val="22"/>
        </w:rPr>
        <w:t> </w:t>
      </w:r>
      <w:r>
        <w:rPr>
          <w:color w:val="010202"/>
          <w:sz w:val="22"/>
        </w:rPr>
        <w:t>community members, social workers, and other</w:t>
      </w:r>
      <w:r>
        <w:rPr>
          <w:color w:val="010202"/>
          <w:spacing w:val="-52"/>
          <w:sz w:val="22"/>
        </w:rPr>
        <w:t> </w:t>
      </w:r>
      <w:r>
        <w:rPr>
          <w:color w:val="010202"/>
          <w:sz w:val="22"/>
        </w:rPr>
        <w:t>diverse professionals (e.g., case management,</w:t>
      </w:r>
      <w:r>
        <w:rPr>
          <w:color w:val="010202"/>
          <w:spacing w:val="1"/>
          <w:sz w:val="22"/>
        </w:rPr>
        <w:t> </w:t>
      </w:r>
      <w:r>
        <w:rPr>
          <w:color w:val="010202"/>
          <w:sz w:val="22"/>
        </w:rPr>
        <w:t>discharge</w:t>
      </w:r>
      <w:r>
        <w:rPr>
          <w:color w:val="010202"/>
          <w:spacing w:val="-4"/>
          <w:sz w:val="22"/>
        </w:rPr>
        <w:t> </w:t>
      </w:r>
      <w:r>
        <w:rPr>
          <w:color w:val="010202"/>
          <w:sz w:val="22"/>
        </w:rPr>
        <w:t>planning,</w:t>
      </w:r>
      <w:r>
        <w:rPr>
          <w:color w:val="010202"/>
          <w:spacing w:val="-3"/>
          <w:sz w:val="22"/>
        </w:rPr>
        <w:t> </w:t>
      </w:r>
      <w:r>
        <w:rPr>
          <w:color w:val="010202"/>
          <w:sz w:val="22"/>
        </w:rPr>
        <w:t>criminal</w:t>
      </w:r>
      <w:r>
        <w:rPr>
          <w:color w:val="010202"/>
          <w:spacing w:val="-4"/>
          <w:sz w:val="22"/>
        </w:rPr>
        <w:t> </w:t>
      </w:r>
      <w:r>
        <w:rPr>
          <w:color w:val="010202"/>
          <w:sz w:val="22"/>
        </w:rPr>
        <w:t>justice</w:t>
      </w:r>
      <w:r>
        <w:rPr>
          <w:color w:val="010202"/>
          <w:spacing w:val="-3"/>
          <w:sz w:val="22"/>
        </w:rPr>
        <w:t> </w:t>
      </w:r>
      <w:r>
        <w:rPr>
          <w:color w:val="010202"/>
          <w:sz w:val="22"/>
        </w:rPr>
        <w:t>system)</w:t>
      </w:r>
      <w:r>
        <w:rPr>
          <w:color w:val="010202"/>
          <w:sz w:val="22"/>
          <w:vertAlign w:val="superscript"/>
        </w:rPr>
        <w:t>77</w:t>
      </w:r>
    </w:p>
    <w:p>
      <w:pPr>
        <w:pStyle w:val="ListParagraph"/>
        <w:numPr>
          <w:ilvl w:val="0"/>
          <w:numId w:val="4"/>
        </w:numPr>
        <w:tabs>
          <w:tab w:pos="879" w:val="left" w:leader="none"/>
          <w:tab w:pos="880" w:val="left" w:leader="none"/>
        </w:tabs>
        <w:spacing w:line="256" w:lineRule="exact" w:before="0" w:after="0"/>
        <w:ind w:left="879" w:right="0" w:hanging="360"/>
        <w:jc w:val="left"/>
        <w:rPr>
          <w:rFonts w:ascii="Symbol" w:hAnsi="Symbol"/>
          <w:color w:val="010202"/>
          <w:sz w:val="22"/>
        </w:rPr>
      </w:pPr>
      <w:r>
        <w:rPr>
          <w:color w:val="010202"/>
          <w:sz w:val="22"/>
        </w:rPr>
        <w:t>Peer</w:t>
      </w:r>
      <w:r>
        <w:rPr>
          <w:color w:val="010202"/>
          <w:spacing w:val="-6"/>
          <w:sz w:val="22"/>
        </w:rPr>
        <w:t> </w:t>
      </w:r>
      <w:r>
        <w:rPr>
          <w:color w:val="010202"/>
          <w:sz w:val="22"/>
        </w:rPr>
        <w:t>patient</w:t>
      </w:r>
      <w:r>
        <w:rPr>
          <w:color w:val="010202"/>
          <w:spacing w:val="-5"/>
          <w:sz w:val="22"/>
        </w:rPr>
        <w:t> </w:t>
      </w:r>
      <w:r>
        <w:rPr>
          <w:color w:val="010202"/>
          <w:sz w:val="22"/>
        </w:rPr>
        <w:t>navigators</w:t>
      </w:r>
      <w:r>
        <w:rPr>
          <w:color w:val="010202"/>
          <w:sz w:val="22"/>
          <w:vertAlign w:val="superscript"/>
        </w:rPr>
        <w:t>78</w:t>
      </w:r>
    </w:p>
    <w:p>
      <w:pPr>
        <w:spacing w:after="0" w:line="256" w:lineRule="exact"/>
        <w:jc w:val="left"/>
        <w:rPr>
          <w:rFonts w:ascii="Symbol" w:hAnsi="Symbol"/>
          <w:sz w:val="22"/>
        </w:rPr>
        <w:sectPr>
          <w:type w:val="continuous"/>
          <w:pgSz w:w="12240" w:h="15840"/>
          <w:pgMar w:header="0" w:footer="666" w:top="1500" w:bottom="0" w:left="560" w:right="0"/>
          <w:cols w:num="2" w:equalWidth="0">
            <w:col w:w="5241" w:space="519"/>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BodyText"/>
        <w:spacing w:line="266" w:lineRule="auto" w:before="91"/>
        <w:ind w:left="159" w:right="29"/>
      </w:pPr>
      <w:bookmarkStart w:name="Intensity and Duration" w:id="78"/>
      <w:bookmarkEnd w:id="78"/>
      <w:r>
        <w:rPr/>
      </w:r>
      <w:r>
        <w:rPr>
          <w:color w:val="231F20"/>
          <w:spacing w:val="-1"/>
        </w:rPr>
        <w:t>Patient navigators often share </w:t>
      </w:r>
      <w:r>
        <w:rPr>
          <w:color w:val="231F20"/>
        </w:rPr>
        <w:t>qualifications and skills</w:t>
      </w:r>
      <w:r>
        <w:rPr>
          <w:color w:val="231F20"/>
          <w:spacing w:val="1"/>
        </w:rPr>
        <w:t> </w:t>
      </w:r>
      <w:r>
        <w:rPr>
          <w:color w:val="231F20"/>
          <w:spacing w:val="-1"/>
        </w:rPr>
        <w:t>with other support service providers in </w:t>
      </w:r>
      <w:r>
        <w:rPr>
          <w:color w:val="231F20"/>
        </w:rPr>
        <w:t>clinical settings,</w:t>
      </w:r>
      <w:r>
        <w:rPr>
          <w:color w:val="231F20"/>
          <w:spacing w:val="1"/>
        </w:rPr>
        <w:t> </w:t>
      </w:r>
      <w:r>
        <w:rPr>
          <w:color w:val="231F20"/>
          <w:spacing w:val="-1"/>
        </w:rPr>
        <w:t>such as advocates, health educators, </w:t>
      </w:r>
      <w:r>
        <w:rPr>
          <w:color w:val="231F20"/>
        </w:rPr>
        <w:t>or case managers.</w:t>
      </w:r>
      <w:r>
        <w:rPr>
          <w:color w:val="231F20"/>
          <w:vertAlign w:val="superscript"/>
        </w:rPr>
        <w:t>74</w:t>
      </w:r>
      <w:r>
        <w:rPr>
          <w:color w:val="231F20"/>
          <w:spacing w:val="-52"/>
          <w:vertAlign w:val="baseline"/>
        </w:rPr>
        <w:t> </w:t>
      </w:r>
      <w:r>
        <w:rPr>
          <w:color w:val="231F20"/>
          <w:spacing w:val="-3"/>
          <w:vertAlign w:val="baseline"/>
        </w:rPr>
        <w:t>Matching peer patient navigators </w:t>
      </w:r>
      <w:r>
        <w:rPr>
          <w:color w:val="231F20"/>
          <w:spacing w:val="-2"/>
          <w:vertAlign w:val="baseline"/>
        </w:rPr>
        <w:t>with individuals who</w:t>
      </w:r>
      <w:r>
        <w:rPr>
          <w:color w:val="231F20"/>
          <w:spacing w:val="-1"/>
          <w:vertAlign w:val="baseline"/>
        </w:rPr>
        <w:t> </w:t>
      </w:r>
      <w:r>
        <w:rPr>
          <w:color w:val="231F20"/>
          <w:spacing w:val="-3"/>
          <w:vertAlign w:val="baseline"/>
        </w:rPr>
        <w:t>have similar experiences is a successful </w:t>
      </w:r>
      <w:r>
        <w:rPr>
          <w:color w:val="231F20"/>
          <w:spacing w:val="-2"/>
          <w:vertAlign w:val="baseline"/>
        </w:rPr>
        <w:t>approach for</w:t>
      </w:r>
      <w:r>
        <w:rPr>
          <w:color w:val="231F20"/>
          <w:spacing w:val="-1"/>
          <w:vertAlign w:val="baseline"/>
        </w:rPr>
        <w:t> </w:t>
      </w:r>
      <w:r>
        <w:rPr>
          <w:color w:val="231F20"/>
          <w:spacing w:val="-4"/>
          <w:vertAlign w:val="baseline"/>
        </w:rPr>
        <w:t>linking and retaining </w:t>
      </w:r>
      <w:r>
        <w:rPr>
          <w:color w:val="231F20"/>
          <w:spacing w:val="-3"/>
          <w:vertAlign w:val="baseline"/>
        </w:rPr>
        <w:t>clients in HIV care</w:t>
      </w:r>
      <w:r>
        <w:rPr>
          <w:color w:val="231F20"/>
          <w:spacing w:val="-3"/>
          <w:vertAlign w:val="superscript"/>
        </w:rPr>
        <w:t>81</w:t>
      </w:r>
      <w:r>
        <w:rPr>
          <w:color w:val="231F20"/>
          <w:spacing w:val="-3"/>
          <w:vertAlign w:val="baseline"/>
        </w:rPr>
        <w:t> and can play a</w:t>
      </w:r>
      <w:r>
        <w:rPr>
          <w:color w:val="231F20"/>
          <w:spacing w:val="-2"/>
          <w:vertAlign w:val="baseline"/>
        </w:rPr>
        <w:t> </w:t>
      </w:r>
      <w:r>
        <w:rPr>
          <w:color w:val="231F20"/>
          <w:spacing w:val="-4"/>
          <w:vertAlign w:val="baseline"/>
        </w:rPr>
        <w:t>key</w:t>
      </w:r>
      <w:r>
        <w:rPr>
          <w:color w:val="231F20"/>
          <w:spacing w:val="-9"/>
          <w:vertAlign w:val="baseline"/>
        </w:rPr>
        <w:t> </w:t>
      </w:r>
      <w:r>
        <w:rPr>
          <w:color w:val="231F20"/>
          <w:spacing w:val="-4"/>
          <w:vertAlign w:val="baseline"/>
        </w:rPr>
        <w:t>role</w:t>
      </w:r>
      <w:r>
        <w:rPr>
          <w:color w:val="231F20"/>
          <w:spacing w:val="-9"/>
          <w:vertAlign w:val="baseline"/>
        </w:rPr>
        <w:t> </w:t>
      </w:r>
      <w:r>
        <w:rPr>
          <w:color w:val="231F20"/>
          <w:spacing w:val="-4"/>
          <w:vertAlign w:val="baseline"/>
        </w:rPr>
        <w:t>in</w:t>
      </w:r>
      <w:r>
        <w:rPr>
          <w:color w:val="231F20"/>
          <w:spacing w:val="-9"/>
          <w:vertAlign w:val="baseline"/>
        </w:rPr>
        <w:t> </w:t>
      </w:r>
      <w:r>
        <w:rPr>
          <w:color w:val="231F20"/>
          <w:spacing w:val="-4"/>
          <w:vertAlign w:val="baseline"/>
        </w:rPr>
        <w:t>building</w:t>
      </w:r>
      <w:r>
        <w:rPr>
          <w:color w:val="231F20"/>
          <w:spacing w:val="-9"/>
          <w:vertAlign w:val="baseline"/>
        </w:rPr>
        <w:t> </w:t>
      </w:r>
      <w:r>
        <w:rPr>
          <w:color w:val="231F20"/>
          <w:spacing w:val="-3"/>
          <w:vertAlign w:val="baseline"/>
        </w:rPr>
        <w:t>social</w:t>
      </w:r>
      <w:r>
        <w:rPr>
          <w:color w:val="231F20"/>
          <w:spacing w:val="-9"/>
          <w:vertAlign w:val="baseline"/>
        </w:rPr>
        <w:t> </w:t>
      </w:r>
      <w:r>
        <w:rPr>
          <w:color w:val="231F20"/>
          <w:spacing w:val="-3"/>
          <w:vertAlign w:val="baseline"/>
        </w:rPr>
        <w:t>networks</w:t>
      </w:r>
      <w:r>
        <w:rPr>
          <w:color w:val="231F20"/>
          <w:spacing w:val="-9"/>
          <w:vertAlign w:val="baseline"/>
        </w:rPr>
        <w:t> </w:t>
      </w:r>
      <w:r>
        <w:rPr>
          <w:color w:val="231F20"/>
          <w:spacing w:val="-3"/>
          <w:vertAlign w:val="baseline"/>
        </w:rPr>
        <w:t>and</w:t>
      </w:r>
      <w:r>
        <w:rPr>
          <w:color w:val="231F20"/>
          <w:spacing w:val="-9"/>
          <w:vertAlign w:val="baseline"/>
        </w:rPr>
        <w:t> </w:t>
      </w:r>
      <w:r>
        <w:rPr>
          <w:color w:val="231F20"/>
          <w:spacing w:val="-3"/>
          <w:vertAlign w:val="baseline"/>
        </w:rPr>
        <w:t>establishing</w:t>
      </w:r>
      <w:r>
        <w:rPr>
          <w:color w:val="231F20"/>
          <w:spacing w:val="-9"/>
          <w:vertAlign w:val="baseline"/>
        </w:rPr>
        <w:t> </w:t>
      </w:r>
      <w:r>
        <w:rPr>
          <w:color w:val="231F20"/>
          <w:spacing w:val="-3"/>
          <w:vertAlign w:val="baseline"/>
        </w:rPr>
        <w:t>trust,</w:t>
      </w:r>
      <w:r>
        <w:rPr>
          <w:color w:val="231F20"/>
          <w:spacing w:val="-52"/>
          <w:vertAlign w:val="baseline"/>
        </w:rPr>
        <w:t> </w:t>
      </w:r>
      <w:r>
        <w:rPr>
          <w:color w:val="231F20"/>
          <w:spacing w:val="-1"/>
          <w:vertAlign w:val="baseline"/>
        </w:rPr>
        <w:t>especially</w:t>
      </w:r>
      <w:r>
        <w:rPr>
          <w:color w:val="231F20"/>
          <w:spacing w:val="-13"/>
          <w:vertAlign w:val="baseline"/>
        </w:rPr>
        <w:t> </w:t>
      </w:r>
      <w:r>
        <w:rPr>
          <w:color w:val="231F20"/>
          <w:spacing w:val="-1"/>
          <w:vertAlign w:val="baseline"/>
        </w:rPr>
        <w:t>among</w:t>
      </w:r>
      <w:r>
        <w:rPr>
          <w:color w:val="231F20"/>
          <w:spacing w:val="-12"/>
          <w:vertAlign w:val="baseline"/>
        </w:rPr>
        <w:t> </w:t>
      </w:r>
      <w:r>
        <w:rPr>
          <w:color w:val="231F20"/>
          <w:spacing w:val="-1"/>
          <w:vertAlign w:val="baseline"/>
        </w:rPr>
        <w:t>stigmatized</w:t>
      </w:r>
      <w:r>
        <w:rPr>
          <w:color w:val="231F20"/>
          <w:spacing w:val="-13"/>
          <w:vertAlign w:val="baseline"/>
        </w:rPr>
        <w:t> </w:t>
      </w:r>
      <w:r>
        <w:rPr>
          <w:color w:val="231F20"/>
          <w:spacing w:val="-1"/>
          <w:vertAlign w:val="baseline"/>
        </w:rPr>
        <w:t>populations.</w:t>
      </w:r>
      <w:r>
        <w:rPr>
          <w:color w:val="231F20"/>
          <w:spacing w:val="-1"/>
          <w:vertAlign w:val="superscript"/>
        </w:rPr>
        <w:t>82</w:t>
      </w:r>
    </w:p>
    <w:p>
      <w:pPr>
        <w:pStyle w:val="Heading5"/>
        <w:spacing w:before="93"/>
        <w:rPr>
          <w:i/>
        </w:rPr>
      </w:pPr>
      <w:r>
        <w:rPr>
          <w:i w:val="0"/>
        </w:rPr>
        <w:br w:type="column"/>
      </w:r>
      <w:r>
        <w:rPr>
          <w:i/>
          <w:color w:val="1C384B"/>
        </w:rPr>
        <w:t>Intensity</w:t>
      </w:r>
      <w:r>
        <w:rPr>
          <w:i/>
          <w:color w:val="1C384B"/>
          <w:spacing w:val="-6"/>
        </w:rPr>
        <w:t> </w:t>
      </w:r>
      <w:r>
        <w:rPr>
          <w:i/>
          <w:color w:val="1C384B"/>
        </w:rPr>
        <w:t>and</w:t>
      </w:r>
      <w:r>
        <w:rPr>
          <w:i/>
          <w:color w:val="1C384B"/>
          <w:spacing w:val="-5"/>
        </w:rPr>
        <w:t> </w:t>
      </w:r>
      <w:r>
        <w:rPr>
          <w:i/>
          <w:color w:val="1C384B"/>
        </w:rPr>
        <w:t>Duration</w:t>
      </w:r>
    </w:p>
    <w:p>
      <w:pPr>
        <w:pStyle w:val="BodyText"/>
        <w:spacing w:line="266" w:lineRule="auto" w:before="184"/>
        <w:ind w:left="159" w:right="844"/>
      </w:pPr>
      <w:r>
        <w:rPr>
          <w:color w:val="231F20"/>
          <w:spacing w:val="-2"/>
        </w:rPr>
        <w:t>Patient</w:t>
      </w:r>
      <w:r>
        <w:rPr>
          <w:color w:val="231F20"/>
          <w:spacing w:val="-11"/>
        </w:rPr>
        <w:t> </w:t>
      </w:r>
      <w:r>
        <w:rPr>
          <w:color w:val="231F20"/>
          <w:spacing w:val="-2"/>
        </w:rPr>
        <w:t>navigation</w:t>
      </w:r>
      <w:r>
        <w:rPr>
          <w:color w:val="231F20"/>
          <w:spacing w:val="-10"/>
        </w:rPr>
        <w:t> </w:t>
      </w:r>
      <w:r>
        <w:rPr>
          <w:color w:val="231F20"/>
          <w:spacing w:val="-2"/>
        </w:rPr>
        <w:t>services</w:t>
      </w:r>
      <w:r>
        <w:rPr>
          <w:color w:val="231F20"/>
          <w:spacing w:val="-11"/>
        </w:rPr>
        <w:t> </w:t>
      </w:r>
      <w:r>
        <w:rPr>
          <w:color w:val="231F20"/>
          <w:spacing w:val="-1"/>
        </w:rPr>
        <w:t>are</w:t>
      </w:r>
      <w:r>
        <w:rPr>
          <w:color w:val="231F20"/>
          <w:spacing w:val="-10"/>
        </w:rPr>
        <w:t> </w:t>
      </w:r>
      <w:r>
        <w:rPr>
          <w:color w:val="231F20"/>
          <w:spacing w:val="-1"/>
        </w:rPr>
        <w:t>customized</w:t>
      </w:r>
      <w:r>
        <w:rPr>
          <w:color w:val="231F20"/>
          <w:spacing w:val="-10"/>
        </w:rPr>
        <w:t> </w:t>
      </w:r>
      <w:r>
        <w:rPr>
          <w:color w:val="231F20"/>
          <w:spacing w:val="-1"/>
        </w:rPr>
        <w:t>to</w:t>
      </w:r>
      <w:r>
        <w:rPr>
          <w:color w:val="231F20"/>
          <w:spacing w:val="-10"/>
        </w:rPr>
        <w:t> </w:t>
      </w:r>
      <w:r>
        <w:rPr>
          <w:color w:val="231F20"/>
          <w:spacing w:val="-1"/>
        </w:rPr>
        <w:t>the</w:t>
      </w:r>
      <w:r>
        <w:rPr>
          <w:color w:val="231F20"/>
          <w:spacing w:val="-10"/>
        </w:rPr>
        <w:t> </w:t>
      </w:r>
      <w:r>
        <w:rPr>
          <w:color w:val="231F20"/>
          <w:spacing w:val="-1"/>
        </w:rPr>
        <w:t>specific</w:t>
      </w:r>
      <w:r>
        <w:rPr>
          <w:color w:val="231F20"/>
          <w:spacing w:val="-52"/>
        </w:rPr>
        <w:t> </w:t>
      </w:r>
      <w:r>
        <w:rPr>
          <w:color w:val="231F20"/>
        </w:rPr>
        <w:t>needs of clients, so there is no standard model for the</w:t>
      </w:r>
      <w:r>
        <w:rPr>
          <w:color w:val="231F20"/>
          <w:spacing w:val="1"/>
        </w:rPr>
        <w:t> </w:t>
      </w:r>
      <w:r>
        <w:rPr>
          <w:color w:val="231F20"/>
          <w:w w:val="95"/>
        </w:rPr>
        <w:t>intensity and duration of the program.</w:t>
      </w:r>
      <w:r>
        <w:rPr>
          <w:color w:val="231F20"/>
          <w:w w:val="95"/>
          <w:vertAlign w:val="superscript"/>
        </w:rPr>
        <w:t>80</w:t>
      </w:r>
      <w:r>
        <w:rPr>
          <w:color w:val="231F20"/>
          <w:w w:val="95"/>
          <w:vertAlign w:val="baseline"/>
        </w:rPr>
        <w:t> Typically,</w:t>
      </w:r>
      <w:r>
        <w:rPr>
          <w:color w:val="231F20"/>
          <w:spacing w:val="1"/>
          <w:w w:val="95"/>
          <w:vertAlign w:val="baseline"/>
        </w:rPr>
        <w:t> </w:t>
      </w:r>
      <w:r>
        <w:rPr>
          <w:color w:val="231F20"/>
          <w:vertAlign w:val="baseline"/>
        </w:rPr>
        <w:t>navigators meet regularly with clients for 11 to 12</w:t>
      </w:r>
      <w:r>
        <w:rPr>
          <w:color w:val="231F20"/>
          <w:spacing w:val="1"/>
          <w:vertAlign w:val="baseline"/>
        </w:rPr>
        <w:t> </w:t>
      </w:r>
      <w:r>
        <w:rPr>
          <w:color w:val="231F20"/>
          <w:vertAlign w:val="baseline"/>
        </w:rPr>
        <w:t>individual sessions over 6 months, and their work</w:t>
      </w:r>
      <w:r>
        <w:rPr>
          <w:color w:val="231F20"/>
          <w:spacing w:val="1"/>
          <w:vertAlign w:val="baseline"/>
        </w:rPr>
        <w:t> </w:t>
      </w:r>
      <w:r>
        <w:rPr>
          <w:color w:val="231F20"/>
          <w:spacing w:val="-1"/>
          <w:vertAlign w:val="baseline"/>
        </w:rPr>
        <w:t>continues</w:t>
      </w:r>
      <w:r>
        <w:rPr>
          <w:color w:val="231F20"/>
          <w:spacing w:val="-12"/>
          <w:vertAlign w:val="baseline"/>
        </w:rPr>
        <w:t> </w:t>
      </w:r>
      <w:r>
        <w:rPr>
          <w:color w:val="231F20"/>
          <w:spacing w:val="-1"/>
          <w:vertAlign w:val="baseline"/>
        </w:rPr>
        <w:t>through</w:t>
      </w:r>
      <w:r>
        <w:rPr>
          <w:color w:val="231F20"/>
          <w:spacing w:val="-11"/>
          <w:vertAlign w:val="baseline"/>
        </w:rPr>
        <w:t> </w:t>
      </w:r>
      <w:r>
        <w:rPr>
          <w:color w:val="231F20"/>
          <w:spacing w:val="-1"/>
          <w:vertAlign w:val="baseline"/>
        </w:rPr>
        <w:t>a</w:t>
      </w:r>
      <w:r>
        <w:rPr>
          <w:color w:val="231F20"/>
          <w:spacing w:val="-12"/>
          <w:vertAlign w:val="baseline"/>
        </w:rPr>
        <w:t> </w:t>
      </w:r>
      <w:r>
        <w:rPr>
          <w:color w:val="231F20"/>
          <w:spacing w:val="-1"/>
          <w:vertAlign w:val="baseline"/>
        </w:rPr>
        <w:t>predetermined</w:t>
      </w:r>
      <w:r>
        <w:rPr>
          <w:color w:val="231F20"/>
          <w:spacing w:val="-11"/>
          <w:vertAlign w:val="baseline"/>
        </w:rPr>
        <w:t> </w:t>
      </w:r>
      <w:r>
        <w:rPr>
          <w:color w:val="231F20"/>
          <w:spacing w:val="-1"/>
          <w:vertAlign w:val="baseline"/>
        </w:rPr>
        <w:t>endpoint</w:t>
      </w:r>
      <w:r>
        <w:rPr>
          <w:color w:val="231F20"/>
          <w:spacing w:val="-12"/>
          <w:vertAlign w:val="baseline"/>
        </w:rPr>
        <w:t> </w:t>
      </w:r>
      <w:r>
        <w:rPr>
          <w:color w:val="231F20"/>
          <w:spacing w:val="-1"/>
          <w:vertAlign w:val="baseline"/>
        </w:rPr>
        <w:t>(determined</w:t>
      </w:r>
      <w:r>
        <w:rPr>
          <w:color w:val="231F20"/>
          <w:spacing w:val="-52"/>
          <w:vertAlign w:val="baseline"/>
        </w:rPr>
        <w:t> </w:t>
      </w:r>
      <w:r>
        <w:rPr>
          <w:color w:val="231F20"/>
          <w:vertAlign w:val="baseline"/>
        </w:rPr>
        <w:t>by the clinic model). In the case of HIV care, this</w:t>
      </w:r>
      <w:r>
        <w:rPr>
          <w:color w:val="231F20"/>
          <w:spacing w:val="1"/>
          <w:vertAlign w:val="baseline"/>
        </w:rPr>
        <w:t> </w:t>
      </w:r>
      <w:r>
        <w:rPr>
          <w:color w:val="231F20"/>
          <w:vertAlign w:val="baseline"/>
        </w:rPr>
        <w:t>endpoint</w:t>
      </w:r>
      <w:r>
        <w:rPr>
          <w:color w:val="231F20"/>
          <w:spacing w:val="-6"/>
          <w:vertAlign w:val="baseline"/>
        </w:rPr>
        <w:t> </w:t>
      </w:r>
      <w:r>
        <w:rPr>
          <w:color w:val="231F20"/>
          <w:vertAlign w:val="baseline"/>
        </w:rPr>
        <w:t>is</w:t>
      </w:r>
      <w:r>
        <w:rPr>
          <w:color w:val="231F20"/>
          <w:spacing w:val="-6"/>
          <w:vertAlign w:val="baseline"/>
        </w:rPr>
        <w:t> </w:t>
      </w:r>
      <w:r>
        <w:rPr>
          <w:color w:val="231F20"/>
          <w:vertAlign w:val="baseline"/>
        </w:rPr>
        <w:t>often</w:t>
      </w:r>
      <w:r>
        <w:rPr>
          <w:color w:val="231F20"/>
          <w:spacing w:val="-5"/>
          <w:vertAlign w:val="baseline"/>
        </w:rPr>
        <w:t> </w:t>
      </w:r>
      <w:r>
        <w:rPr>
          <w:color w:val="231F20"/>
          <w:vertAlign w:val="baseline"/>
        </w:rPr>
        <w:t>linkage</w:t>
      </w:r>
      <w:r>
        <w:rPr>
          <w:color w:val="231F20"/>
          <w:spacing w:val="-6"/>
          <w:vertAlign w:val="baseline"/>
        </w:rPr>
        <w:t> </w:t>
      </w:r>
      <w:r>
        <w:rPr>
          <w:color w:val="231F20"/>
          <w:vertAlign w:val="baseline"/>
        </w:rPr>
        <w:t>to</w:t>
      </w:r>
      <w:r>
        <w:rPr>
          <w:color w:val="231F20"/>
          <w:spacing w:val="-5"/>
          <w:vertAlign w:val="baseline"/>
        </w:rPr>
        <w:t> </w:t>
      </w:r>
      <w:r>
        <w:rPr>
          <w:color w:val="231F20"/>
          <w:vertAlign w:val="baseline"/>
        </w:rPr>
        <w:t>care.</w:t>
      </w:r>
      <w:r>
        <w:rPr>
          <w:color w:val="231F20"/>
          <w:vertAlign w:val="superscript"/>
        </w:rPr>
        <w:t>77</w:t>
      </w:r>
    </w:p>
    <w:p>
      <w:pPr>
        <w:spacing w:after="0" w:line="266" w:lineRule="auto"/>
        <w:sectPr>
          <w:type w:val="continuous"/>
          <w:pgSz w:w="12240" w:h="15840"/>
          <w:pgMar w:header="0" w:footer="666" w:top="1500" w:bottom="0" w:left="560" w:right="0"/>
          <w:cols w:num="2" w:equalWidth="0">
            <w:col w:w="5102" w:space="658"/>
            <w:col w:w="5920"/>
          </w:cols>
        </w:sectPr>
      </w:pPr>
    </w:p>
    <w:p>
      <w:pPr>
        <w:pStyle w:val="BodyText"/>
        <w:spacing w:before="9" w:after="1"/>
      </w:pPr>
    </w:p>
    <w:p>
      <w:pPr>
        <w:pStyle w:val="BodyText"/>
        <w:ind w:left="160"/>
        <w:rPr>
          <w:sz w:val="20"/>
        </w:rPr>
      </w:pPr>
      <w:r>
        <w:rPr>
          <w:sz w:val="20"/>
        </w:rPr>
        <w:drawing>
          <wp:inline distT="0" distB="0" distL="0" distR="0">
            <wp:extent cx="6643689" cy="4804124"/>
            <wp:effectExtent l="0" t="0" r="0" b="0"/>
            <wp:docPr id="67" name="image22.png"/>
            <wp:cNvGraphicFramePr>
              <a:graphicFrameLocks noChangeAspect="1"/>
            </wp:cNvGraphicFramePr>
            <a:graphic>
              <a:graphicData uri="http://schemas.openxmlformats.org/drawingml/2006/picture">
                <pic:pic>
                  <pic:nvPicPr>
                    <pic:cNvPr id="68" name="image22.png"/>
                    <pic:cNvPicPr/>
                  </pic:nvPicPr>
                  <pic:blipFill>
                    <a:blip r:embed="rId152" cstate="print"/>
                    <a:stretch>
                      <a:fillRect/>
                    </a:stretch>
                  </pic:blipFill>
                  <pic:spPr>
                    <a:xfrm>
                      <a:off x="0" y="0"/>
                      <a:ext cx="6643689" cy="4804124"/>
                    </a:xfrm>
                    <a:prstGeom prst="rect">
                      <a:avLst/>
                    </a:prstGeom>
                  </pic:spPr>
                </pic:pic>
              </a:graphicData>
            </a:graphic>
          </wp:inline>
        </w:drawing>
      </w:r>
      <w:r>
        <w:rPr>
          <w:sz w:val="20"/>
        </w:rPr>
      </w:r>
    </w:p>
    <w:p>
      <w:pPr>
        <w:spacing w:after="0"/>
        <w:rPr>
          <w:sz w:val="20"/>
        </w:rPr>
        <w:sectPr>
          <w:type w:val="continuous"/>
          <w:pgSz w:w="12240" w:h="15840"/>
          <w:pgMar w:header="0" w:footer="666" w:top="1500" w:bottom="0" w:left="560" w:right="0"/>
        </w:sectPr>
      </w:pPr>
    </w:p>
    <w:p>
      <w:pPr>
        <w:pStyle w:val="BodyText"/>
        <w:rPr>
          <w:sz w:val="20"/>
        </w:rPr>
      </w:pPr>
    </w:p>
    <w:p>
      <w:pPr>
        <w:pStyle w:val="BodyText"/>
        <w:spacing w:before="3"/>
        <w:rPr>
          <w:sz w:val="19"/>
        </w:rPr>
      </w:pPr>
    </w:p>
    <w:p>
      <w:pPr>
        <w:pStyle w:val="Heading2"/>
      </w:pPr>
      <w:bookmarkStart w:name="Summary of Evidence-based Review" w:id="79"/>
      <w:bookmarkEnd w:id="79"/>
      <w:r>
        <w:rPr/>
      </w:r>
      <w:r>
        <w:rPr>
          <w:color w:val="1C384B"/>
        </w:rPr>
        <w:t>Summary</w:t>
      </w:r>
      <w:r>
        <w:rPr>
          <w:color w:val="1C384B"/>
          <w:spacing w:val="-7"/>
        </w:rPr>
        <w:t> </w:t>
      </w:r>
      <w:r>
        <w:rPr>
          <w:color w:val="1C384B"/>
        </w:rPr>
        <w:t>of</w:t>
      </w:r>
      <w:r>
        <w:rPr>
          <w:color w:val="1C384B"/>
          <w:spacing w:val="14"/>
        </w:rPr>
        <w:t> </w:t>
      </w:r>
      <w:r>
        <w:rPr>
          <w:color w:val="1C384B"/>
        </w:rPr>
        <w:t>Evidence-based</w:t>
      </w:r>
      <w:r>
        <w:rPr>
          <w:color w:val="1C384B"/>
          <w:spacing w:val="-6"/>
        </w:rPr>
        <w:t> </w:t>
      </w:r>
      <w:r>
        <w:rPr>
          <w:color w:val="1C384B"/>
        </w:rPr>
        <w:t>Review</w:t>
      </w:r>
    </w:p>
    <w:p>
      <w:pPr>
        <w:pStyle w:val="BodyText"/>
        <w:spacing w:before="7"/>
        <w:rPr>
          <w:rFonts w:ascii="Arial Black"/>
          <w:sz w:val="6"/>
        </w:rPr>
      </w:pPr>
    </w:p>
    <w:tbl>
      <w:tblPr>
        <w:tblW w:w="0" w:type="auto"/>
        <w:jc w:val="left"/>
        <w:tblInd w:w="17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478"/>
        <w:gridCol w:w="1728"/>
        <w:gridCol w:w="1642"/>
        <w:gridCol w:w="2016"/>
        <w:gridCol w:w="1980"/>
        <w:gridCol w:w="1975"/>
      </w:tblGrid>
      <w:tr>
        <w:trPr>
          <w:trHeight w:val="1250" w:hRule="atLeast"/>
        </w:trPr>
        <w:tc>
          <w:tcPr>
            <w:tcW w:w="1478" w:type="dxa"/>
            <w:tcBorders>
              <w:bottom w:val="single" w:sz="8" w:space="0" w:color="231F20"/>
            </w:tcBorders>
            <w:shd w:val="clear" w:color="auto" w:fill="CE384B"/>
          </w:tcPr>
          <w:p>
            <w:pPr>
              <w:pStyle w:val="TableParagraph"/>
              <w:spacing w:before="33"/>
              <w:ind w:left="349"/>
              <w:rPr>
                <w:b/>
                <w:sz w:val="20"/>
              </w:rPr>
            </w:pPr>
            <w:r>
              <w:rPr>
                <w:b/>
                <w:color w:val="FFFFFF"/>
                <w:sz w:val="20"/>
              </w:rPr>
              <w:t>Practice</w:t>
            </w:r>
          </w:p>
        </w:tc>
        <w:tc>
          <w:tcPr>
            <w:tcW w:w="1728" w:type="dxa"/>
            <w:tcBorders>
              <w:bottom w:val="single" w:sz="8" w:space="0" w:color="231F20"/>
            </w:tcBorders>
            <w:shd w:val="clear" w:color="auto" w:fill="CE384B"/>
          </w:tcPr>
          <w:p>
            <w:pPr>
              <w:pStyle w:val="TableParagraph"/>
              <w:spacing w:line="249" w:lineRule="auto" w:before="33"/>
              <w:ind w:left="97" w:right="84"/>
              <w:jc w:val="center"/>
              <w:rPr>
                <w:b/>
                <w:sz w:val="20"/>
              </w:rPr>
            </w:pPr>
            <w:r>
              <w:rPr>
                <w:b/>
                <w:color w:val="FFFFFF"/>
                <w:sz w:val="20"/>
              </w:rPr>
              <w:t>Practices to</w:t>
            </w:r>
            <w:r>
              <w:rPr>
                <w:b/>
                <w:color w:val="FFFFFF"/>
                <w:spacing w:val="1"/>
                <w:sz w:val="20"/>
              </w:rPr>
              <w:t> </w:t>
            </w:r>
            <w:r>
              <w:rPr>
                <w:b/>
                <w:color w:val="FFFFFF"/>
                <w:sz w:val="20"/>
              </w:rPr>
              <w:t>Increase Uptake</w:t>
            </w:r>
            <w:r>
              <w:rPr>
                <w:b/>
                <w:color w:val="FFFFFF"/>
                <w:spacing w:val="-54"/>
                <w:sz w:val="20"/>
              </w:rPr>
              <w:t> </w:t>
            </w:r>
            <w:r>
              <w:rPr>
                <w:b/>
                <w:color w:val="FFFFFF"/>
                <w:sz w:val="20"/>
              </w:rPr>
              <w:t>of and Improve</w:t>
            </w:r>
            <w:r>
              <w:rPr>
                <w:b/>
                <w:color w:val="FFFFFF"/>
                <w:spacing w:val="1"/>
                <w:sz w:val="20"/>
              </w:rPr>
              <w:t> </w:t>
            </w:r>
            <w:r>
              <w:rPr>
                <w:b/>
                <w:color w:val="FFFFFF"/>
                <w:sz w:val="20"/>
              </w:rPr>
              <w:t>Adherence to</w:t>
            </w:r>
            <w:r>
              <w:rPr>
                <w:b/>
                <w:color w:val="FFFFFF"/>
                <w:spacing w:val="1"/>
                <w:sz w:val="20"/>
              </w:rPr>
              <w:t> </w:t>
            </w:r>
            <w:r>
              <w:rPr>
                <w:b/>
                <w:color w:val="FFFFFF"/>
                <w:sz w:val="20"/>
              </w:rPr>
              <w:t>PrEP</w:t>
            </w:r>
          </w:p>
        </w:tc>
        <w:tc>
          <w:tcPr>
            <w:tcW w:w="1642" w:type="dxa"/>
            <w:tcBorders>
              <w:bottom w:val="single" w:sz="8" w:space="0" w:color="231F20"/>
            </w:tcBorders>
            <w:shd w:val="clear" w:color="auto" w:fill="CE384B"/>
          </w:tcPr>
          <w:p>
            <w:pPr>
              <w:pStyle w:val="TableParagraph"/>
              <w:spacing w:line="249" w:lineRule="auto" w:before="33"/>
              <w:ind w:left="354" w:right="341" w:hanging="1"/>
              <w:jc w:val="center"/>
              <w:rPr>
                <w:b/>
                <w:sz w:val="20"/>
              </w:rPr>
            </w:pPr>
            <w:r>
              <w:rPr>
                <w:b/>
                <w:color w:val="FFFFFF"/>
                <w:sz w:val="20"/>
              </w:rPr>
              <w:t>Syringe</w:t>
            </w:r>
            <w:r>
              <w:rPr>
                <w:b/>
                <w:color w:val="FFFFFF"/>
                <w:spacing w:val="1"/>
                <w:sz w:val="20"/>
              </w:rPr>
              <w:t> </w:t>
            </w:r>
            <w:r>
              <w:rPr>
                <w:b/>
                <w:color w:val="FFFFFF"/>
                <w:sz w:val="20"/>
              </w:rPr>
              <w:t>Services</w:t>
            </w:r>
            <w:r>
              <w:rPr>
                <w:b/>
                <w:color w:val="FFFFFF"/>
                <w:spacing w:val="1"/>
                <w:sz w:val="20"/>
              </w:rPr>
              <w:t> </w:t>
            </w:r>
            <w:r>
              <w:rPr>
                <w:b/>
                <w:color w:val="FFFFFF"/>
                <w:sz w:val="20"/>
              </w:rPr>
              <w:t>Programs</w:t>
            </w:r>
            <w:r>
              <w:rPr>
                <w:b/>
                <w:color w:val="FFFFFF"/>
                <w:spacing w:val="-53"/>
                <w:sz w:val="20"/>
              </w:rPr>
              <w:t> </w:t>
            </w:r>
            <w:r>
              <w:rPr>
                <w:b/>
                <w:color w:val="FFFFFF"/>
                <w:sz w:val="20"/>
              </w:rPr>
              <w:t>(SSPs)</w:t>
            </w:r>
          </w:p>
        </w:tc>
        <w:tc>
          <w:tcPr>
            <w:tcW w:w="2016" w:type="dxa"/>
            <w:tcBorders>
              <w:bottom w:val="single" w:sz="8" w:space="0" w:color="231F20"/>
            </w:tcBorders>
            <w:shd w:val="clear" w:color="auto" w:fill="CE384B"/>
          </w:tcPr>
          <w:p>
            <w:pPr>
              <w:pStyle w:val="TableParagraph"/>
              <w:spacing w:line="249" w:lineRule="auto" w:before="33"/>
              <w:ind w:left="146" w:right="129" w:firstLine="255"/>
              <w:rPr>
                <w:b/>
                <w:sz w:val="20"/>
              </w:rPr>
            </w:pPr>
            <w:r>
              <w:rPr>
                <w:b/>
                <w:color w:val="FFFFFF"/>
                <w:sz w:val="20"/>
              </w:rPr>
              <w:t>Contingency</w:t>
            </w:r>
            <w:r>
              <w:rPr>
                <w:b/>
                <w:color w:val="FFFFFF"/>
                <w:spacing w:val="1"/>
                <w:sz w:val="20"/>
              </w:rPr>
              <w:t> </w:t>
            </w:r>
            <w:r>
              <w:rPr>
                <w:b/>
                <w:color w:val="FFFFFF"/>
                <w:sz w:val="20"/>
              </w:rPr>
              <w:t>Management</w:t>
            </w:r>
            <w:r>
              <w:rPr>
                <w:b/>
                <w:color w:val="FFFFFF"/>
                <w:spacing w:val="-12"/>
                <w:sz w:val="20"/>
              </w:rPr>
              <w:t> </w:t>
            </w:r>
            <w:r>
              <w:rPr>
                <w:b/>
                <w:color w:val="FFFFFF"/>
                <w:sz w:val="20"/>
              </w:rPr>
              <w:t>(CM)</w:t>
            </w:r>
          </w:p>
        </w:tc>
        <w:tc>
          <w:tcPr>
            <w:tcW w:w="1980" w:type="dxa"/>
            <w:tcBorders>
              <w:bottom w:val="single" w:sz="8" w:space="0" w:color="231F20"/>
            </w:tcBorders>
            <w:shd w:val="clear" w:color="auto" w:fill="CE384B"/>
          </w:tcPr>
          <w:p>
            <w:pPr>
              <w:pStyle w:val="TableParagraph"/>
              <w:spacing w:line="249" w:lineRule="auto" w:before="33"/>
              <w:ind w:left="301" w:right="288" w:hanging="1"/>
              <w:jc w:val="center"/>
              <w:rPr>
                <w:b/>
                <w:sz w:val="20"/>
              </w:rPr>
            </w:pPr>
            <w:r>
              <w:rPr>
                <w:b/>
                <w:color w:val="FFFFFF"/>
                <w:sz w:val="20"/>
              </w:rPr>
              <w:t>Cognitive</w:t>
            </w:r>
            <w:r>
              <w:rPr>
                <w:b/>
                <w:color w:val="FFFFFF"/>
                <w:spacing w:val="1"/>
                <w:sz w:val="20"/>
              </w:rPr>
              <w:t> </w:t>
            </w:r>
            <w:r>
              <w:rPr>
                <w:b/>
                <w:color w:val="FFFFFF"/>
                <w:sz w:val="20"/>
              </w:rPr>
              <w:t>Behavioral</w:t>
            </w:r>
            <w:r>
              <w:rPr>
                <w:b/>
                <w:color w:val="FFFFFF"/>
                <w:spacing w:val="1"/>
                <w:sz w:val="20"/>
              </w:rPr>
              <w:t> </w:t>
            </w:r>
            <w:r>
              <w:rPr>
                <w:b/>
                <w:color w:val="FFFFFF"/>
                <w:sz w:val="20"/>
              </w:rPr>
              <w:t>Therapy</w:t>
            </w:r>
            <w:r>
              <w:rPr>
                <w:b/>
                <w:color w:val="FFFFFF"/>
                <w:spacing w:val="-13"/>
                <w:sz w:val="20"/>
              </w:rPr>
              <w:t> </w:t>
            </w:r>
            <w:r>
              <w:rPr>
                <w:b/>
                <w:color w:val="FFFFFF"/>
                <w:sz w:val="20"/>
              </w:rPr>
              <w:t>(CBT)</w:t>
            </w:r>
          </w:p>
        </w:tc>
        <w:tc>
          <w:tcPr>
            <w:tcW w:w="1975" w:type="dxa"/>
            <w:tcBorders>
              <w:bottom w:val="single" w:sz="8" w:space="0" w:color="231F20"/>
            </w:tcBorders>
            <w:shd w:val="clear" w:color="auto" w:fill="CE384B"/>
          </w:tcPr>
          <w:p>
            <w:pPr>
              <w:pStyle w:val="TableParagraph"/>
              <w:spacing w:line="249" w:lineRule="auto" w:before="33"/>
              <w:ind w:left="476" w:right="456" w:firstLine="177"/>
              <w:rPr>
                <w:b/>
                <w:sz w:val="20"/>
              </w:rPr>
            </w:pPr>
            <w:r>
              <w:rPr>
                <w:b/>
                <w:color w:val="FFFFFF"/>
                <w:sz w:val="20"/>
              </w:rPr>
              <w:t>Patient</w:t>
            </w:r>
            <w:r>
              <w:rPr>
                <w:b/>
                <w:color w:val="FFFFFF"/>
                <w:spacing w:val="1"/>
                <w:sz w:val="20"/>
              </w:rPr>
              <w:t> </w:t>
            </w:r>
            <w:r>
              <w:rPr>
                <w:b/>
                <w:color w:val="FFFFFF"/>
                <w:spacing w:val="-1"/>
                <w:sz w:val="20"/>
              </w:rPr>
              <w:t>Navigation</w:t>
            </w:r>
          </w:p>
        </w:tc>
      </w:tr>
      <w:tr>
        <w:trPr>
          <w:trHeight w:val="603" w:hRule="atLeast"/>
        </w:trPr>
        <w:tc>
          <w:tcPr>
            <w:tcW w:w="1478" w:type="dxa"/>
            <w:tcBorders>
              <w:top w:val="single" w:sz="8" w:space="0" w:color="231F20"/>
            </w:tcBorders>
            <w:shd w:val="clear" w:color="auto" w:fill="D1E0EB"/>
          </w:tcPr>
          <w:p>
            <w:pPr>
              <w:pStyle w:val="TableParagraph"/>
              <w:spacing w:line="249" w:lineRule="auto" w:before="28"/>
              <w:ind w:left="80" w:right="684"/>
              <w:rPr>
                <w:b/>
                <w:sz w:val="20"/>
              </w:rPr>
            </w:pPr>
            <w:r>
              <w:rPr>
                <w:b/>
                <w:color w:val="231F20"/>
                <w:spacing w:val="-1"/>
                <w:sz w:val="20"/>
              </w:rPr>
              <w:t>Review</w:t>
            </w:r>
            <w:r>
              <w:rPr>
                <w:b/>
                <w:color w:val="231F20"/>
                <w:spacing w:val="-53"/>
                <w:sz w:val="20"/>
              </w:rPr>
              <w:t> </w:t>
            </w:r>
            <w:r>
              <w:rPr>
                <w:b/>
                <w:color w:val="231F20"/>
                <w:sz w:val="20"/>
              </w:rPr>
              <w:t>Rating</w:t>
            </w:r>
          </w:p>
        </w:tc>
        <w:tc>
          <w:tcPr>
            <w:tcW w:w="1728" w:type="dxa"/>
            <w:tcBorders>
              <w:top w:val="single" w:sz="8" w:space="0" w:color="231F20"/>
            </w:tcBorders>
            <w:shd w:val="clear" w:color="auto" w:fill="D1E0EB"/>
          </w:tcPr>
          <w:p>
            <w:pPr>
              <w:pStyle w:val="TableParagraph"/>
              <w:spacing w:line="249" w:lineRule="auto" w:before="28"/>
              <w:ind w:left="80" w:right="762"/>
              <w:rPr>
                <w:sz w:val="20"/>
              </w:rPr>
            </w:pPr>
            <w:r>
              <w:rPr>
                <w:color w:val="231F20"/>
                <w:sz w:val="20"/>
              </w:rPr>
              <w:t>Emerging</w:t>
            </w:r>
            <w:r>
              <w:rPr>
                <w:color w:val="231F20"/>
                <w:spacing w:val="-53"/>
                <w:sz w:val="20"/>
              </w:rPr>
              <w:t> </w:t>
            </w:r>
            <w:r>
              <w:rPr>
                <w:color w:val="231F20"/>
                <w:sz w:val="20"/>
              </w:rPr>
              <w:t>Evidence</w:t>
            </w:r>
          </w:p>
        </w:tc>
        <w:tc>
          <w:tcPr>
            <w:tcW w:w="1642" w:type="dxa"/>
            <w:tcBorders>
              <w:top w:val="single" w:sz="8" w:space="0" w:color="231F20"/>
            </w:tcBorders>
            <w:shd w:val="clear" w:color="auto" w:fill="D1E0EB"/>
          </w:tcPr>
          <w:p>
            <w:pPr>
              <w:pStyle w:val="TableParagraph"/>
              <w:spacing w:before="28"/>
              <w:ind w:left="80"/>
              <w:rPr>
                <w:sz w:val="20"/>
              </w:rPr>
            </w:pPr>
            <w:r>
              <w:rPr>
                <w:color w:val="231F20"/>
                <w:sz w:val="20"/>
              </w:rPr>
              <w:t>Strong Evidence</w:t>
            </w:r>
          </w:p>
        </w:tc>
        <w:tc>
          <w:tcPr>
            <w:tcW w:w="2016" w:type="dxa"/>
            <w:tcBorders>
              <w:top w:val="single" w:sz="8" w:space="0" w:color="231F20"/>
            </w:tcBorders>
            <w:shd w:val="clear" w:color="auto" w:fill="D1E0EB"/>
          </w:tcPr>
          <w:p>
            <w:pPr>
              <w:pStyle w:val="TableParagraph"/>
              <w:spacing w:before="28"/>
              <w:ind w:left="79"/>
              <w:rPr>
                <w:sz w:val="20"/>
              </w:rPr>
            </w:pPr>
            <w:r>
              <w:rPr>
                <w:color w:val="231F20"/>
                <w:sz w:val="20"/>
              </w:rPr>
              <w:t>Strong Evidence</w:t>
            </w:r>
          </w:p>
        </w:tc>
        <w:tc>
          <w:tcPr>
            <w:tcW w:w="1980" w:type="dxa"/>
            <w:tcBorders>
              <w:top w:val="single" w:sz="8" w:space="0" w:color="231F20"/>
            </w:tcBorders>
            <w:shd w:val="clear" w:color="auto" w:fill="D1E0EB"/>
          </w:tcPr>
          <w:p>
            <w:pPr>
              <w:pStyle w:val="TableParagraph"/>
              <w:spacing w:before="28"/>
              <w:ind w:left="79"/>
              <w:rPr>
                <w:sz w:val="20"/>
              </w:rPr>
            </w:pPr>
            <w:r>
              <w:rPr>
                <w:color w:val="231F20"/>
                <w:sz w:val="20"/>
              </w:rPr>
              <w:t>Strong Evidence</w:t>
            </w:r>
          </w:p>
        </w:tc>
        <w:tc>
          <w:tcPr>
            <w:tcW w:w="1975" w:type="dxa"/>
            <w:tcBorders>
              <w:top w:val="single" w:sz="8" w:space="0" w:color="231F20"/>
            </w:tcBorders>
            <w:shd w:val="clear" w:color="auto" w:fill="D1E0EB"/>
          </w:tcPr>
          <w:p>
            <w:pPr>
              <w:pStyle w:val="TableParagraph"/>
              <w:spacing w:before="28"/>
              <w:ind w:left="79"/>
              <w:rPr>
                <w:sz w:val="20"/>
              </w:rPr>
            </w:pPr>
            <w:r>
              <w:rPr>
                <w:color w:val="231F20"/>
                <w:sz w:val="20"/>
              </w:rPr>
              <w:t>Strong Evidence</w:t>
            </w:r>
          </w:p>
        </w:tc>
      </w:tr>
      <w:tr>
        <w:trPr>
          <w:trHeight w:val="2027" w:hRule="atLeast"/>
        </w:trPr>
        <w:tc>
          <w:tcPr>
            <w:tcW w:w="1478" w:type="dxa"/>
          </w:tcPr>
          <w:p>
            <w:pPr>
              <w:pStyle w:val="TableParagraph"/>
              <w:spacing w:line="249" w:lineRule="auto" w:before="33"/>
              <w:ind w:left="80" w:right="179"/>
              <w:rPr>
                <w:b/>
                <w:sz w:val="20"/>
              </w:rPr>
            </w:pPr>
            <w:r>
              <w:rPr>
                <w:b/>
                <w:color w:val="231F20"/>
                <w:sz w:val="20"/>
              </w:rPr>
              <w:t>Focus of the</w:t>
            </w:r>
            <w:r>
              <w:rPr>
                <w:b/>
                <w:color w:val="231F20"/>
                <w:spacing w:val="-53"/>
                <w:sz w:val="20"/>
              </w:rPr>
              <w:t> </w:t>
            </w:r>
            <w:r>
              <w:rPr>
                <w:b/>
                <w:color w:val="231F20"/>
                <w:sz w:val="20"/>
              </w:rPr>
              <w:t>practice</w:t>
            </w:r>
          </w:p>
        </w:tc>
        <w:tc>
          <w:tcPr>
            <w:tcW w:w="1728" w:type="dxa"/>
          </w:tcPr>
          <w:p>
            <w:pPr>
              <w:pStyle w:val="TableParagraph"/>
              <w:spacing w:line="249" w:lineRule="auto" w:before="33"/>
              <w:ind w:left="80" w:right="91"/>
              <w:rPr>
                <w:sz w:val="20"/>
              </w:rPr>
            </w:pPr>
            <w:r>
              <w:rPr>
                <w:color w:val="231F20"/>
                <w:sz w:val="20"/>
              </w:rPr>
              <w:t>Practices</w:t>
            </w:r>
            <w:r>
              <w:rPr>
                <w:color w:val="231F20"/>
                <w:spacing w:val="1"/>
                <w:sz w:val="20"/>
              </w:rPr>
              <w:t> </w:t>
            </w:r>
            <w:r>
              <w:rPr>
                <w:color w:val="231F20"/>
                <w:sz w:val="20"/>
              </w:rPr>
              <w:t>designed to</w:t>
            </w:r>
            <w:r>
              <w:rPr>
                <w:color w:val="231F20"/>
                <w:spacing w:val="1"/>
                <w:sz w:val="20"/>
              </w:rPr>
              <w:t> </w:t>
            </w:r>
            <w:r>
              <w:rPr>
                <w:color w:val="231F20"/>
                <w:spacing w:val="-5"/>
                <w:sz w:val="20"/>
              </w:rPr>
              <w:t>overcome barriers</w:t>
            </w:r>
            <w:r>
              <w:rPr>
                <w:color w:val="231F20"/>
                <w:spacing w:val="-53"/>
                <w:sz w:val="20"/>
              </w:rPr>
              <w:t> </w:t>
            </w:r>
            <w:r>
              <w:rPr>
                <w:color w:val="231F20"/>
                <w:spacing w:val="-4"/>
                <w:sz w:val="20"/>
              </w:rPr>
              <w:t>to initiating </w:t>
            </w:r>
            <w:r>
              <w:rPr>
                <w:color w:val="231F20"/>
                <w:spacing w:val="-3"/>
                <w:sz w:val="20"/>
              </w:rPr>
              <w:t>and</w:t>
            </w:r>
            <w:r>
              <w:rPr>
                <w:color w:val="231F20"/>
                <w:spacing w:val="-2"/>
                <w:sz w:val="20"/>
              </w:rPr>
              <w:t> </w:t>
            </w:r>
            <w:r>
              <w:rPr>
                <w:color w:val="231F20"/>
                <w:spacing w:val="-3"/>
                <w:sz w:val="20"/>
              </w:rPr>
              <w:t>sustaining </w:t>
            </w:r>
            <w:r>
              <w:rPr>
                <w:color w:val="231F20"/>
                <w:spacing w:val="-2"/>
                <w:sz w:val="20"/>
              </w:rPr>
              <w:t>PrEP</w:t>
            </w:r>
            <w:r>
              <w:rPr>
                <w:color w:val="231F20"/>
                <w:spacing w:val="-1"/>
                <w:sz w:val="20"/>
              </w:rPr>
              <w:t> </w:t>
            </w:r>
            <w:r>
              <w:rPr>
                <w:color w:val="231F20"/>
                <w:sz w:val="20"/>
              </w:rPr>
              <w:t>use.</w:t>
            </w:r>
          </w:p>
        </w:tc>
        <w:tc>
          <w:tcPr>
            <w:tcW w:w="1642" w:type="dxa"/>
          </w:tcPr>
          <w:p>
            <w:pPr>
              <w:pStyle w:val="TableParagraph"/>
              <w:spacing w:line="249" w:lineRule="auto" w:before="33"/>
              <w:ind w:left="80" w:right="89"/>
              <w:rPr>
                <w:sz w:val="20"/>
              </w:rPr>
            </w:pPr>
            <w:r>
              <w:rPr>
                <w:color w:val="231F20"/>
                <w:spacing w:val="-5"/>
                <w:sz w:val="20"/>
              </w:rPr>
              <w:t>A harm reduction</w:t>
            </w:r>
            <w:r>
              <w:rPr>
                <w:color w:val="231F20"/>
                <w:spacing w:val="-53"/>
                <w:sz w:val="20"/>
              </w:rPr>
              <w:t> </w:t>
            </w:r>
            <w:r>
              <w:rPr>
                <w:color w:val="231F20"/>
                <w:sz w:val="20"/>
              </w:rPr>
              <w:t>method for</w:t>
            </w:r>
            <w:r>
              <w:rPr>
                <w:color w:val="231F20"/>
                <w:spacing w:val="1"/>
                <w:sz w:val="20"/>
              </w:rPr>
              <w:t> </w:t>
            </w:r>
            <w:r>
              <w:rPr>
                <w:color w:val="231F20"/>
                <w:sz w:val="20"/>
              </w:rPr>
              <w:t>reducing the</w:t>
            </w:r>
            <w:r>
              <w:rPr>
                <w:color w:val="231F20"/>
                <w:spacing w:val="1"/>
                <w:sz w:val="20"/>
              </w:rPr>
              <w:t> </w:t>
            </w:r>
            <w:r>
              <w:rPr>
                <w:color w:val="231F20"/>
                <w:spacing w:val="-2"/>
                <w:sz w:val="20"/>
              </w:rPr>
              <w:t>likelihood</w:t>
            </w:r>
            <w:r>
              <w:rPr>
                <w:color w:val="231F20"/>
                <w:spacing w:val="-12"/>
                <w:sz w:val="20"/>
              </w:rPr>
              <w:t> </w:t>
            </w:r>
            <w:r>
              <w:rPr>
                <w:color w:val="231F20"/>
                <w:spacing w:val="-2"/>
                <w:sz w:val="20"/>
              </w:rPr>
              <w:t>of</w:t>
            </w:r>
          </w:p>
          <w:p>
            <w:pPr>
              <w:pStyle w:val="TableParagraph"/>
              <w:spacing w:line="249" w:lineRule="auto" w:before="3"/>
              <w:ind w:left="80" w:right="235"/>
              <w:rPr>
                <w:sz w:val="20"/>
              </w:rPr>
            </w:pPr>
            <w:r>
              <w:rPr>
                <w:color w:val="231F20"/>
                <w:spacing w:val="-3"/>
                <w:sz w:val="20"/>
              </w:rPr>
              <w:t>HIV and HCV</w:t>
            </w:r>
            <w:r>
              <w:rPr>
                <w:color w:val="231F20"/>
                <w:spacing w:val="-2"/>
                <w:sz w:val="20"/>
              </w:rPr>
              <w:t> </w:t>
            </w:r>
            <w:r>
              <w:rPr>
                <w:color w:val="231F20"/>
                <w:spacing w:val="-5"/>
                <w:sz w:val="20"/>
              </w:rPr>
              <w:t>associated </w:t>
            </w:r>
            <w:r>
              <w:rPr>
                <w:color w:val="231F20"/>
                <w:spacing w:val="-4"/>
                <w:sz w:val="20"/>
              </w:rPr>
              <w:t>with</w:t>
            </w:r>
            <w:r>
              <w:rPr>
                <w:color w:val="231F20"/>
                <w:spacing w:val="-53"/>
                <w:sz w:val="20"/>
              </w:rPr>
              <w:t> </w:t>
            </w:r>
            <w:r>
              <w:rPr>
                <w:color w:val="231F20"/>
                <w:spacing w:val="-5"/>
                <w:sz w:val="20"/>
              </w:rPr>
              <w:t>injection </w:t>
            </w:r>
            <w:r>
              <w:rPr>
                <w:color w:val="231F20"/>
                <w:spacing w:val="-4"/>
                <w:sz w:val="20"/>
              </w:rPr>
              <w:t>drug</w:t>
            </w:r>
            <w:r>
              <w:rPr>
                <w:color w:val="231F20"/>
                <w:spacing w:val="-3"/>
                <w:sz w:val="20"/>
              </w:rPr>
              <w:t> </w:t>
            </w:r>
            <w:r>
              <w:rPr>
                <w:color w:val="231F20"/>
                <w:sz w:val="20"/>
              </w:rPr>
              <w:t>use.</w:t>
            </w:r>
          </w:p>
        </w:tc>
        <w:tc>
          <w:tcPr>
            <w:tcW w:w="2016" w:type="dxa"/>
          </w:tcPr>
          <w:p>
            <w:pPr>
              <w:pStyle w:val="TableParagraph"/>
              <w:spacing w:line="249" w:lineRule="auto" w:before="33"/>
              <w:ind w:left="79" w:right="288"/>
              <w:rPr>
                <w:sz w:val="20"/>
              </w:rPr>
            </w:pPr>
            <w:r>
              <w:rPr>
                <w:color w:val="231F20"/>
                <w:spacing w:val="-5"/>
                <w:sz w:val="20"/>
              </w:rPr>
              <w:t>Focus </w:t>
            </w:r>
            <w:r>
              <w:rPr>
                <w:color w:val="231F20"/>
                <w:spacing w:val="-4"/>
                <w:sz w:val="20"/>
              </w:rPr>
              <w:t>on positively</w:t>
            </w:r>
            <w:r>
              <w:rPr>
                <w:color w:val="231F20"/>
                <w:spacing w:val="-53"/>
                <w:sz w:val="20"/>
              </w:rPr>
              <w:t> </w:t>
            </w:r>
            <w:r>
              <w:rPr>
                <w:color w:val="231F20"/>
                <w:spacing w:val="-4"/>
                <w:sz w:val="20"/>
              </w:rPr>
              <w:t>rewarding desired</w:t>
            </w:r>
            <w:r>
              <w:rPr>
                <w:color w:val="231F20"/>
                <w:spacing w:val="-3"/>
                <w:sz w:val="20"/>
              </w:rPr>
              <w:t> </w:t>
            </w:r>
            <w:r>
              <w:rPr>
                <w:color w:val="231F20"/>
                <w:sz w:val="20"/>
              </w:rPr>
              <w:t>behaviors.</w:t>
            </w:r>
          </w:p>
        </w:tc>
        <w:tc>
          <w:tcPr>
            <w:tcW w:w="1980" w:type="dxa"/>
          </w:tcPr>
          <w:p>
            <w:pPr>
              <w:pStyle w:val="TableParagraph"/>
              <w:spacing w:line="249" w:lineRule="auto" w:before="33"/>
              <w:ind w:left="79" w:right="176"/>
              <w:rPr>
                <w:sz w:val="20"/>
              </w:rPr>
            </w:pPr>
            <w:r>
              <w:rPr>
                <w:color w:val="231F20"/>
                <w:spacing w:val="-4"/>
                <w:sz w:val="20"/>
              </w:rPr>
              <w:t>Focus </w:t>
            </w:r>
            <w:r>
              <w:rPr>
                <w:color w:val="231F20"/>
                <w:spacing w:val="-3"/>
                <w:sz w:val="20"/>
              </w:rPr>
              <w:t>on helping</w:t>
            </w:r>
            <w:r>
              <w:rPr>
                <w:color w:val="231F20"/>
                <w:spacing w:val="-2"/>
                <w:sz w:val="20"/>
              </w:rPr>
              <w:t> </w:t>
            </w:r>
            <w:r>
              <w:rPr>
                <w:color w:val="231F20"/>
                <w:spacing w:val="-4"/>
                <w:sz w:val="20"/>
              </w:rPr>
              <w:t>clients improve their</w:t>
            </w:r>
            <w:r>
              <w:rPr>
                <w:color w:val="231F20"/>
                <w:spacing w:val="-53"/>
                <w:sz w:val="20"/>
              </w:rPr>
              <w:t> </w:t>
            </w:r>
            <w:r>
              <w:rPr>
                <w:color w:val="231F20"/>
                <w:spacing w:val="-3"/>
                <w:sz w:val="20"/>
              </w:rPr>
              <w:t>quality</w:t>
            </w:r>
            <w:r>
              <w:rPr>
                <w:color w:val="231F20"/>
                <w:spacing w:val="-11"/>
                <w:sz w:val="20"/>
              </w:rPr>
              <w:t> </w:t>
            </w:r>
            <w:r>
              <w:rPr>
                <w:color w:val="231F20"/>
                <w:spacing w:val="-3"/>
                <w:sz w:val="20"/>
              </w:rPr>
              <w:t>of</w:t>
            </w:r>
            <w:r>
              <w:rPr>
                <w:color w:val="231F20"/>
                <w:spacing w:val="-11"/>
                <w:sz w:val="20"/>
              </w:rPr>
              <w:t> </w:t>
            </w:r>
            <w:r>
              <w:rPr>
                <w:color w:val="231F20"/>
                <w:spacing w:val="-3"/>
                <w:sz w:val="20"/>
              </w:rPr>
              <w:t>life</w:t>
            </w:r>
            <w:r>
              <w:rPr>
                <w:color w:val="231F20"/>
                <w:spacing w:val="-10"/>
                <w:sz w:val="20"/>
              </w:rPr>
              <w:t> </w:t>
            </w:r>
            <w:r>
              <w:rPr>
                <w:color w:val="231F20"/>
                <w:spacing w:val="-3"/>
                <w:sz w:val="20"/>
              </w:rPr>
              <w:t>not</w:t>
            </w:r>
          </w:p>
          <w:p>
            <w:pPr>
              <w:pStyle w:val="TableParagraph"/>
              <w:spacing w:line="249" w:lineRule="auto" w:before="2"/>
              <w:ind w:left="79" w:right="161"/>
              <w:rPr>
                <w:sz w:val="20"/>
              </w:rPr>
            </w:pPr>
            <w:r>
              <w:rPr>
                <w:color w:val="231F20"/>
                <w:spacing w:val="-3"/>
                <w:sz w:val="20"/>
              </w:rPr>
              <w:t>by changing </w:t>
            </w:r>
            <w:r>
              <w:rPr>
                <w:color w:val="231F20"/>
                <w:spacing w:val="-2"/>
                <w:sz w:val="20"/>
              </w:rPr>
              <w:t>their</w:t>
            </w:r>
            <w:r>
              <w:rPr>
                <w:color w:val="231F20"/>
                <w:spacing w:val="-1"/>
                <w:sz w:val="20"/>
              </w:rPr>
              <w:t> </w:t>
            </w:r>
            <w:r>
              <w:rPr>
                <w:color w:val="231F20"/>
                <w:spacing w:val="-4"/>
                <w:sz w:val="20"/>
              </w:rPr>
              <w:t>circumstances, </w:t>
            </w:r>
            <w:r>
              <w:rPr>
                <w:color w:val="231F20"/>
                <w:spacing w:val="-3"/>
                <w:sz w:val="20"/>
              </w:rPr>
              <w:t>but</w:t>
            </w:r>
            <w:r>
              <w:rPr>
                <w:color w:val="231F20"/>
                <w:spacing w:val="-2"/>
                <w:sz w:val="20"/>
              </w:rPr>
              <w:t> by altering their</w:t>
            </w:r>
            <w:r>
              <w:rPr>
                <w:color w:val="231F20"/>
                <w:spacing w:val="-1"/>
                <w:sz w:val="20"/>
              </w:rPr>
              <w:t> </w:t>
            </w:r>
            <w:r>
              <w:rPr>
                <w:color w:val="231F20"/>
                <w:spacing w:val="-5"/>
                <w:sz w:val="20"/>
              </w:rPr>
              <w:t>perceptions </w:t>
            </w:r>
            <w:r>
              <w:rPr>
                <w:color w:val="231F20"/>
                <w:spacing w:val="-4"/>
                <w:sz w:val="20"/>
              </w:rPr>
              <w:t>of those</w:t>
            </w:r>
            <w:r>
              <w:rPr>
                <w:color w:val="231F20"/>
                <w:spacing w:val="-53"/>
                <w:sz w:val="20"/>
              </w:rPr>
              <w:t> </w:t>
            </w:r>
            <w:r>
              <w:rPr>
                <w:color w:val="231F20"/>
                <w:sz w:val="20"/>
              </w:rPr>
              <w:t>circumstances.</w:t>
            </w:r>
          </w:p>
        </w:tc>
        <w:tc>
          <w:tcPr>
            <w:tcW w:w="1975" w:type="dxa"/>
          </w:tcPr>
          <w:p>
            <w:pPr>
              <w:pStyle w:val="TableParagraph"/>
              <w:spacing w:line="249" w:lineRule="auto" w:before="33"/>
              <w:ind w:left="79" w:right="461"/>
              <w:jc w:val="both"/>
              <w:rPr>
                <w:sz w:val="20"/>
              </w:rPr>
            </w:pPr>
            <w:r>
              <w:rPr>
                <w:color w:val="231F20"/>
                <w:spacing w:val="-5"/>
                <w:sz w:val="20"/>
              </w:rPr>
              <w:t>A client-centered</w:t>
            </w:r>
            <w:r>
              <w:rPr>
                <w:color w:val="231F20"/>
                <w:spacing w:val="-53"/>
                <w:sz w:val="20"/>
              </w:rPr>
              <w:t> </w:t>
            </w:r>
            <w:r>
              <w:rPr>
                <w:color w:val="231F20"/>
                <w:spacing w:val="-5"/>
                <w:sz w:val="20"/>
              </w:rPr>
              <w:t>approach </w:t>
            </w:r>
            <w:r>
              <w:rPr>
                <w:color w:val="231F20"/>
                <w:spacing w:val="-4"/>
                <w:sz w:val="20"/>
              </w:rPr>
              <w:t>aimed</w:t>
            </w:r>
            <w:r>
              <w:rPr>
                <w:color w:val="231F20"/>
                <w:spacing w:val="-3"/>
                <w:sz w:val="20"/>
              </w:rPr>
              <w:t> at</w:t>
            </w:r>
            <w:r>
              <w:rPr>
                <w:color w:val="231F20"/>
                <w:spacing w:val="-11"/>
                <w:sz w:val="20"/>
              </w:rPr>
              <w:t> </w:t>
            </w:r>
            <w:r>
              <w:rPr>
                <w:color w:val="231F20"/>
                <w:spacing w:val="-3"/>
                <w:sz w:val="20"/>
              </w:rPr>
              <w:t>improving</w:t>
            </w:r>
          </w:p>
          <w:p>
            <w:pPr>
              <w:pStyle w:val="TableParagraph"/>
              <w:spacing w:line="249" w:lineRule="auto" w:before="2"/>
              <w:ind w:left="79" w:right="232"/>
              <w:rPr>
                <w:sz w:val="20"/>
              </w:rPr>
            </w:pPr>
            <w:r>
              <w:rPr>
                <w:color w:val="231F20"/>
                <w:spacing w:val="-5"/>
                <w:sz w:val="20"/>
              </w:rPr>
              <w:t>engagement </w:t>
            </w:r>
            <w:r>
              <w:rPr>
                <w:color w:val="231F20"/>
                <w:spacing w:val="-4"/>
                <w:sz w:val="20"/>
              </w:rPr>
              <w:t>in HIV</w:t>
            </w:r>
            <w:r>
              <w:rPr>
                <w:color w:val="231F20"/>
                <w:spacing w:val="-53"/>
                <w:sz w:val="20"/>
              </w:rPr>
              <w:t> </w:t>
            </w:r>
            <w:r>
              <w:rPr>
                <w:color w:val="231F20"/>
                <w:spacing w:val="-5"/>
                <w:sz w:val="20"/>
              </w:rPr>
              <w:t>care </w:t>
            </w:r>
            <w:r>
              <w:rPr>
                <w:color w:val="231F20"/>
                <w:spacing w:val="-4"/>
                <w:sz w:val="20"/>
              </w:rPr>
              <w:t>by addressing</w:t>
            </w:r>
            <w:r>
              <w:rPr>
                <w:color w:val="231F20"/>
                <w:spacing w:val="-53"/>
                <w:sz w:val="20"/>
              </w:rPr>
              <w:t> </w:t>
            </w:r>
            <w:r>
              <w:rPr>
                <w:color w:val="231F20"/>
                <w:spacing w:val="-3"/>
                <w:sz w:val="20"/>
              </w:rPr>
              <w:t>client and system</w:t>
            </w:r>
            <w:r>
              <w:rPr>
                <w:color w:val="231F20"/>
                <w:spacing w:val="-2"/>
                <w:sz w:val="20"/>
              </w:rPr>
              <w:t> </w:t>
            </w:r>
            <w:r>
              <w:rPr>
                <w:color w:val="231F20"/>
                <w:sz w:val="20"/>
              </w:rPr>
              <w:t>barriers.</w:t>
            </w:r>
          </w:p>
        </w:tc>
      </w:tr>
      <w:tr>
        <w:trPr>
          <w:trHeight w:val="1314" w:hRule="atLeast"/>
        </w:trPr>
        <w:tc>
          <w:tcPr>
            <w:tcW w:w="1478" w:type="dxa"/>
            <w:shd w:val="clear" w:color="auto" w:fill="D1E0EB"/>
          </w:tcPr>
          <w:p>
            <w:pPr>
              <w:pStyle w:val="TableParagraph"/>
              <w:spacing w:line="249" w:lineRule="auto" w:before="33"/>
              <w:ind w:left="80" w:right="101"/>
              <w:rPr>
                <w:b/>
                <w:sz w:val="20"/>
              </w:rPr>
            </w:pPr>
            <w:r>
              <w:rPr>
                <w:b/>
                <w:color w:val="231F20"/>
                <w:sz w:val="20"/>
              </w:rPr>
              <w:t>Can be used</w:t>
            </w:r>
            <w:r>
              <w:rPr>
                <w:b/>
                <w:color w:val="231F20"/>
                <w:spacing w:val="1"/>
                <w:sz w:val="20"/>
              </w:rPr>
              <w:t> </w:t>
            </w:r>
            <w:r>
              <w:rPr>
                <w:b/>
                <w:color w:val="231F20"/>
                <w:sz w:val="20"/>
              </w:rPr>
              <w:t>in out-patient</w:t>
            </w:r>
            <w:r>
              <w:rPr>
                <w:b/>
                <w:color w:val="231F20"/>
                <w:spacing w:val="-53"/>
                <w:sz w:val="20"/>
              </w:rPr>
              <w:t> </w:t>
            </w:r>
            <w:r>
              <w:rPr>
                <w:b/>
                <w:color w:val="231F20"/>
                <w:sz w:val="20"/>
              </w:rPr>
              <w:t>healthcare</w:t>
            </w:r>
            <w:r>
              <w:rPr>
                <w:b/>
                <w:color w:val="231F20"/>
                <w:spacing w:val="1"/>
                <w:sz w:val="20"/>
              </w:rPr>
              <w:t> </w:t>
            </w:r>
            <w:r>
              <w:rPr>
                <w:b/>
                <w:color w:val="231F20"/>
                <w:sz w:val="20"/>
              </w:rPr>
              <w:t>settings</w:t>
            </w:r>
          </w:p>
        </w:tc>
        <w:tc>
          <w:tcPr>
            <w:tcW w:w="1728" w:type="dxa"/>
            <w:shd w:val="clear" w:color="auto" w:fill="D1E0EB"/>
          </w:tcPr>
          <w:p>
            <w:pPr>
              <w:pStyle w:val="TableParagraph"/>
              <w:rPr>
                <w:rFonts w:ascii="Arial Black"/>
                <w:sz w:val="22"/>
              </w:rPr>
            </w:pPr>
          </w:p>
          <w:p>
            <w:pPr>
              <w:pStyle w:val="TableParagraph"/>
              <w:spacing w:before="4"/>
              <w:rPr>
                <w:rFonts w:ascii="Arial Black"/>
                <w:sz w:val="17"/>
              </w:rPr>
            </w:pPr>
          </w:p>
          <w:p>
            <w:pPr>
              <w:pStyle w:val="TableParagraph"/>
              <w:ind w:right="773"/>
              <w:jc w:val="right"/>
              <w:rPr>
                <w:rFonts w:ascii="Wingdings" w:hAnsi="Wingdings"/>
                <w:sz w:val="20"/>
              </w:rPr>
            </w:pPr>
            <w:r>
              <w:rPr>
                <w:rFonts w:ascii="Wingdings" w:hAnsi="Wingdings"/>
                <w:color w:val="231F20"/>
                <w:sz w:val="20"/>
              </w:rPr>
              <w:t></w:t>
            </w:r>
          </w:p>
        </w:tc>
        <w:tc>
          <w:tcPr>
            <w:tcW w:w="1642" w:type="dxa"/>
            <w:shd w:val="clear" w:color="auto" w:fill="D1E0EB"/>
          </w:tcPr>
          <w:p>
            <w:pPr>
              <w:pStyle w:val="TableParagraph"/>
              <w:rPr>
                <w:rFonts w:ascii="Arial Black"/>
                <w:sz w:val="22"/>
              </w:rPr>
            </w:pPr>
          </w:p>
          <w:p>
            <w:pPr>
              <w:pStyle w:val="TableParagraph"/>
              <w:spacing w:before="4"/>
              <w:rPr>
                <w:rFonts w:ascii="Arial Black"/>
                <w:sz w:val="17"/>
              </w:rPr>
            </w:pPr>
          </w:p>
          <w:p>
            <w:pPr>
              <w:pStyle w:val="TableParagraph"/>
              <w:ind w:left="10"/>
              <w:jc w:val="center"/>
              <w:rPr>
                <w:rFonts w:ascii="Wingdings" w:hAnsi="Wingdings"/>
                <w:sz w:val="20"/>
              </w:rPr>
            </w:pPr>
            <w:r>
              <w:rPr>
                <w:rFonts w:ascii="Wingdings" w:hAnsi="Wingdings"/>
                <w:color w:val="231F20"/>
                <w:sz w:val="20"/>
              </w:rPr>
              <w:t></w:t>
            </w:r>
          </w:p>
        </w:tc>
        <w:tc>
          <w:tcPr>
            <w:tcW w:w="2016" w:type="dxa"/>
            <w:shd w:val="clear" w:color="auto" w:fill="D1E0EB"/>
          </w:tcPr>
          <w:p>
            <w:pPr>
              <w:pStyle w:val="TableParagraph"/>
              <w:rPr>
                <w:rFonts w:ascii="Arial Black"/>
                <w:sz w:val="22"/>
              </w:rPr>
            </w:pPr>
          </w:p>
          <w:p>
            <w:pPr>
              <w:pStyle w:val="TableParagraph"/>
              <w:spacing w:before="4"/>
              <w:rPr>
                <w:rFonts w:ascii="Arial Black"/>
                <w:sz w:val="17"/>
              </w:rPr>
            </w:pPr>
          </w:p>
          <w:p>
            <w:pPr>
              <w:pStyle w:val="TableParagraph"/>
              <w:ind w:left="9"/>
              <w:jc w:val="center"/>
              <w:rPr>
                <w:rFonts w:ascii="Wingdings" w:hAnsi="Wingdings"/>
                <w:sz w:val="20"/>
              </w:rPr>
            </w:pPr>
            <w:r>
              <w:rPr>
                <w:rFonts w:ascii="Wingdings" w:hAnsi="Wingdings"/>
                <w:color w:val="231F20"/>
                <w:sz w:val="20"/>
              </w:rPr>
              <w:t></w:t>
            </w:r>
          </w:p>
        </w:tc>
        <w:tc>
          <w:tcPr>
            <w:tcW w:w="1980" w:type="dxa"/>
            <w:shd w:val="clear" w:color="auto" w:fill="D1E0EB"/>
          </w:tcPr>
          <w:p>
            <w:pPr>
              <w:pStyle w:val="TableParagraph"/>
              <w:rPr>
                <w:rFonts w:ascii="Arial Black"/>
                <w:sz w:val="22"/>
              </w:rPr>
            </w:pPr>
          </w:p>
          <w:p>
            <w:pPr>
              <w:pStyle w:val="TableParagraph"/>
              <w:spacing w:before="4"/>
              <w:rPr>
                <w:rFonts w:ascii="Arial Black"/>
                <w:sz w:val="17"/>
              </w:rPr>
            </w:pPr>
          </w:p>
          <w:p>
            <w:pPr>
              <w:pStyle w:val="TableParagraph"/>
              <w:ind w:left="9"/>
              <w:jc w:val="center"/>
              <w:rPr>
                <w:rFonts w:ascii="Wingdings" w:hAnsi="Wingdings"/>
                <w:sz w:val="20"/>
              </w:rPr>
            </w:pPr>
            <w:r>
              <w:rPr>
                <w:rFonts w:ascii="Wingdings" w:hAnsi="Wingdings"/>
                <w:color w:val="231F20"/>
                <w:sz w:val="20"/>
              </w:rPr>
              <w:t></w:t>
            </w:r>
          </w:p>
        </w:tc>
        <w:tc>
          <w:tcPr>
            <w:tcW w:w="1975" w:type="dxa"/>
            <w:shd w:val="clear" w:color="auto" w:fill="D1E0EB"/>
          </w:tcPr>
          <w:p>
            <w:pPr>
              <w:pStyle w:val="TableParagraph"/>
              <w:rPr>
                <w:rFonts w:ascii="Arial Black"/>
                <w:sz w:val="22"/>
              </w:rPr>
            </w:pPr>
          </w:p>
          <w:p>
            <w:pPr>
              <w:pStyle w:val="TableParagraph"/>
              <w:spacing w:before="4"/>
              <w:rPr>
                <w:rFonts w:ascii="Arial Black"/>
                <w:sz w:val="17"/>
              </w:rPr>
            </w:pPr>
          </w:p>
          <w:p>
            <w:pPr>
              <w:pStyle w:val="TableParagraph"/>
              <w:ind w:left="9"/>
              <w:jc w:val="center"/>
              <w:rPr>
                <w:rFonts w:ascii="Wingdings" w:hAnsi="Wingdings"/>
                <w:sz w:val="20"/>
              </w:rPr>
            </w:pPr>
            <w:r>
              <w:rPr>
                <w:rFonts w:ascii="Wingdings" w:hAnsi="Wingdings"/>
                <w:color w:val="231F20"/>
                <w:sz w:val="20"/>
              </w:rPr>
              <w:t></w:t>
            </w:r>
          </w:p>
        </w:tc>
      </w:tr>
      <w:tr>
        <w:trPr>
          <w:trHeight w:val="1343" w:hRule="atLeast"/>
        </w:trPr>
        <w:tc>
          <w:tcPr>
            <w:tcW w:w="1478" w:type="dxa"/>
          </w:tcPr>
          <w:p>
            <w:pPr>
              <w:pStyle w:val="TableParagraph"/>
              <w:spacing w:line="249" w:lineRule="auto" w:before="33"/>
              <w:ind w:left="79" w:right="179"/>
              <w:rPr>
                <w:b/>
                <w:sz w:val="20"/>
              </w:rPr>
            </w:pPr>
            <w:r>
              <w:rPr>
                <w:b/>
                <w:color w:val="231F20"/>
                <w:sz w:val="20"/>
              </w:rPr>
              <w:t>Can be used</w:t>
            </w:r>
            <w:r>
              <w:rPr>
                <w:b/>
                <w:color w:val="231F20"/>
                <w:spacing w:val="-53"/>
                <w:sz w:val="20"/>
              </w:rPr>
              <w:t> </w:t>
            </w:r>
            <w:r>
              <w:rPr>
                <w:b/>
                <w:color w:val="231F20"/>
                <w:sz w:val="20"/>
              </w:rPr>
              <w:t>in in-patient</w:t>
            </w:r>
            <w:r>
              <w:rPr>
                <w:b/>
                <w:color w:val="231F20"/>
                <w:spacing w:val="1"/>
                <w:sz w:val="20"/>
              </w:rPr>
              <w:t> </w:t>
            </w:r>
            <w:r>
              <w:rPr>
                <w:b/>
                <w:color w:val="231F20"/>
                <w:sz w:val="20"/>
              </w:rPr>
              <w:t>healthcare</w:t>
            </w:r>
            <w:r>
              <w:rPr>
                <w:b/>
                <w:color w:val="231F20"/>
                <w:spacing w:val="1"/>
                <w:sz w:val="20"/>
              </w:rPr>
              <w:t> </w:t>
            </w:r>
            <w:r>
              <w:rPr>
                <w:b/>
                <w:color w:val="231F20"/>
                <w:sz w:val="20"/>
              </w:rPr>
              <w:t>settings</w:t>
            </w:r>
          </w:p>
        </w:tc>
        <w:tc>
          <w:tcPr>
            <w:tcW w:w="1728" w:type="dxa"/>
          </w:tcPr>
          <w:p>
            <w:pPr>
              <w:pStyle w:val="TableParagraph"/>
              <w:rPr>
                <w:rFonts w:ascii="Arial Black"/>
                <w:sz w:val="22"/>
              </w:rPr>
            </w:pPr>
          </w:p>
          <w:p>
            <w:pPr>
              <w:pStyle w:val="TableParagraph"/>
              <w:spacing w:before="4"/>
              <w:rPr>
                <w:rFonts w:ascii="Arial Black"/>
                <w:sz w:val="18"/>
              </w:rPr>
            </w:pPr>
          </w:p>
          <w:p>
            <w:pPr>
              <w:pStyle w:val="TableParagraph"/>
              <w:spacing w:before="1"/>
              <w:ind w:right="773"/>
              <w:jc w:val="right"/>
              <w:rPr>
                <w:rFonts w:ascii="Wingdings" w:hAnsi="Wingdings"/>
                <w:sz w:val="20"/>
              </w:rPr>
            </w:pPr>
            <w:r>
              <w:rPr>
                <w:rFonts w:ascii="Wingdings" w:hAnsi="Wingdings"/>
                <w:color w:val="231F20"/>
                <w:sz w:val="20"/>
              </w:rPr>
              <w:t></w:t>
            </w:r>
          </w:p>
        </w:tc>
        <w:tc>
          <w:tcPr>
            <w:tcW w:w="1642" w:type="dxa"/>
          </w:tcPr>
          <w:p>
            <w:pPr>
              <w:pStyle w:val="TableParagraph"/>
              <w:rPr>
                <w:rFonts w:ascii="Arial Black"/>
                <w:sz w:val="22"/>
              </w:rPr>
            </w:pPr>
          </w:p>
          <w:p>
            <w:pPr>
              <w:pStyle w:val="TableParagraph"/>
              <w:spacing w:before="6"/>
              <w:rPr>
                <w:rFonts w:ascii="Arial Black"/>
                <w:sz w:val="17"/>
              </w:rPr>
            </w:pPr>
          </w:p>
          <w:p>
            <w:pPr>
              <w:pStyle w:val="TableParagraph"/>
              <w:spacing w:before="1"/>
              <w:ind w:left="9"/>
              <w:jc w:val="center"/>
              <w:rPr>
                <w:sz w:val="20"/>
              </w:rPr>
            </w:pPr>
            <w:r>
              <w:rPr>
                <w:color w:val="231F20"/>
                <w:sz w:val="20"/>
              </w:rPr>
              <w:t>-</w:t>
            </w:r>
          </w:p>
        </w:tc>
        <w:tc>
          <w:tcPr>
            <w:tcW w:w="2016" w:type="dxa"/>
          </w:tcPr>
          <w:p>
            <w:pPr>
              <w:pStyle w:val="TableParagraph"/>
              <w:rPr>
                <w:rFonts w:ascii="Arial Black"/>
                <w:sz w:val="22"/>
              </w:rPr>
            </w:pPr>
          </w:p>
          <w:p>
            <w:pPr>
              <w:pStyle w:val="TableParagraph"/>
              <w:spacing w:before="4"/>
              <w:rPr>
                <w:rFonts w:ascii="Arial Black"/>
                <w:sz w:val="18"/>
              </w:rPr>
            </w:pPr>
          </w:p>
          <w:p>
            <w:pPr>
              <w:pStyle w:val="TableParagraph"/>
              <w:spacing w:before="1"/>
              <w:ind w:left="9"/>
              <w:jc w:val="center"/>
              <w:rPr>
                <w:rFonts w:ascii="Wingdings" w:hAnsi="Wingdings"/>
                <w:sz w:val="20"/>
              </w:rPr>
            </w:pPr>
            <w:r>
              <w:rPr>
                <w:rFonts w:ascii="Wingdings" w:hAnsi="Wingdings"/>
                <w:color w:val="231F20"/>
                <w:sz w:val="20"/>
              </w:rPr>
              <w:t></w:t>
            </w:r>
          </w:p>
        </w:tc>
        <w:tc>
          <w:tcPr>
            <w:tcW w:w="1980" w:type="dxa"/>
          </w:tcPr>
          <w:p>
            <w:pPr>
              <w:pStyle w:val="TableParagraph"/>
              <w:rPr>
                <w:rFonts w:ascii="Arial Black"/>
                <w:sz w:val="22"/>
              </w:rPr>
            </w:pPr>
          </w:p>
          <w:p>
            <w:pPr>
              <w:pStyle w:val="TableParagraph"/>
              <w:spacing w:before="4"/>
              <w:rPr>
                <w:rFonts w:ascii="Arial Black"/>
                <w:sz w:val="18"/>
              </w:rPr>
            </w:pPr>
          </w:p>
          <w:p>
            <w:pPr>
              <w:pStyle w:val="TableParagraph"/>
              <w:spacing w:before="1"/>
              <w:ind w:left="9"/>
              <w:jc w:val="center"/>
              <w:rPr>
                <w:rFonts w:ascii="Wingdings" w:hAnsi="Wingdings"/>
                <w:sz w:val="20"/>
              </w:rPr>
            </w:pPr>
            <w:r>
              <w:rPr>
                <w:rFonts w:ascii="Wingdings" w:hAnsi="Wingdings"/>
                <w:color w:val="231F20"/>
                <w:sz w:val="20"/>
              </w:rPr>
              <w:t></w:t>
            </w:r>
          </w:p>
        </w:tc>
        <w:tc>
          <w:tcPr>
            <w:tcW w:w="1975" w:type="dxa"/>
          </w:tcPr>
          <w:p>
            <w:pPr>
              <w:pStyle w:val="TableParagraph"/>
              <w:rPr>
                <w:rFonts w:ascii="Arial Black"/>
                <w:sz w:val="22"/>
              </w:rPr>
            </w:pPr>
          </w:p>
          <w:p>
            <w:pPr>
              <w:pStyle w:val="TableParagraph"/>
              <w:spacing w:before="4"/>
              <w:rPr>
                <w:rFonts w:ascii="Arial Black"/>
                <w:sz w:val="18"/>
              </w:rPr>
            </w:pPr>
          </w:p>
          <w:p>
            <w:pPr>
              <w:pStyle w:val="TableParagraph"/>
              <w:spacing w:before="1"/>
              <w:ind w:left="9"/>
              <w:jc w:val="center"/>
              <w:rPr>
                <w:rFonts w:ascii="Wingdings" w:hAnsi="Wingdings"/>
                <w:sz w:val="20"/>
              </w:rPr>
            </w:pPr>
            <w:r>
              <w:rPr>
                <w:rFonts w:ascii="Wingdings" w:hAnsi="Wingdings"/>
                <w:color w:val="231F20"/>
                <w:sz w:val="20"/>
              </w:rPr>
              <w:t></w:t>
            </w:r>
          </w:p>
        </w:tc>
      </w:tr>
      <w:tr>
        <w:trPr>
          <w:trHeight w:val="825" w:hRule="atLeast"/>
        </w:trPr>
        <w:tc>
          <w:tcPr>
            <w:tcW w:w="1478" w:type="dxa"/>
            <w:shd w:val="clear" w:color="auto" w:fill="D1E0EB"/>
          </w:tcPr>
          <w:p>
            <w:pPr>
              <w:pStyle w:val="TableParagraph"/>
              <w:spacing w:line="249" w:lineRule="auto" w:before="33"/>
              <w:ind w:left="79" w:right="541"/>
              <w:jc w:val="both"/>
              <w:rPr>
                <w:b/>
                <w:sz w:val="20"/>
              </w:rPr>
            </w:pPr>
            <w:r>
              <w:rPr>
                <w:b/>
                <w:color w:val="231F20"/>
                <w:sz w:val="20"/>
              </w:rPr>
              <w:t>Specific</w:t>
            </w:r>
            <w:r>
              <w:rPr>
                <w:b/>
                <w:color w:val="231F20"/>
                <w:spacing w:val="1"/>
                <w:sz w:val="20"/>
              </w:rPr>
              <w:t> </w:t>
            </w:r>
            <w:r>
              <w:rPr>
                <w:b/>
                <w:color w:val="231F20"/>
                <w:sz w:val="20"/>
              </w:rPr>
              <w:t>training</w:t>
            </w:r>
            <w:r>
              <w:rPr>
                <w:b/>
                <w:color w:val="231F20"/>
                <w:spacing w:val="1"/>
                <w:sz w:val="20"/>
              </w:rPr>
              <w:t> </w:t>
            </w:r>
            <w:r>
              <w:rPr>
                <w:b/>
                <w:color w:val="231F20"/>
                <w:spacing w:val="-1"/>
                <w:sz w:val="20"/>
              </w:rPr>
              <w:t>available</w:t>
            </w:r>
          </w:p>
        </w:tc>
        <w:tc>
          <w:tcPr>
            <w:tcW w:w="1728" w:type="dxa"/>
            <w:shd w:val="clear" w:color="auto" w:fill="D1E0EB"/>
          </w:tcPr>
          <w:p>
            <w:pPr>
              <w:pStyle w:val="TableParagraph"/>
              <w:spacing w:before="13"/>
              <w:rPr>
                <w:rFonts w:ascii="Arial Black"/>
                <w:sz w:val="21"/>
              </w:rPr>
            </w:pPr>
          </w:p>
          <w:p>
            <w:pPr>
              <w:pStyle w:val="TableParagraph"/>
              <w:ind w:right="773"/>
              <w:jc w:val="right"/>
              <w:rPr>
                <w:rFonts w:ascii="Wingdings" w:hAnsi="Wingdings"/>
                <w:sz w:val="20"/>
              </w:rPr>
            </w:pPr>
            <w:r>
              <w:rPr>
                <w:rFonts w:ascii="Wingdings" w:hAnsi="Wingdings"/>
                <w:color w:val="231F20"/>
                <w:sz w:val="20"/>
              </w:rPr>
              <w:t></w:t>
            </w:r>
          </w:p>
        </w:tc>
        <w:tc>
          <w:tcPr>
            <w:tcW w:w="1642" w:type="dxa"/>
            <w:shd w:val="clear" w:color="auto" w:fill="D1E0EB"/>
          </w:tcPr>
          <w:p>
            <w:pPr>
              <w:pStyle w:val="TableParagraph"/>
              <w:spacing w:before="13"/>
              <w:rPr>
                <w:rFonts w:ascii="Arial Black"/>
                <w:sz w:val="21"/>
              </w:rPr>
            </w:pPr>
          </w:p>
          <w:p>
            <w:pPr>
              <w:pStyle w:val="TableParagraph"/>
              <w:ind w:left="9"/>
              <w:jc w:val="center"/>
              <w:rPr>
                <w:rFonts w:ascii="Wingdings" w:hAnsi="Wingdings"/>
                <w:sz w:val="20"/>
              </w:rPr>
            </w:pPr>
            <w:r>
              <w:rPr>
                <w:rFonts w:ascii="Wingdings" w:hAnsi="Wingdings"/>
                <w:color w:val="231F20"/>
                <w:sz w:val="20"/>
              </w:rPr>
              <w:t></w:t>
            </w:r>
          </w:p>
        </w:tc>
        <w:tc>
          <w:tcPr>
            <w:tcW w:w="2016" w:type="dxa"/>
            <w:shd w:val="clear" w:color="auto" w:fill="D1E0EB"/>
          </w:tcPr>
          <w:p>
            <w:pPr>
              <w:pStyle w:val="TableParagraph"/>
              <w:spacing w:before="1"/>
              <w:rPr>
                <w:rFonts w:ascii="Arial Black"/>
                <w:sz w:val="21"/>
              </w:rPr>
            </w:pPr>
          </w:p>
          <w:p>
            <w:pPr>
              <w:pStyle w:val="TableParagraph"/>
              <w:ind w:left="8"/>
              <w:jc w:val="center"/>
              <w:rPr>
                <w:sz w:val="20"/>
              </w:rPr>
            </w:pPr>
            <w:r>
              <w:rPr>
                <w:color w:val="231F20"/>
                <w:sz w:val="20"/>
              </w:rPr>
              <w:t>-</w:t>
            </w:r>
          </w:p>
        </w:tc>
        <w:tc>
          <w:tcPr>
            <w:tcW w:w="1980" w:type="dxa"/>
            <w:shd w:val="clear" w:color="auto" w:fill="D1E0EB"/>
          </w:tcPr>
          <w:p>
            <w:pPr>
              <w:pStyle w:val="TableParagraph"/>
              <w:spacing w:before="13"/>
              <w:rPr>
                <w:rFonts w:ascii="Arial Black"/>
                <w:sz w:val="21"/>
              </w:rPr>
            </w:pPr>
          </w:p>
          <w:p>
            <w:pPr>
              <w:pStyle w:val="TableParagraph"/>
              <w:ind w:left="8"/>
              <w:jc w:val="center"/>
              <w:rPr>
                <w:rFonts w:ascii="Wingdings" w:hAnsi="Wingdings"/>
                <w:sz w:val="20"/>
              </w:rPr>
            </w:pPr>
            <w:r>
              <w:rPr>
                <w:rFonts w:ascii="Wingdings" w:hAnsi="Wingdings"/>
                <w:color w:val="231F20"/>
                <w:sz w:val="20"/>
              </w:rPr>
              <w:t></w:t>
            </w:r>
          </w:p>
        </w:tc>
        <w:tc>
          <w:tcPr>
            <w:tcW w:w="1975" w:type="dxa"/>
            <w:shd w:val="clear" w:color="auto" w:fill="D1E0EB"/>
          </w:tcPr>
          <w:p>
            <w:pPr>
              <w:pStyle w:val="TableParagraph"/>
              <w:spacing w:before="13"/>
              <w:rPr>
                <w:rFonts w:ascii="Arial Black"/>
                <w:sz w:val="21"/>
              </w:rPr>
            </w:pPr>
          </w:p>
          <w:p>
            <w:pPr>
              <w:pStyle w:val="TableParagraph"/>
              <w:ind w:left="8"/>
              <w:jc w:val="center"/>
              <w:rPr>
                <w:rFonts w:ascii="Wingdings" w:hAnsi="Wingdings"/>
                <w:sz w:val="20"/>
              </w:rPr>
            </w:pPr>
            <w:r>
              <w:rPr>
                <w:rFonts w:ascii="Wingdings" w:hAnsi="Wingdings"/>
                <w:color w:val="231F20"/>
                <w:sz w:val="20"/>
              </w:rPr>
              <w:t></w:t>
            </w:r>
          </w:p>
        </w:tc>
      </w:tr>
      <w:tr>
        <w:trPr>
          <w:trHeight w:val="825" w:hRule="atLeast"/>
        </w:trPr>
        <w:tc>
          <w:tcPr>
            <w:tcW w:w="1478" w:type="dxa"/>
          </w:tcPr>
          <w:p>
            <w:pPr>
              <w:pStyle w:val="TableParagraph"/>
              <w:spacing w:line="249" w:lineRule="auto" w:before="33"/>
              <w:ind w:left="79" w:right="190"/>
              <w:rPr>
                <w:b/>
                <w:sz w:val="20"/>
              </w:rPr>
            </w:pPr>
            <w:r>
              <w:rPr>
                <w:b/>
                <w:color w:val="231F20"/>
                <w:sz w:val="20"/>
              </w:rPr>
              <w:t>Can be</w:t>
            </w:r>
            <w:r>
              <w:rPr>
                <w:b/>
                <w:color w:val="231F20"/>
                <w:spacing w:val="1"/>
                <w:sz w:val="20"/>
              </w:rPr>
              <w:t> </w:t>
            </w:r>
            <w:r>
              <w:rPr>
                <w:b/>
                <w:color w:val="231F20"/>
                <w:sz w:val="20"/>
              </w:rPr>
              <w:t>practiced by</w:t>
            </w:r>
            <w:r>
              <w:rPr>
                <w:b/>
                <w:color w:val="231F20"/>
                <w:spacing w:val="-53"/>
                <w:sz w:val="20"/>
              </w:rPr>
              <w:t> </w:t>
            </w:r>
            <w:r>
              <w:rPr>
                <w:b/>
                <w:color w:val="231F20"/>
                <w:sz w:val="20"/>
              </w:rPr>
              <w:t>peers</w:t>
            </w:r>
          </w:p>
        </w:tc>
        <w:tc>
          <w:tcPr>
            <w:tcW w:w="1728" w:type="dxa"/>
          </w:tcPr>
          <w:p>
            <w:pPr>
              <w:pStyle w:val="TableParagraph"/>
              <w:spacing w:before="1"/>
              <w:rPr>
                <w:rFonts w:ascii="Arial Black"/>
                <w:sz w:val="21"/>
              </w:rPr>
            </w:pPr>
          </w:p>
          <w:p>
            <w:pPr>
              <w:pStyle w:val="TableParagraph"/>
              <w:ind w:right="819"/>
              <w:jc w:val="right"/>
              <w:rPr>
                <w:sz w:val="20"/>
              </w:rPr>
            </w:pPr>
            <w:r>
              <w:rPr>
                <w:color w:val="231F20"/>
                <w:sz w:val="20"/>
              </w:rPr>
              <w:t>-</w:t>
            </w:r>
          </w:p>
        </w:tc>
        <w:tc>
          <w:tcPr>
            <w:tcW w:w="1642" w:type="dxa"/>
          </w:tcPr>
          <w:p>
            <w:pPr>
              <w:pStyle w:val="TableParagraph"/>
              <w:spacing w:before="13"/>
              <w:rPr>
                <w:rFonts w:ascii="Arial Black"/>
                <w:sz w:val="21"/>
              </w:rPr>
            </w:pPr>
          </w:p>
          <w:p>
            <w:pPr>
              <w:pStyle w:val="TableParagraph"/>
              <w:ind w:left="8"/>
              <w:jc w:val="center"/>
              <w:rPr>
                <w:rFonts w:ascii="Wingdings" w:hAnsi="Wingdings"/>
                <w:sz w:val="20"/>
              </w:rPr>
            </w:pPr>
            <w:r>
              <w:rPr>
                <w:rFonts w:ascii="Wingdings" w:hAnsi="Wingdings"/>
                <w:color w:val="231F20"/>
                <w:sz w:val="20"/>
              </w:rPr>
              <w:t></w:t>
            </w:r>
          </w:p>
        </w:tc>
        <w:tc>
          <w:tcPr>
            <w:tcW w:w="2016" w:type="dxa"/>
          </w:tcPr>
          <w:p>
            <w:pPr>
              <w:pStyle w:val="TableParagraph"/>
              <w:spacing w:before="1"/>
              <w:rPr>
                <w:rFonts w:ascii="Arial Black"/>
                <w:sz w:val="21"/>
              </w:rPr>
            </w:pPr>
          </w:p>
          <w:p>
            <w:pPr>
              <w:pStyle w:val="TableParagraph"/>
              <w:ind w:left="8"/>
              <w:jc w:val="center"/>
              <w:rPr>
                <w:sz w:val="20"/>
              </w:rPr>
            </w:pPr>
            <w:r>
              <w:rPr>
                <w:color w:val="231F20"/>
                <w:sz w:val="20"/>
              </w:rPr>
              <w:t>-</w:t>
            </w:r>
          </w:p>
        </w:tc>
        <w:tc>
          <w:tcPr>
            <w:tcW w:w="1980" w:type="dxa"/>
          </w:tcPr>
          <w:p>
            <w:pPr>
              <w:pStyle w:val="TableParagraph"/>
              <w:spacing w:before="1"/>
              <w:rPr>
                <w:rFonts w:ascii="Arial Black"/>
                <w:sz w:val="21"/>
              </w:rPr>
            </w:pPr>
          </w:p>
          <w:p>
            <w:pPr>
              <w:pStyle w:val="TableParagraph"/>
              <w:ind w:left="8"/>
              <w:jc w:val="center"/>
              <w:rPr>
                <w:sz w:val="20"/>
              </w:rPr>
            </w:pPr>
            <w:r>
              <w:rPr>
                <w:color w:val="231F20"/>
                <w:sz w:val="20"/>
              </w:rPr>
              <w:t>-</w:t>
            </w:r>
          </w:p>
        </w:tc>
        <w:tc>
          <w:tcPr>
            <w:tcW w:w="1975" w:type="dxa"/>
          </w:tcPr>
          <w:p>
            <w:pPr>
              <w:pStyle w:val="TableParagraph"/>
              <w:spacing w:before="13"/>
              <w:rPr>
                <w:rFonts w:ascii="Arial Black"/>
                <w:sz w:val="21"/>
              </w:rPr>
            </w:pPr>
          </w:p>
          <w:p>
            <w:pPr>
              <w:pStyle w:val="TableParagraph"/>
              <w:ind w:left="8"/>
              <w:jc w:val="center"/>
              <w:rPr>
                <w:rFonts w:ascii="Wingdings" w:hAnsi="Wingdings"/>
                <w:sz w:val="20"/>
              </w:rPr>
            </w:pPr>
            <w:r>
              <w:rPr>
                <w:rFonts w:ascii="Wingdings" w:hAnsi="Wingdings"/>
                <w:color w:val="231F20"/>
                <w:sz w:val="20"/>
              </w:rPr>
              <w:t></w:t>
            </w:r>
          </w:p>
        </w:tc>
      </w:tr>
      <w:tr>
        <w:trPr>
          <w:trHeight w:val="2116" w:hRule="atLeast"/>
        </w:trPr>
        <w:tc>
          <w:tcPr>
            <w:tcW w:w="1478" w:type="dxa"/>
            <w:shd w:val="clear" w:color="auto" w:fill="D1E0EB"/>
          </w:tcPr>
          <w:p>
            <w:pPr>
              <w:pStyle w:val="TableParagraph"/>
              <w:spacing w:line="249" w:lineRule="auto" w:before="33"/>
              <w:ind w:left="79" w:right="135"/>
              <w:rPr>
                <w:b/>
                <w:sz w:val="20"/>
              </w:rPr>
            </w:pPr>
            <w:r>
              <w:rPr>
                <w:b/>
                <w:color w:val="231F20"/>
                <w:sz w:val="20"/>
              </w:rPr>
              <w:t>Special</w:t>
            </w:r>
            <w:r>
              <w:rPr>
                <w:b/>
                <w:color w:val="231F20"/>
                <w:spacing w:val="1"/>
                <w:sz w:val="20"/>
              </w:rPr>
              <w:t> </w:t>
            </w:r>
            <w:r>
              <w:rPr>
                <w:b/>
                <w:color w:val="231F20"/>
                <w:sz w:val="20"/>
              </w:rPr>
              <w:t>populations</w:t>
            </w:r>
            <w:r>
              <w:rPr>
                <w:b/>
                <w:color w:val="231F20"/>
                <w:spacing w:val="1"/>
                <w:sz w:val="20"/>
              </w:rPr>
              <w:t> </w:t>
            </w:r>
            <w:r>
              <w:rPr>
                <w:b/>
                <w:color w:val="231F20"/>
                <w:sz w:val="20"/>
              </w:rPr>
              <w:t>with whom</w:t>
            </w:r>
            <w:r>
              <w:rPr>
                <w:b/>
                <w:color w:val="231F20"/>
                <w:spacing w:val="1"/>
                <w:sz w:val="20"/>
              </w:rPr>
              <w:t> </w:t>
            </w:r>
            <w:r>
              <w:rPr>
                <w:b/>
                <w:color w:val="231F20"/>
                <w:sz w:val="20"/>
              </w:rPr>
              <w:t>the practice</w:t>
            </w:r>
            <w:r>
              <w:rPr>
                <w:b/>
                <w:color w:val="231F20"/>
                <w:spacing w:val="1"/>
                <w:sz w:val="20"/>
              </w:rPr>
              <w:t> </w:t>
            </w:r>
            <w:r>
              <w:rPr>
                <w:b/>
                <w:color w:val="231F20"/>
                <w:sz w:val="20"/>
              </w:rPr>
              <w:t>has been</w:t>
            </w:r>
            <w:r>
              <w:rPr>
                <w:b/>
                <w:color w:val="231F20"/>
                <w:spacing w:val="1"/>
                <w:sz w:val="20"/>
              </w:rPr>
              <w:t> </w:t>
            </w:r>
            <w:r>
              <w:rPr>
                <w:b/>
                <w:color w:val="231F20"/>
                <w:sz w:val="20"/>
              </w:rPr>
              <w:t>successfully</w:t>
            </w:r>
            <w:r>
              <w:rPr>
                <w:b/>
                <w:color w:val="231F20"/>
                <w:spacing w:val="-53"/>
                <w:sz w:val="20"/>
              </w:rPr>
              <w:t> </w:t>
            </w:r>
            <w:r>
              <w:rPr>
                <w:b/>
                <w:color w:val="231F20"/>
                <w:sz w:val="20"/>
              </w:rPr>
              <w:t>implemented</w:t>
            </w:r>
          </w:p>
        </w:tc>
        <w:tc>
          <w:tcPr>
            <w:tcW w:w="1728" w:type="dxa"/>
            <w:shd w:val="clear" w:color="auto" w:fill="D1E0EB"/>
          </w:tcPr>
          <w:p>
            <w:pPr>
              <w:pStyle w:val="TableParagraph"/>
              <w:spacing w:line="249" w:lineRule="auto" w:before="33"/>
              <w:ind w:left="79" w:right="51"/>
              <w:rPr>
                <w:sz w:val="20"/>
              </w:rPr>
            </w:pPr>
            <w:r>
              <w:rPr>
                <w:color w:val="231F20"/>
                <w:sz w:val="20"/>
              </w:rPr>
              <w:t>Young MSM;</w:t>
            </w:r>
            <w:r>
              <w:rPr>
                <w:color w:val="231F20"/>
                <w:spacing w:val="1"/>
                <w:sz w:val="20"/>
              </w:rPr>
              <w:t> </w:t>
            </w:r>
            <w:r>
              <w:rPr>
                <w:color w:val="231F20"/>
                <w:sz w:val="20"/>
              </w:rPr>
              <w:t>PWID or</w:t>
            </w:r>
            <w:r>
              <w:rPr>
                <w:color w:val="231F20"/>
                <w:spacing w:val="1"/>
                <w:sz w:val="20"/>
              </w:rPr>
              <w:t> </w:t>
            </w:r>
            <w:r>
              <w:rPr>
                <w:color w:val="231F20"/>
                <w:sz w:val="20"/>
              </w:rPr>
              <w:t>recreationally use</w:t>
            </w:r>
            <w:r>
              <w:rPr>
                <w:color w:val="231F20"/>
                <w:spacing w:val="-54"/>
                <w:sz w:val="20"/>
              </w:rPr>
              <w:t> </w:t>
            </w:r>
            <w:r>
              <w:rPr>
                <w:color w:val="231F20"/>
                <w:sz w:val="20"/>
              </w:rPr>
              <w:t>drugs</w:t>
            </w:r>
          </w:p>
        </w:tc>
        <w:tc>
          <w:tcPr>
            <w:tcW w:w="1642" w:type="dxa"/>
            <w:shd w:val="clear" w:color="auto" w:fill="D1E0EB"/>
          </w:tcPr>
          <w:p>
            <w:pPr>
              <w:pStyle w:val="TableParagraph"/>
              <w:spacing w:before="33"/>
              <w:ind w:left="79"/>
              <w:rPr>
                <w:sz w:val="20"/>
              </w:rPr>
            </w:pPr>
            <w:r>
              <w:rPr>
                <w:color w:val="231F20"/>
                <w:sz w:val="20"/>
              </w:rPr>
              <w:t>PWID</w:t>
            </w:r>
          </w:p>
        </w:tc>
        <w:tc>
          <w:tcPr>
            <w:tcW w:w="2016" w:type="dxa"/>
            <w:shd w:val="clear" w:color="auto" w:fill="D1E0EB"/>
          </w:tcPr>
          <w:p>
            <w:pPr>
              <w:pStyle w:val="TableParagraph"/>
              <w:spacing w:line="249" w:lineRule="auto" w:before="33"/>
              <w:ind w:left="79" w:right="102"/>
              <w:rPr>
                <w:sz w:val="20"/>
              </w:rPr>
            </w:pPr>
            <w:r>
              <w:rPr>
                <w:color w:val="231F20"/>
                <w:spacing w:val="-4"/>
                <w:sz w:val="20"/>
              </w:rPr>
              <w:t>Individuals </w:t>
            </w:r>
            <w:r>
              <w:rPr>
                <w:color w:val="231F20"/>
                <w:spacing w:val="-3"/>
                <w:sz w:val="20"/>
              </w:rPr>
              <w:t>with co-</w:t>
            </w:r>
            <w:r>
              <w:rPr>
                <w:color w:val="231F20"/>
                <w:spacing w:val="-2"/>
                <w:sz w:val="20"/>
              </w:rPr>
              <w:t> </w:t>
            </w:r>
            <w:r>
              <w:rPr>
                <w:color w:val="231F20"/>
                <w:spacing w:val="-4"/>
                <w:sz w:val="20"/>
              </w:rPr>
              <w:t>occurring HIV and</w:t>
            </w:r>
            <w:r>
              <w:rPr>
                <w:color w:val="231F20"/>
                <w:spacing w:val="-3"/>
                <w:sz w:val="20"/>
              </w:rPr>
              <w:t> </w:t>
            </w:r>
            <w:r>
              <w:rPr>
                <w:color w:val="231F20"/>
                <w:spacing w:val="-5"/>
                <w:sz w:val="20"/>
              </w:rPr>
              <w:t>SUD; </w:t>
            </w:r>
            <w:r>
              <w:rPr>
                <w:color w:val="231F20"/>
                <w:spacing w:val="-4"/>
                <w:sz w:val="20"/>
              </w:rPr>
              <w:t>individuals who</w:t>
            </w:r>
            <w:r>
              <w:rPr>
                <w:color w:val="231F20"/>
                <w:spacing w:val="-53"/>
                <w:sz w:val="20"/>
              </w:rPr>
              <w:t> </w:t>
            </w:r>
            <w:r>
              <w:rPr>
                <w:color w:val="231F20"/>
                <w:spacing w:val="-4"/>
                <w:sz w:val="20"/>
              </w:rPr>
              <w:t>engage in </w:t>
            </w:r>
            <w:r>
              <w:rPr>
                <w:color w:val="231F20"/>
                <w:spacing w:val="-3"/>
                <w:sz w:val="20"/>
              </w:rPr>
              <w:t>sexual or</w:t>
            </w:r>
            <w:r>
              <w:rPr>
                <w:color w:val="231F20"/>
                <w:spacing w:val="-2"/>
                <w:sz w:val="20"/>
              </w:rPr>
              <w:t> </w:t>
            </w:r>
            <w:r>
              <w:rPr>
                <w:color w:val="231F20"/>
                <w:spacing w:val="-5"/>
                <w:sz w:val="20"/>
              </w:rPr>
              <w:t>drug use </w:t>
            </w:r>
            <w:r>
              <w:rPr>
                <w:color w:val="231F20"/>
                <w:spacing w:val="-4"/>
                <w:sz w:val="20"/>
              </w:rPr>
              <w:t>behaviors</w:t>
            </w:r>
            <w:r>
              <w:rPr>
                <w:color w:val="231F20"/>
                <w:spacing w:val="-3"/>
                <w:sz w:val="20"/>
              </w:rPr>
              <w:t> </w:t>
            </w:r>
            <w:r>
              <w:rPr>
                <w:color w:val="231F20"/>
                <w:sz w:val="20"/>
              </w:rPr>
              <w:t>that increase</w:t>
            </w:r>
            <w:r>
              <w:rPr>
                <w:color w:val="231F20"/>
                <w:spacing w:val="1"/>
                <w:sz w:val="20"/>
              </w:rPr>
              <w:t> </w:t>
            </w:r>
            <w:r>
              <w:rPr>
                <w:color w:val="231F20"/>
                <w:spacing w:val="-5"/>
                <w:sz w:val="20"/>
              </w:rPr>
              <w:t>likelihood </w:t>
            </w:r>
            <w:r>
              <w:rPr>
                <w:color w:val="231F20"/>
                <w:spacing w:val="-4"/>
                <w:sz w:val="20"/>
              </w:rPr>
              <w:t>of getting</w:t>
            </w:r>
            <w:r>
              <w:rPr>
                <w:color w:val="231F20"/>
                <w:spacing w:val="-3"/>
                <w:sz w:val="20"/>
              </w:rPr>
              <w:t> </w:t>
            </w:r>
            <w:r>
              <w:rPr>
                <w:color w:val="231F20"/>
                <w:sz w:val="20"/>
              </w:rPr>
              <w:t>HIV</w:t>
            </w:r>
          </w:p>
        </w:tc>
        <w:tc>
          <w:tcPr>
            <w:tcW w:w="1980" w:type="dxa"/>
            <w:shd w:val="clear" w:color="auto" w:fill="D1E0EB"/>
          </w:tcPr>
          <w:p>
            <w:pPr>
              <w:pStyle w:val="TableParagraph"/>
              <w:spacing w:line="249" w:lineRule="auto" w:before="33"/>
              <w:ind w:left="79" w:right="203"/>
              <w:rPr>
                <w:sz w:val="20"/>
              </w:rPr>
            </w:pPr>
            <w:r>
              <w:rPr>
                <w:color w:val="231F20"/>
                <w:sz w:val="20"/>
              </w:rPr>
              <w:t>MSM; individuals</w:t>
            </w:r>
            <w:r>
              <w:rPr>
                <w:color w:val="231F20"/>
                <w:spacing w:val="1"/>
                <w:sz w:val="20"/>
              </w:rPr>
              <w:t> </w:t>
            </w:r>
            <w:r>
              <w:rPr>
                <w:color w:val="231F20"/>
                <w:sz w:val="20"/>
              </w:rPr>
              <w:t>with severe mental</w:t>
            </w:r>
            <w:r>
              <w:rPr>
                <w:color w:val="231F20"/>
                <w:spacing w:val="-54"/>
                <w:sz w:val="20"/>
              </w:rPr>
              <w:t> </w:t>
            </w:r>
            <w:r>
              <w:rPr>
                <w:color w:val="231F20"/>
                <w:sz w:val="20"/>
              </w:rPr>
              <w:t>illness; individuals</w:t>
            </w:r>
            <w:r>
              <w:rPr>
                <w:color w:val="231F20"/>
                <w:spacing w:val="1"/>
                <w:sz w:val="20"/>
              </w:rPr>
              <w:t> </w:t>
            </w:r>
            <w:r>
              <w:rPr>
                <w:color w:val="231F20"/>
                <w:sz w:val="20"/>
              </w:rPr>
              <w:t>with co-occurring</w:t>
            </w:r>
            <w:r>
              <w:rPr>
                <w:color w:val="231F20"/>
                <w:spacing w:val="1"/>
                <w:sz w:val="20"/>
              </w:rPr>
              <w:t> </w:t>
            </w:r>
            <w:r>
              <w:rPr>
                <w:color w:val="231F20"/>
                <w:sz w:val="20"/>
              </w:rPr>
              <w:t>HIV, mental illness</w:t>
            </w:r>
            <w:r>
              <w:rPr>
                <w:color w:val="231F20"/>
                <w:spacing w:val="-53"/>
                <w:sz w:val="20"/>
              </w:rPr>
              <w:t> </w:t>
            </w:r>
            <w:r>
              <w:rPr>
                <w:color w:val="231F20"/>
                <w:sz w:val="20"/>
              </w:rPr>
              <w:t>and/or</w:t>
            </w:r>
            <w:r>
              <w:rPr>
                <w:color w:val="231F20"/>
                <w:spacing w:val="-2"/>
                <w:sz w:val="20"/>
              </w:rPr>
              <w:t> </w:t>
            </w:r>
            <w:r>
              <w:rPr>
                <w:color w:val="231F20"/>
                <w:sz w:val="20"/>
              </w:rPr>
              <w:t>SUD</w:t>
            </w:r>
          </w:p>
        </w:tc>
        <w:tc>
          <w:tcPr>
            <w:tcW w:w="1975" w:type="dxa"/>
            <w:shd w:val="clear" w:color="auto" w:fill="D1E0EB"/>
          </w:tcPr>
          <w:p>
            <w:pPr>
              <w:pStyle w:val="TableParagraph"/>
              <w:spacing w:line="249" w:lineRule="auto" w:before="33"/>
              <w:ind w:left="79" w:right="107"/>
              <w:rPr>
                <w:sz w:val="20"/>
              </w:rPr>
            </w:pPr>
            <w:r>
              <w:rPr>
                <w:color w:val="231F20"/>
                <w:sz w:val="20"/>
              </w:rPr>
              <w:t>Individuals with</w:t>
            </w:r>
            <w:r>
              <w:rPr>
                <w:color w:val="231F20"/>
                <w:spacing w:val="1"/>
                <w:sz w:val="20"/>
              </w:rPr>
              <w:t> </w:t>
            </w:r>
            <w:r>
              <w:rPr>
                <w:color w:val="231F20"/>
                <w:sz w:val="20"/>
              </w:rPr>
              <w:t>SUD; men and</w:t>
            </w:r>
            <w:r>
              <w:rPr>
                <w:color w:val="231F20"/>
                <w:spacing w:val="1"/>
                <w:sz w:val="20"/>
              </w:rPr>
              <w:t> </w:t>
            </w:r>
            <w:r>
              <w:rPr>
                <w:color w:val="231F20"/>
                <w:sz w:val="20"/>
              </w:rPr>
              <w:t>transgender women</w:t>
            </w:r>
            <w:r>
              <w:rPr>
                <w:color w:val="231F20"/>
                <w:spacing w:val="-53"/>
                <w:sz w:val="20"/>
              </w:rPr>
              <w:t> </w:t>
            </w:r>
            <w:r>
              <w:rPr>
                <w:color w:val="231F20"/>
                <w:sz w:val="20"/>
              </w:rPr>
              <w:t>transitioning from</w:t>
            </w:r>
            <w:r>
              <w:rPr>
                <w:color w:val="231F20"/>
                <w:spacing w:val="1"/>
                <w:sz w:val="20"/>
              </w:rPr>
              <w:t> </w:t>
            </w:r>
            <w:r>
              <w:rPr>
                <w:color w:val="231F20"/>
                <w:sz w:val="20"/>
              </w:rPr>
              <w:t>jail</w:t>
            </w:r>
            <w:r>
              <w:rPr>
                <w:color w:val="231F20"/>
                <w:spacing w:val="-2"/>
                <w:sz w:val="20"/>
              </w:rPr>
              <w:t> </w:t>
            </w:r>
            <w:r>
              <w:rPr>
                <w:color w:val="231F20"/>
                <w:sz w:val="20"/>
              </w:rPr>
              <w:t>to community</w:t>
            </w:r>
          </w:p>
        </w:tc>
      </w:tr>
      <w:tr>
        <w:trPr>
          <w:trHeight w:val="1975" w:hRule="atLeast"/>
        </w:trPr>
        <w:tc>
          <w:tcPr>
            <w:tcW w:w="1478" w:type="dxa"/>
          </w:tcPr>
          <w:p>
            <w:pPr>
              <w:pStyle w:val="TableParagraph"/>
              <w:spacing w:line="249" w:lineRule="auto" w:before="33"/>
              <w:ind w:left="79" w:right="135"/>
              <w:rPr>
                <w:b/>
                <w:sz w:val="20"/>
              </w:rPr>
            </w:pPr>
            <w:r>
              <w:rPr>
                <w:b/>
                <w:color w:val="231F20"/>
                <w:sz w:val="20"/>
              </w:rPr>
              <w:t>Intensity and</w:t>
            </w:r>
            <w:r>
              <w:rPr>
                <w:b/>
                <w:color w:val="231F20"/>
                <w:spacing w:val="-53"/>
                <w:sz w:val="20"/>
              </w:rPr>
              <w:t> </w:t>
            </w:r>
            <w:r>
              <w:rPr>
                <w:b/>
                <w:color w:val="231F20"/>
                <w:sz w:val="20"/>
              </w:rPr>
              <w:t>duration</w:t>
            </w:r>
          </w:p>
        </w:tc>
        <w:tc>
          <w:tcPr>
            <w:tcW w:w="1728" w:type="dxa"/>
          </w:tcPr>
          <w:p>
            <w:pPr>
              <w:pStyle w:val="TableParagraph"/>
              <w:spacing w:before="33"/>
              <w:ind w:right="824"/>
              <w:jc w:val="right"/>
              <w:rPr>
                <w:sz w:val="20"/>
              </w:rPr>
            </w:pPr>
            <w:r>
              <w:rPr>
                <w:color w:val="231F20"/>
                <w:sz w:val="20"/>
              </w:rPr>
              <w:t>Indefinite</w:t>
            </w:r>
          </w:p>
        </w:tc>
        <w:tc>
          <w:tcPr>
            <w:tcW w:w="1642" w:type="dxa"/>
          </w:tcPr>
          <w:p>
            <w:pPr>
              <w:pStyle w:val="TableParagraph"/>
              <w:spacing w:before="33"/>
              <w:ind w:left="79"/>
              <w:rPr>
                <w:sz w:val="20"/>
              </w:rPr>
            </w:pPr>
            <w:r>
              <w:rPr>
                <w:color w:val="231F20"/>
                <w:sz w:val="20"/>
              </w:rPr>
              <w:t>Indefinite</w:t>
            </w:r>
          </w:p>
        </w:tc>
        <w:tc>
          <w:tcPr>
            <w:tcW w:w="2016" w:type="dxa"/>
          </w:tcPr>
          <w:p>
            <w:pPr>
              <w:pStyle w:val="TableParagraph"/>
              <w:spacing w:line="249" w:lineRule="auto" w:before="33"/>
              <w:ind w:left="79" w:right="82"/>
              <w:rPr>
                <w:sz w:val="20"/>
              </w:rPr>
            </w:pPr>
            <w:r>
              <w:rPr>
                <w:color w:val="231F20"/>
                <w:sz w:val="20"/>
              </w:rPr>
              <w:t>No prescribed</w:t>
            </w:r>
            <w:r>
              <w:rPr>
                <w:color w:val="231F20"/>
                <w:spacing w:val="1"/>
                <w:sz w:val="20"/>
              </w:rPr>
              <w:t> </w:t>
            </w:r>
            <w:r>
              <w:rPr>
                <w:color w:val="231F20"/>
                <w:sz w:val="20"/>
              </w:rPr>
              <w:t>intensity or duration;</w:t>
            </w:r>
            <w:r>
              <w:rPr>
                <w:color w:val="231F20"/>
                <w:spacing w:val="-53"/>
                <w:sz w:val="20"/>
              </w:rPr>
              <w:t> </w:t>
            </w:r>
            <w:r>
              <w:rPr>
                <w:color w:val="231F20"/>
                <w:sz w:val="20"/>
              </w:rPr>
              <w:t>shown</w:t>
            </w:r>
            <w:r>
              <w:rPr>
                <w:color w:val="231F20"/>
                <w:spacing w:val="10"/>
                <w:sz w:val="20"/>
              </w:rPr>
              <w:t> </w:t>
            </w:r>
            <w:r>
              <w:rPr>
                <w:color w:val="231F20"/>
                <w:sz w:val="20"/>
              </w:rPr>
              <w:t>to</w:t>
            </w:r>
            <w:r>
              <w:rPr>
                <w:color w:val="231F20"/>
                <w:spacing w:val="11"/>
                <w:sz w:val="20"/>
              </w:rPr>
              <w:t> </w:t>
            </w:r>
            <w:r>
              <w:rPr>
                <w:color w:val="231F20"/>
                <w:sz w:val="20"/>
              </w:rPr>
              <w:t>be</w:t>
            </w:r>
            <w:r>
              <w:rPr>
                <w:color w:val="231F20"/>
                <w:spacing w:val="1"/>
                <w:sz w:val="20"/>
              </w:rPr>
              <w:t> </w:t>
            </w:r>
            <w:r>
              <w:rPr>
                <w:color w:val="231F20"/>
                <w:sz w:val="20"/>
              </w:rPr>
              <w:t>effective</w:t>
            </w:r>
            <w:r>
              <w:rPr>
                <w:color w:val="231F20"/>
                <w:spacing w:val="-6"/>
                <w:sz w:val="20"/>
              </w:rPr>
              <w:t> </w:t>
            </w:r>
            <w:r>
              <w:rPr>
                <w:color w:val="231F20"/>
                <w:sz w:val="20"/>
              </w:rPr>
              <w:t>for</w:t>
            </w:r>
            <w:r>
              <w:rPr>
                <w:color w:val="231F20"/>
                <w:spacing w:val="-5"/>
                <w:sz w:val="20"/>
              </w:rPr>
              <w:t> </w:t>
            </w:r>
            <w:r>
              <w:rPr>
                <w:color w:val="231F20"/>
                <w:sz w:val="20"/>
              </w:rPr>
              <w:t>between</w:t>
            </w:r>
            <w:r>
              <w:rPr>
                <w:color w:val="231F20"/>
                <w:spacing w:val="-53"/>
                <w:sz w:val="20"/>
              </w:rPr>
              <w:t> </w:t>
            </w:r>
            <w:r>
              <w:rPr>
                <w:color w:val="231F20"/>
                <w:sz w:val="20"/>
              </w:rPr>
              <w:t>6</w:t>
            </w:r>
            <w:r>
              <w:rPr>
                <w:color w:val="231F20"/>
                <w:spacing w:val="-2"/>
                <w:sz w:val="20"/>
              </w:rPr>
              <w:t> </w:t>
            </w:r>
            <w:r>
              <w:rPr>
                <w:color w:val="231F20"/>
                <w:sz w:val="20"/>
              </w:rPr>
              <w:t>to 24</w:t>
            </w:r>
            <w:r>
              <w:rPr>
                <w:color w:val="231F20"/>
                <w:spacing w:val="-2"/>
                <w:sz w:val="20"/>
              </w:rPr>
              <w:t> </w:t>
            </w:r>
            <w:r>
              <w:rPr>
                <w:color w:val="231F20"/>
                <w:sz w:val="20"/>
              </w:rPr>
              <w:t>weeks</w:t>
            </w:r>
          </w:p>
        </w:tc>
        <w:tc>
          <w:tcPr>
            <w:tcW w:w="1980" w:type="dxa"/>
          </w:tcPr>
          <w:p>
            <w:pPr>
              <w:pStyle w:val="TableParagraph"/>
              <w:spacing w:line="249" w:lineRule="auto" w:before="33"/>
              <w:ind w:left="79" w:right="276"/>
              <w:rPr>
                <w:sz w:val="20"/>
              </w:rPr>
            </w:pPr>
            <w:r>
              <w:rPr>
                <w:color w:val="010202"/>
                <w:sz w:val="20"/>
              </w:rPr>
              <w:t>Varies depending</w:t>
            </w:r>
            <w:r>
              <w:rPr>
                <w:color w:val="010202"/>
                <w:spacing w:val="1"/>
                <w:sz w:val="20"/>
              </w:rPr>
              <w:t> </w:t>
            </w:r>
            <w:r>
              <w:rPr>
                <w:color w:val="010202"/>
                <w:sz w:val="20"/>
              </w:rPr>
              <w:t>on specific CBT</w:t>
            </w:r>
            <w:r>
              <w:rPr>
                <w:color w:val="010202"/>
                <w:spacing w:val="1"/>
                <w:sz w:val="20"/>
              </w:rPr>
              <w:t> </w:t>
            </w:r>
            <w:r>
              <w:rPr>
                <w:color w:val="010202"/>
                <w:sz w:val="20"/>
              </w:rPr>
              <w:t>intervention</w:t>
            </w:r>
            <w:r>
              <w:rPr>
                <w:color w:val="010202"/>
                <w:spacing w:val="1"/>
                <w:sz w:val="20"/>
              </w:rPr>
              <w:t> </w:t>
            </w:r>
            <w:r>
              <w:rPr>
                <w:color w:val="010202"/>
                <w:sz w:val="20"/>
              </w:rPr>
              <w:t>implemented,</w:t>
            </w:r>
            <w:r>
              <w:rPr>
                <w:color w:val="010202"/>
                <w:spacing w:val="1"/>
                <w:sz w:val="20"/>
              </w:rPr>
              <w:t> </w:t>
            </w:r>
            <w:r>
              <w:rPr>
                <w:color w:val="010202"/>
                <w:sz w:val="20"/>
              </w:rPr>
              <w:t>ranges</w:t>
            </w:r>
            <w:r>
              <w:rPr>
                <w:color w:val="010202"/>
                <w:spacing w:val="16"/>
                <w:sz w:val="20"/>
              </w:rPr>
              <w:t> </w:t>
            </w:r>
            <w:r>
              <w:rPr>
                <w:color w:val="010202"/>
                <w:sz w:val="20"/>
              </w:rPr>
              <w:t>from</w:t>
            </w:r>
            <w:r>
              <w:rPr>
                <w:color w:val="010202"/>
                <w:spacing w:val="16"/>
                <w:sz w:val="20"/>
              </w:rPr>
              <w:t> </w:t>
            </w:r>
            <w:r>
              <w:rPr>
                <w:color w:val="010202"/>
                <w:sz w:val="20"/>
              </w:rPr>
              <w:t>1</w:t>
            </w:r>
            <w:r>
              <w:rPr>
                <w:color w:val="010202"/>
                <w:spacing w:val="15"/>
                <w:sz w:val="20"/>
              </w:rPr>
              <w:t> </w:t>
            </w:r>
            <w:r>
              <w:rPr>
                <w:color w:val="010202"/>
                <w:sz w:val="20"/>
              </w:rPr>
              <w:t>to</w:t>
            </w:r>
            <w:r>
              <w:rPr>
                <w:color w:val="010202"/>
                <w:spacing w:val="1"/>
                <w:sz w:val="20"/>
              </w:rPr>
              <w:t> </w:t>
            </w:r>
            <w:r>
              <w:rPr>
                <w:color w:val="010202"/>
                <w:sz w:val="20"/>
              </w:rPr>
              <w:t>2</w:t>
            </w:r>
            <w:r>
              <w:rPr>
                <w:color w:val="010202"/>
                <w:spacing w:val="-4"/>
                <w:sz w:val="20"/>
              </w:rPr>
              <w:t> </w:t>
            </w:r>
            <w:r>
              <w:rPr>
                <w:color w:val="010202"/>
                <w:sz w:val="20"/>
              </w:rPr>
              <w:t>weekly</w:t>
            </w:r>
            <w:r>
              <w:rPr>
                <w:color w:val="010202"/>
                <w:spacing w:val="-3"/>
                <w:sz w:val="20"/>
              </w:rPr>
              <w:t> </w:t>
            </w:r>
            <w:r>
              <w:rPr>
                <w:color w:val="010202"/>
                <w:sz w:val="20"/>
              </w:rPr>
              <w:t>sessions</w:t>
            </w:r>
          </w:p>
          <w:p>
            <w:pPr>
              <w:pStyle w:val="TableParagraph"/>
              <w:spacing w:line="249" w:lineRule="auto" w:before="5"/>
              <w:ind w:left="79" w:right="103"/>
              <w:rPr>
                <w:sz w:val="20"/>
              </w:rPr>
            </w:pPr>
            <w:r>
              <w:rPr>
                <w:color w:val="010202"/>
                <w:sz w:val="20"/>
              </w:rPr>
              <w:t>over the course of 8</w:t>
            </w:r>
            <w:r>
              <w:rPr>
                <w:color w:val="010202"/>
                <w:spacing w:val="-53"/>
                <w:sz w:val="20"/>
              </w:rPr>
              <w:t> </w:t>
            </w:r>
            <w:r>
              <w:rPr>
                <w:color w:val="010202"/>
                <w:sz w:val="20"/>
              </w:rPr>
              <w:t>to</w:t>
            </w:r>
            <w:r>
              <w:rPr>
                <w:color w:val="010202"/>
                <w:spacing w:val="-1"/>
                <w:sz w:val="20"/>
              </w:rPr>
              <w:t> </w:t>
            </w:r>
            <w:r>
              <w:rPr>
                <w:color w:val="010202"/>
                <w:sz w:val="20"/>
              </w:rPr>
              <w:t>12</w:t>
            </w:r>
            <w:r>
              <w:rPr>
                <w:color w:val="010202"/>
                <w:spacing w:val="-1"/>
                <w:sz w:val="20"/>
              </w:rPr>
              <w:t> </w:t>
            </w:r>
            <w:r>
              <w:rPr>
                <w:color w:val="010202"/>
                <w:sz w:val="20"/>
              </w:rPr>
              <w:t>weeks</w:t>
            </w:r>
          </w:p>
        </w:tc>
        <w:tc>
          <w:tcPr>
            <w:tcW w:w="1975" w:type="dxa"/>
          </w:tcPr>
          <w:p>
            <w:pPr>
              <w:pStyle w:val="TableParagraph"/>
              <w:spacing w:line="249" w:lineRule="auto" w:before="33"/>
              <w:ind w:left="79" w:right="83"/>
              <w:rPr>
                <w:sz w:val="20"/>
              </w:rPr>
            </w:pPr>
            <w:r>
              <w:rPr>
                <w:color w:val="231F20"/>
                <w:sz w:val="20"/>
              </w:rPr>
              <w:t>No prescribed</w:t>
            </w:r>
            <w:r>
              <w:rPr>
                <w:color w:val="231F20"/>
                <w:spacing w:val="1"/>
                <w:sz w:val="20"/>
              </w:rPr>
              <w:t> </w:t>
            </w:r>
            <w:r>
              <w:rPr>
                <w:color w:val="231F20"/>
                <w:sz w:val="20"/>
              </w:rPr>
              <w:t>intensity or duration;</w:t>
            </w:r>
            <w:r>
              <w:rPr>
                <w:color w:val="231F20"/>
                <w:spacing w:val="-54"/>
                <w:sz w:val="20"/>
              </w:rPr>
              <w:t> </w:t>
            </w:r>
            <w:r>
              <w:rPr>
                <w:color w:val="231F20"/>
                <w:sz w:val="20"/>
              </w:rPr>
              <w:t>typical range</w:t>
            </w:r>
            <w:r>
              <w:rPr>
                <w:color w:val="231F20"/>
                <w:spacing w:val="1"/>
                <w:sz w:val="20"/>
              </w:rPr>
              <w:t> </w:t>
            </w:r>
            <w:r>
              <w:rPr>
                <w:color w:val="231F20"/>
                <w:sz w:val="20"/>
              </w:rPr>
              <w:t>of 11</w:t>
            </w:r>
            <w:r>
              <w:rPr>
                <w:color w:val="231F20"/>
                <w:spacing w:val="1"/>
                <w:sz w:val="20"/>
              </w:rPr>
              <w:t> </w:t>
            </w:r>
            <w:r>
              <w:rPr>
                <w:color w:val="231F20"/>
                <w:sz w:val="20"/>
              </w:rPr>
              <w:t>to 12 sessions over</w:t>
            </w:r>
            <w:r>
              <w:rPr>
                <w:color w:val="231F20"/>
                <w:spacing w:val="1"/>
                <w:sz w:val="20"/>
              </w:rPr>
              <w:t> </w:t>
            </w:r>
            <w:r>
              <w:rPr>
                <w:color w:val="231F20"/>
                <w:sz w:val="20"/>
              </w:rPr>
              <w:t>6</w:t>
            </w:r>
            <w:r>
              <w:rPr>
                <w:color w:val="231F20"/>
                <w:spacing w:val="-1"/>
                <w:sz w:val="20"/>
              </w:rPr>
              <w:t> </w:t>
            </w:r>
            <w:r>
              <w:rPr>
                <w:color w:val="231F20"/>
                <w:sz w:val="20"/>
              </w:rPr>
              <w:t>months</w:t>
            </w:r>
          </w:p>
        </w:tc>
      </w:tr>
    </w:tbl>
    <w:p>
      <w:pPr>
        <w:spacing w:after="0" w:line="249" w:lineRule="auto"/>
        <w:rPr>
          <w:sz w:val="20"/>
        </w:rPr>
        <w:sectPr>
          <w:pgSz w:w="12240" w:h="15840"/>
          <w:pgMar w:header="0" w:footer="666" w:top="380" w:bottom="860" w:left="560" w:right="0"/>
        </w:sectPr>
      </w:pPr>
    </w:p>
    <w:p>
      <w:pPr>
        <w:pStyle w:val="BodyText"/>
        <w:rPr>
          <w:rFonts w:ascii="Arial Black"/>
          <w:sz w:val="20"/>
        </w:rPr>
      </w:pPr>
    </w:p>
    <w:p>
      <w:pPr>
        <w:pStyle w:val="BodyText"/>
        <w:rPr>
          <w:rFonts w:ascii="Arial Black"/>
          <w:sz w:val="20"/>
        </w:rPr>
      </w:pPr>
    </w:p>
    <w:p>
      <w:pPr>
        <w:pStyle w:val="BodyText"/>
        <w:spacing w:before="13"/>
        <w:rPr>
          <w:rFonts w:ascii="Arial Black"/>
          <w:sz w:val="18"/>
        </w:rPr>
      </w:pPr>
    </w:p>
    <w:p>
      <w:pPr>
        <w:spacing w:before="100"/>
        <w:ind w:left="160" w:right="0" w:firstLine="0"/>
        <w:jc w:val="left"/>
        <w:rPr>
          <w:rFonts w:ascii="Arial Black"/>
          <w:sz w:val="35"/>
        </w:rPr>
      </w:pPr>
      <w:bookmarkStart w:name="Reference List" w:id="80"/>
      <w:bookmarkEnd w:id="80"/>
      <w:r>
        <w:rPr/>
      </w:r>
      <w:r>
        <w:rPr>
          <w:rFonts w:ascii="Arial Black"/>
          <w:color w:val="231F20"/>
          <w:sz w:val="35"/>
        </w:rPr>
        <w:t>Reference</w:t>
      </w:r>
      <w:r>
        <w:rPr>
          <w:rFonts w:ascii="Arial Black"/>
          <w:color w:val="231F20"/>
          <w:spacing w:val="-11"/>
          <w:sz w:val="35"/>
        </w:rPr>
        <w:t> </w:t>
      </w:r>
      <w:r>
        <w:rPr>
          <w:rFonts w:ascii="Arial Black"/>
          <w:color w:val="231F20"/>
          <w:sz w:val="35"/>
        </w:rPr>
        <w:t>List</w:t>
      </w:r>
    </w:p>
    <w:p>
      <w:pPr>
        <w:pStyle w:val="BodyText"/>
        <w:rPr>
          <w:rFonts w:ascii="Arial Black"/>
          <w:sz w:val="20"/>
        </w:rPr>
      </w:pPr>
    </w:p>
    <w:p>
      <w:pPr>
        <w:pStyle w:val="BodyText"/>
        <w:spacing w:before="11"/>
        <w:rPr>
          <w:rFonts w:ascii="Arial Black"/>
          <w:sz w:val="28"/>
        </w:rPr>
      </w:pPr>
    </w:p>
    <w:p>
      <w:pPr>
        <w:spacing w:after="0"/>
        <w:rPr>
          <w:rFonts w:ascii="Arial Black"/>
          <w:sz w:val="28"/>
        </w:rPr>
        <w:sectPr>
          <w:pgSz w:w="12240" w:h="15840"/>
          <w:pgMar w:header="0" w:footer="666" w:top="380" w:bottom="860" w:left="560" w:right="0"/>
        </w:sectPr>
      </w:pPr>
    </w:p>
    <w:p>
      <w:pPr>
        <w:pStyle w:val="BodyText"/>
        <w:tabs>
          <w:tab w:pos="519" w:val="left" w:leader="none"/>
        </w:tabs>
        <w:spacing w:line="228" w:lineRule="auto" w:before="101"/>
        <w:ind w:left="520" w:right="38" w:hanging="360"/>
      </w:pPr>
      <w:r>
        <w:rPr/>
        <w:pict>
          <v:rect style="position:absolute;margin-left:0pt;margin-top:116.329102pt;width:612pt;height:1pt;mso-position-horizontal-relative:page;mso-position-vertical-relative:page;z-index:-18136064" id="docshape111" filled="true" fillcolor="#ce372e" stroked="false">
            <v:fill type="solid"/>
            <w10:wrap type="none"/>
          </v:rect>
        </w:pict>
      </w:r>
      <w:r>
        <w:rPr>
          <w:color w:val="010202"/>
          <w:vertAlign w:val="superscript"/>
        </w:rPr>
        <w:t>1</w:t>
      </w:r>
      <w:r>
        <w:rPr>
          <w:color w:val="010202"/>
          <w:vertAlign w:val="baseline"/>
        </w:rPr>
        <w:tab/>
        <w:t>Leary,</w:t>
      </w:r>
      <w:r>
        <w:rPr>
          <w:color w:val="010202"/>
          <w:spacing w:val="-10"/>
          <w:vertAlign w:val="baseline"/>
        </w:rPr>
        <w:t> </w:t>
      </w:r>
      <w:r>
        <w:rPr>
          <w:color w:val="010202"/>
          <w:vertAlign w:val="baseline"/>
        </w:rPr>
        <w:t>W.</w:t>
      </w:r>
      <w:r>
        <w:rPr>
          <w:color w:val="010202"/>
          <w:spacing w:val="-6"/>
          <w:vertAlign w:val="baseline"/>
        </w:rPr>
        <w:t> </w:t>
      </w:r>
      <w:r>
        <w:rPr>
          <w:color w:val="010202"/>
          <w:vertAlign w:val="baseline"/>
        </w:rPr>
        <w:t>E.</w:t>
      </w:r>
      <w:r>
        <w:rPr>
          <w:color w:val="010202"/>
          <w:spacing w:val="-6"/>
          <w:vertAlign w:val="baseline"/>
        </w:rPr>
        <w:t> </w:t>
      </w:r>
      <w:r>
        <w:rPr>
          <w:color w:val="010202"/>
          <w:vertAlign w:val="baseline"/>
        </w:rPr>
        <w:t>(1996,</w:t>
      </w:r>
      <w:r>
        <w:rPr>
          <w:color w:val="010202"/>
          <w:spacing w:val="-6"/>
          <w:vertAlign w:val="baseline"/>
        </w:rPr>
        <w:t> </w:t>
      </w:r>
      <w:r>
        <w:rPr>
          <w:color w:val="010202"/>
          <w:vertAlign w:val="baseline"/>
        </w:rPr>
        <w:t>October</w:t>
      </w:r>
      <w:r>
        <w:rPr>
          <w:color w:val="010202"/>
          <w:spacing w:val="-7"/>
          <w:vertAlign w:val="baseline"/>
        </w:rPr>
        <w:t> </w:t>
      </w:r>
      <w:r>
        <w:rPr>
          <w:color w:val="010202"/>
          <w:vertAlign w:val="baseline"/>
        </w:rPr>
        <w:t>18).</w:t>
      </w:r>
      <w:r>
        <w:rPr>
          <w:color w:val="010202"/>
          <w:spacing w:val="-6"/>
          <w:vertAlign w:val="baseline"/>
        </w:rPr>
        <w:t> </w:t>
      </w:r>
      <w:r>
        <w:rPr>
          <w:color w:val="010202"/>
          <w:vertAlign w:val="baseline"/>
        </w:rPr>
        <w:t>Questions</w:t>
      </w:r>
      <w:r>
        <w:rPr>
          <w:color w:val="010202"/>
          <w:spacing w:val="-7"/>
          <w:vertAlign w:val="baseline"/>
        </w:rPr>
        <w:t> </w:t>
      </w:r>
      <w:r>
        <w:rPr>
          <w:color w:val="010202"/>
          <w:vertAlign w:val="baseline"/>
        </w:rPr>
        <w:t>on</w:t>
      </w:r>
      <w:r>
        <w:rPr>
          <w:color w:val="010202"/>
          <w:spacing w:val="-6"/>
          <w:vertAlign w:val="baseline"/>
        </w:rPr>
        <w:t> </w:t>
      </w:r>
      <w:r>
        <w:rPr>
          <w:color w:val="010202"/>
          <w:vertAlign w:val="baseline"/>
        </w:rPr>
        <w:t>ethics</w:t>
      </w:r>
      <w:r>
        <w:rPr>
          <w:color w:val="010202"/>
          <w:spacing w:val="-52"/>
          <w:vertAlign w:val="baseline"/>
        </w:rPr>
        <w:t> </w:t>
      </w:r>
      <w:r>
        <w:rPr>
          <w:color w:val="010202"/>
          <w:vertAlign w:val="baseline"/>
        </w:rPr>
        <w:t>lead to review of needle-exchange study. </w:t>
      </w:r>
      <w:r>
        <w:rPr>
          <w:i/>
          <w:color w:val="010202"/>
          <w:vertAlign w:val="baseline"/>
        </w:rPr>
        <w:t>The New</w:t>
      </w:r>
      <w:r>
        <w:rPr>
          <w:i/>
          <w:color w:val="010202"/>
          <w:spacing w:val="1"/>
          <w:vertAlign w:val="baseline"/>
        </w:rPr>
        <w:t> </w:t>
      </w:r>
      <w:r>
        <w:rPr>
          <w:i/>
          <w:color w:val="010202"/>
          <w:vertAlign w:val="baseline"/>
        </w:rPr>
        <w:t>York Times</w:t>
      </w:r>
      <w:r>
        <w:rPr>
          <w:color w:val="010202"/>
          <w:vertAlign w:val="baseline"/>
        </w:rPr>
        <w:t>. </w:t>
      </w:r>
      <w:hyperlink r:id="rId153">
        <w:r>
          <w:rPr>
            <w:color w:val="3953A4"/>
            <w:u w:val="single" w:color="3953A4"/>
            <w:vertAlign w:val="baseline"/>
          </w:rPr>
          <w:t>https://www.nytimes.com/1996/10/18/</w:t>
        </w:r>
      </w:hyperlink>
      <w:r>
        <w:rPr>
          <w:color w:val="3953A4"/>
          <w:spacing w:val="1"/>
          <w:vertAlign w:val="baseline"/>
        </w:rPr>
        <w:t> </w:t>
      </w:r>
      <w:hyperlink r:id="rId153">
        <w:r>
          <w:rPr>
            <w:color w:val="3953A4"/>
            <w:u w:val="single" w:color="3953A4"/>
            <w:vertAlign w:val="baseline"/>
          </w:rPr>
          <w:t>us/questions-on-ethics-lead-to-review-of-needle-</w:t>
        </w:r>
      </w:hyperlink>
      <w:r>
        <w:rPr>
          <w:color w:val="3953A4"/>
          <w:spacing w:val="1"/>
          <w:vertAlign w:val="baseline"/>
        </w:rPr>
        <w:t> </w:t>
      </w:r>
      <w:hyperlink r:id="rId153">
        <w:r>
          <w:rPr>
            <w:color w:val="3953A4"/>
            <w:u w:val="single" w:color="3953A4"/>
            <w:vertAlign w:val="baseline"/>
          </w:rPr>
          <w:t>exchange-study.htm</w:t>
        </w:r>
      </w:hyperlink>
      <w:r>
        <w:rPr>
          <w:color w:val="3953A4"/>
          <w:u w:val="single" w:color="3953A4"/>
          <w:vertAlign w:val="baseline"/>
        </w:rPr>
        <w:t>l</w:t>
      </w:r>
      <w:r>
        <w:rPr>
          <w:color w:val="3953A4"/>
          <w:spacing w:val="-1"/>
          <w:u w:val="single" w:color="3953A4"/>
          <w:vertAlign w:val="baseline"/>
        </w:rPr>
        <w:t> </w:t>
      </w:r>
    </w:p>
    <w:p>
      <w:pPr>
        <w:pStyle w:val="BodyText"/>
        <w:tabs>
          <w:tab w:pos="519" w:val="left" w:leader="none"/>
        </w:tabs>
        <w:spacing w:line="228" w:lineRule="auto" w:before="88"/>
        <w:ind w:left="520" w:right="140" w:hanging="360"/>
      </w:pPr>
      <w:r>
        <w:rPr>
          <w:color w:val="010202"/>
          <w:vertAlign w:val="superscript"/>
        </w:rPr>
        <w:t>2</w:t>
      </w:r>
      <w:r>
        <w:rPr>
          <w:color w:val="010202"/>
          <w:vertAlign w:val="baseline"/>
        </w:rPr>
        <w:tab/>
        <w:t>Benowitz, S. (1997, February 2). Politics polarizing</w:t>
      </w:r>
      <w:r>
        <w:rPr>
          <w:color w:val="010202"/>
          <w:spacing w:val="-53"/>
          <w:vertAlign w:val="baseline"/>
        </w:rPr>
        <w:t> </w:t>
      </w:r>
      <w:r>
        <w:rPr>
          <w:color w:val="010202"/>
          <w:vertAlign w:val="baseline"/>
        </w:rPr>
        <w:t>issues in needle-exchange study. </w:t>
      </w:r>
      <w:r>
        <w:rPr>
          <w:i/>
          <w:color w:val="010202"/>
          <w:vertAlign w:val="baseline"/>
        </w:rPr>
        <w:t>The Scientist</w:t>
      </w:r>
      <w:r>
        <w:rPr>
          <w:color w:val="010202"/>
          <w:vertAlign w:val="baseline"/>
        </w:rPr>
        <w:t>.</w:t>
      </w:r>
      <w:r>
        <w:rPr>
          <w:color w:val="010202"/>
          <w:spacing w:val="1"/>
          <w:vertAlign w:val="baseline"/>
        </w:rPr>
        <w:t> </w:t>
      </w:r>
      <w:hyperlink r:id="rId154">
        <w:r>
          <w:rPr>
            <w:color w:val="3953A4"/>
            <w:u w:val="single" w:color="3953A4"/>
            <w:vertAlign w:val="baseline"/>
          </w:rPr>
          <w:t>https://www.the-scientist.com/news/politics-</w:t>
        </w:r>
      </w:hyperlink>
      <w:r>
        <w:rPr>
          <w:color w:val="3953A4"/>
          <w:spacing w:val="1"/>
          <w:vertAlign w:val="baseline"/>
        </w:rPr>
        <w:t> </w:t>
      </w:r>
      <w:hyperlink r:id="rId154">
        <w:r>
          <w:rPr>
            <w:color w:val="3953A4"/>
            <w:u w:val="single" w:color="3953A4"/>
            <w:vertAlign w:val="baseline"/>
          </w:rPr>
          <w:t>polarizing-issues-in-needle-exchange-study-57635</w:t>
        </w:r>
      </w:hyperlink>
    </w:p>
    <w:p>
      <w:pPr>
        <w:pStyle w:val="BodyText"/>
        <w:tabs>
          <w:tab w:pos="519" w:val="left" w:leader="none"/>
        </w:tabs>
        <w:spacing w:line="228" w:lineRule="auto" w:before="89"/>
        <w:ind w:left="520" w:right="652" w:hanging="360"/>
      </w:pPr>
      <w:r>
        <w:rPr>
          <w:color w:val="231F20"/>
          <w:vertAlign w:val="superscript"/>
        </w:rPr>
        <w:t>3</w:t>
      </w:r>
      <w:r>
        <w:rPr>
          <w:color w:val="231F20"/>
          <w:vertAlign w:val="baseline"/>
        </w:rPr>
        <w:tab/>
      </w:r>
      <w:r>
        <w:rPr>
          <w:color w:val="231F20"/>
          <w:spacing w:val="-2"/>
          <w:vertAlign w:val="baseline"/>
        </w:rPr>
        <w:t>Fisher, D. </w:t>
      </w:r>
      <w:r>
        <w:rPr>
          <w:color w:val="231F20"/>
          <w:spacing w:val="-1"/>
          <w:vertAlign w:val="baseline"/>
        </w:rPr>
        <w:t>G., Fenaughty, A. M., Cagle, H. H.,</w:t>
      </w:r>
      <w:r>
        <w:rPr>
          <w:color w:val="231F20"/>
          <w:spacing w:val="-52"/>
          <w:vertAlign w:val="baseline"/>
        </w:rPr>
        <w:t> </w:t>
      </w:r>
      <w:r>
        <w:rPr>
          <w:color w:val="231F20"/>
          <w:vertAlign w:val="baseline"/>
        </w:rPr>
        <w:t>&amp;</w:t>
      </w:r>
      <w:r>
        <w:rPr>
          <w:color w:val="231F20"/>
          <w:spacing w:val="-7"/>
          <w:vertAlign w:val="baseline"/>
        </w:rPr>
        <w:t> </w:t>
      </w:r>
      <w:r>
        <w:rPr>
          <w:color w:val="231F20"/>
          <w:vertAlign w:val="baseline"/>
        </w:rPr>
        <w:t>Wells,</w:t>
      </w:r>
      <w:r>
        <w:rPr>
          <w:color w:val="231F20"/>
          <w:spacing w:val="-2"/>
          <w:vertAlign w:val="baseline"/>
        </w:rPr>
        <w:t> </w:t>
      </w:r>
      <w:r>
        <w:rPr>
          <w:color w:val="231F20"/>
          <w:vertAlign w:val="baseline"/>
        </w:rPr>
        <w:t>R.</w:t>
      </w:r>
      <w:r>
        <w:rPr>
          <w:color w:val="231F20"/>
          <w:spacing w:val="-3"/>
          <w:vertAlign w:val="baseline"/>
        </w:rPr>
        <w:t> </w:t>
      </w:r>
      <w:r>
        <w:rPr>
          <w:color w:val="231F20"/>
          <w:vertAlign w:val="baseline"/>
        </w:rPr>
        <w:t>S.</w:t>
      </w:r>
      <w:r>
        <w:rPr>
          <w:color w:val="231F20"/>
          <w:spacing w:val="-3"/>
          <w:vertAlign w:val="baseline"/>
        </w:rPr>
        <w:t> </w:t>
      </w:r>
      <w:r>
        <w:rPr>
          <w:color w:val="231F20"/>
          <w:vertAlign w:val="baseline"/>
        </w:rPr>
        <w:t>(2003).</w:t>
      </w:r>
      <w:r>
        <w:rPr>
          <w:color w:val="231F20"/>
          <w:spacing w:val="-2"/>
          <w:vertAlign w:val="baseline"/>
        </w:rPr>
        <w:t> </w:t>
      </w:r>
      <w:r>
        <w:rPr>
          <w:color w:val="231F20"/>
          <w:vertAlign w:val="baseline"/>
        </w:rPr>
        <w:t>Needle</w:t>
      </w:r>
      <w:r>
        <w:rPr>
          <w:color w:val="231F20"/>
          <w:spacing w:val="-4"/>
          <w:vertAlign w:val="baseline"/>
        </w:rPr>
        <w:t> </w:t>
      </w:r>
      <w:r>
        <w:rPr>
          <w:color w:val="231F20"/>
          <w:vertAlign w:val="baseline"/>
        </w:rPr>
        <w:t>exchange</w:t>
      </w:r>
      <w:r>
        <w:rPr>
          <w:color w:val="231F20"/>
          <w:spacing w:val="-2"/>
          <w:vertAlign w:val="baseline"/>
        </w:rPr>
        <w:t> </w:t>
      </w:r>
      <w:r>
        <w:rPr>
          <w:color w:val="231F20"/>
          <w:vertAlign w:val="baseline"/>
        </w:rPr>
        <w:t>and</w:t>
      </w:r>
    </w:p>
    <w:p>
      <w:pPr>
        <w:spacing w:line="228" w:lineRule="auto" w:before="0"/>
        <w:ind w:left="520" w:right="139" w:firstLine="0"/>
        <w:jc w:val="left"/>
        <w:rPr>
          <w:sz w:val="22"/>
        </w:rPr>
      </w:pPr>
      <w:r>
        <w:rPr>
          <w:color w:val="231F20"/>
          <w:spacing w:val="-1"/>
          <w:sz w:val="22"/>
        </w:rPr>
        <w:t>injection drug</w:t>
      </w:r>
      <w:r>
        <w:rPr>
          <w:color w:val="231F20"/>
          <w:sz w:val="22"/>
        </w:rPr>
        <w:t> use</w:t>
      </w:r>
      <w:r>
        <w:rPr>
          <w:color w:val="231F20"/>
          <w:spacing w:val="-1"/>
          <w:sz w:val="22"/>
        </w:rPr>
        <w:t> </w:t>
      </w:r>
      <w:r>
        <w:rPr>
          <w:color w:val="231F20"/>
          <w:sz w:val="22"/>
        </w:rPr>
        <w:t>frequency:</w:t>
      </w:r>
      <w:r>
        <w:rPr>
          <w:color w:val="231F20"/>
          <w:spacing w:val="-13"/>
          <w:sz w:val="22"/>
        </w:rPr>
        <w:t> </w:t>
      </w:r>
      <w:r>
        <w:rPr>
          <w:color w:val="231F20"/>
          <w:sz w:val="22"/>
        </w:rPr>
        <w:t>A</w:t>
      </w:r>
      <w:r>
        <w:rPr>
          <w:color w:val="231F20"/>
          <w:spacing w:val="-13"/>
          <w:sz w:val="22"/>
        </w:rPr>
        <w:t> </w:t>
      </w:r>
      <w:r>
        <w:rPr>
          <w:color w:val="231F20"/>
          <w:sz w:val="22"/>
        </w:rPr>
        <w:t>randomized</w:t>
      </w:r>
      <w:r>
        <w:rPr>
          <w:color w:val="231F20"/>
          <w:spacing w:val="-1"/>
          <w:sz w:val="22"/>
        </w:rPr>
        <w:t> </w:t>
      </w:r>
      <w:r>
        <w:rPr>
          <w:color w:val="231F20"/>
          <w:sz w:val="22"/>
        </w:rPr>
        <w:t>clinical</w:t>
      </w:r>
      <w:r>
        <w:rPr>
          <w:color w:val="231F20"/>
          <w:spacing w:val="-52"/>
          <w:sz w:val="22"/>
        </w:rPr>
        <w:t> </w:t>
      </w:r>
      <w:r>
        <w:rPr>
          <w:color w:val="231F20"/>
          <w:sz w:val="22"/>
        </w:rPr>
        <w:t>trial. </w:t>
      </w:r>
      <w:r>
        <w:rPr>
          <w:i/>
          <w:color w:val="231F20"/>
          <w:sz w:val="22"/>
        </w:rPr>
        <w:t>Journal of Acquired Immune Deficiency</w:t>
      </w:r>
      <w:r>
        <w:rPr>
          <w:i/>
          <w:color w:val="231F20"/>
          <w:spacing w:val="1"/>
          <w:sz w:val="22"/>
        </w:rPr>
        <w:t> </w:t>
      </w:r>
      <w:r>
        <w:rPr>
          <w:i/>
          <w:color w:val="231F20"/>
          <w:sz w:val="22"/>
        </w:rPr>
        <w:t>Syndromes (JAIDS), 33</w:t>
      </w:r>
      <w:r>
        <w:rPr>
          <w:color w:val="231F20"/>
          <w:sz w:val="22"/>
        </w:rPr>
        <w:t>(2), 199-205. </w:t>
      </w:r>
      <w:hyperlink r:id="rId155">
        <w:r>
          <w:rPr>
            <w:color w:val="3953A4"/>
            <w:sz w:val="22"/>
            <w:u w:val="single" w:color="3953A4"/>
          </w:rPr>
          <w:t>https://doi.</w:t>
        </w:r>
      </w:hyperlink>
      <w:r>
        <w:rPr>
          <w:color w:val="3953A4"/>
          <w:spacing w:val="1"/>
          <w:sz w:val="22"/>
        </w:rPr>
        <w:t> </w:t>
      </w:r>
      <w:hyperlink r:id="rId155">
        <w:r>
          <w:rPr>
            <w:color w:val="3953A4"/>
            <w:sz w:val="22"/>
            <w:u w:val="single" w:color="3953A4"/>
          </w:rPr>
          <w:t>org/10.1097/00126334-200306010-00014</w:t>
        </w:r>
      </w:hyperlink>
    </w:p>
    <w:p>
      <w:pPr>
        <w:pStyle w:val="BodyText"/>
        <w:tabs>
          <w:tab w:pos="519" w:val="left" w:leader="none"/>
        </w:tabs>
        <w:spacing w:line="228" w:lineRule="auto" w:before="88"/>
        <w:ind w:left="520" w:right="494" w:hanging="360"/>
      </w:pPr>
      <w:r>
        <w:rPr>
          <w:color w:val="231F20"/>
          <w:vertAlign w:val="superscript"/>
        </w:rPr>
        <w:t>4</w:t>
      </w:r>
      <w:r>
        <w:rPr>
          <w:color w:val="231F20"/>
          <w:vertAlign w:val="baseline"/>
        </w:rPr>
        <w:tab/>
      </w:r>
      <w:r>
        <w:rPr>
          <w:color w:val="231F20"/>
          <w:spacing w:val="-2"/>
          <w:vertAlign w:val="baseline"/>
        </w:rPr>
        <w:t>Abdul-Quader, </w:t>
      </w:r>
      <w:r>
        <w:rPr>
          <w:color w:val="231F20"/>
          <w:spacing w:val="-1"/>
          <w:vertAlign w:val="baseline"/>
        </w:rPr>
        <w:t>A. S., Feelemyer, J., Modi, S.,</w:t>
      </w:r>
      <w:r>
        <w:rPr>
          <w:color w:val="231F20"/>
          <w:vertAlign w:val="baseline"/>
        </w:rPr>
        <w:t> </w:t>
      </w:r>
      <w:r>
        <w:rPr>
          <w:color w:val="231F20"/>
          <w:spacing w:val="-1"/>
          <w:vertAlign w:val="baseline"/>
        </w:rPr>
        <w:t>Stein, E. S., Briceno, A., Semaan, </w:t>
      </w:r>
      <w:r>
        <w:rPr>
          <w:color w:val="231F20"/>
          <w:vertAlign w:val="baseline"/>
        </w:rPr>
        <w:t>S., Horvath,</w:t>
      </w:r>
      <w:r>
        <w:rPr>
          <w:color w:val="231F20"/>
          <w:spacing w:val="1"/>
          <w:vertAlign w:val="baseline"/>
        </w:rPr>
        <w:t> </w:t>
      </w:r>
      <w:r>
        <w:rPr>
          <w:color w:val="231F20"/>
          <w:vertAlign w:val="baseline"/>
        </w:rPr>
        <w:t>T.,</w:t>
      </w:r>
      <w:r>
        <w:rPr>
          <w:color w:val="231F20"/>
          <w:spacing w:val="-6"/>
          <w:vertAlign w:val="baseline"/>
        </w:rPr>
        <w:t> </w:t>
      </w:r>
      <w:r>
        <w:rPr>
          <w:color w:val="231F20"/>
          <w:vertAlign w:val="baseline"/>
        </w:rPr>
        <w:t>Kennedy,</w:t>
      </w:r>
      <w:r>
        <w:rPr>
          <w:color w:val="231F20"/>
          <w:spacing w:val="-5"/>
          <w:vertAlign w:val="baseline"/>
        </w:rPr>
        <w:t> </w:t>
      </w:r>
      <w:r>
        <w:rPr>
          <w:color w:val="231F20"/>
          <w:vertAlign w:val="baseline"/>
        </w:rPr>
        <w:t>G.</w:t>
      </w:r>
      <w:r>
        <w:rPr>
          <w:color w:val="231F20"/>
          <w:spacing w:val="-6"/>
          <w:vertAlign w:val="baseline"/>
        </w:rPr>
        <w:t> </w:t>
      </w:r>
      <w:r>
        <w:rPr>
          <w:color w:val="231F20"/>
          <w:vertAlign w:val="baseline"/>
        </w:rPr>
        <w:t>E.,</w:t>
      </w:r>
      <w:r>
        <w:rPr>
          <w:color w:val="231F20"/>
          <w:spacing w:val="-5"/>
          <w:vertAlign w:val="baseline"/>
        </w:rPr>
        <w:t> </w:t>
      </w:r>
      <w:r>
        <w:rPr>
          <w:color w:val="231F20"/>
          <w:vertAlign w:val="baseline"/>
        </w:rPr>
        <w:t>&amp;</w:t>
      </w:r>
      <w:r>
        <w:rPr>
          <w:color w:val="231F20"/>
          <w:spacing w:val="-6"/>
          <w:vertAlign w:val="baseline"/>
        </w:rPr>
        <w:t> </w:t>
      </w:r>
      <w:r>
        <w:rPr>
          <w:color w:val="231F20"/>
          <w:vertAlign w:val="baseline"/>
        </w:rPr>
        <w:t>Des</w:t>
      </w:r>
      <w:r>
        <w:rPr>
          <w:color w:val="231F20"/>
          <w:spacing w:val="-6"/>
          <w:vertAlign w:val="baseline"/>
        </w:rPr>
        <w:t> </w:t>
      </w:r>
      <w:r>
        <w:rPr>
          <w:color w:val="231F20"/>
          <w:vertAlign w:val="baseline"/>
        </w:rPr>
        <w:t>Jarlais,</w:t>
      </w:r>
      <w:r>
        <w:rPr>
          <w:color w:val="231F20"/>
          <w:spacing w:val="-6"/>
          <w:vertAlign w:val="baseline"/>
        </w:rPr>
        <w:t> </w:t>
      </w:r>
      <w:r>
        <w:rPr>
          <w:color w:val="231F20"/>
          <w:vertAlign w:val="baseline"/>
        </w:rPr>
        <w:t>D.</w:t>
      </w:r>
      <w:r>
        <w:rPr>
          <w:color w:val="231F20"/>
          <w:spacing w:val="-6"/>
          <w:vertAlign w:val="baseline"/>
        </w:rPr>
        <w:t> </w:t>
      </w:r>
      <w:r>
        <w:rPr>
          <w:color w:val="231F20"/>
          <w:vertAlign w:val="baseline"/>
        </w:rPr>
        <w:t>C.</w:t>
      </w:r>
      <w:r>
        <w:rPr>
          <w:color w:val="231F20"/>
          <w:spacing w:val="-5"/>
          <w:vertAlign w:val="baseline"/>
        </w:rPr>
        <w:t> </w:t>
      </w:r>
      <w:r>
        <w:rPr>
          <w:color w:val="231F20"/>
          <w:vertAlign w:val="baseline"/>
        </w:rPr>
        <w:t>(2013).</w:t>
      </w:r>
    </w:p>
    <w:p>
      <w:pPr>
        <w:pStyle w:val="BodyText"/>
        <w:spacing w:line="228" w:lineRule="auto"/>
        <w:ind w:left="519" w:right="129"/>
      </w:pPr>
      <w:r>
        <w:rPr>
          <w:color w:val="231F20"/>
        </w:rPr>
        <w:t>Effectiveness of structural-level needle/syringe</w:t>
      </w:r>
      <w:r>
        <w:rPr>
          <w:color w:val="231F20"/>
          <w:spacing w:val="1"/>
        </w:rPr>
        <w:t> </w:t>
      </w:r>
      <w:r>
        <w:rPr>
          <w:color w:val="231F20"/>
        </w:rPr>
        <w:t>programs to reduce HCV and HIV infection among</w:t>
      </w:r>
      <w:r>
        <w:rPr>
          <w:color w:val="231F20"/>
          <w:spacing w:val="-52"/>
        </w:rPr>
        <w:t> </w:t>
      </w:r>
      <w:r>
        <w:rPr>
          <w:color w:val="231F20"/>
          <w:spacing w:val="-1"/>
        </w:rPr>
        <w:t>people who inject drugs: A systematic </w:t>
      </w:r>
      <w:r>
        <w:rPr>
          <w:color w:val="231F20"/>
        </w:rPr>
        <w:t>review. </w:t>
      </w:r>
      <w:r>
        <w:rPr>
          <w:i/>
          <w:color w:val="231F20"/>
        </w:rPr>
        <w:t>AIDS</w:t>
      </w:r>
      <w:r>
        <w:rPr>
          <w:i/>
          <w:color w:val="231F20"/>
          <w:spacing w:val="-52"/>
        </w:rPr>
        <w:t> </w:t>
      </w:r>
      <w:r>
        <w:rPr>
          <w:i/>
          <w:color w:val="231F20"/>
        </w:rPr>
        <w:t>and Behavior Addiction, 17</w:t>
      </w:r>
      <w:r>
        <w:rPr>
          <w:color w:val="231F20"/>
        </w:rPr>
        <w:t>(9), 2878-2892. </w:t>
      </w:r>
      <w:hyperlink r:id="rId156">
        <w:r>
          <w:rPr>
            <w:color w:val="3953A4"/>
            <w:u w:val="single" w:color="3953A4"/>
          </w:rPr>
          <w:t>https://</w:t>
        </w:r>
      </w:hyperlink>
      <w:r>
        <w:rPr>
          <w:color w:val="3953A4"/>
          <w:spacing w:val="1"/>
        </w:rPr>
        <w:t> </w:t>
      </w:r>
      <w:hyperlink r:id="rId156">
        <w:r>
          <w:rPr>
            <w:color w:val="3953A4"/>
            <w:u w:val="single" w:color="3953A4"/>
          </w:rPr>
          <w:t>doi.org/10.1007/s10461-013-0593-</w:t>
        </w:r>
      </w:hyperlink>
      <w:r>
        <w:rPr>
          <w:color w:val="3953A4"/>
          <w:u w:val="single" w:color="3953A4"/>
        </w:rPr>
        <w:t>y </w:t>
      </w:r>
    </w:p>
    <w:p>
      <w:pPr>
        <w:pStyle w:val="BodyText"/>
        <w:tabs>
          <w:tab w:pos="519" w:val="left" w:leader="none"/>
        </w:tabs>
        <w:spacing w:line="228" w:lineRule="auto" w:before="87"/>
        <w:ind w:left="520" w:right="267" w:hanging="360"/>
      </w:pPr>
      <w:r>
        <w:rPr>
          <w:color w:val="231F20"/>
          <w:vertAlign w:val="superscript"/>
        </w:rPr>
        <w:t>5</w:t>
      </w:r>
      <w:r>
        <w:rPr>
          <w:color w:val="231F20"/>
          <w:vertAlign w:val="baseline"/>
        </w:rPr>
        <w:tab/>
        <w:t>Aspinall, E. J., Nambiar, D., Goldberg, D. J.,</w:t>
      </w:r>
      <w:r>
        <w:rPr>
          <w:color w:val="231F20"/>
          <w:spacing w:val="1"/>
          <w:vertAlign w:val="baseline"/>
        </w:rPr>
        <w:t> </w:t>
      </w:r>
      <w:r>
        <w:rPr>
          <w:color w:val="231F20"/>
          <w:spacing w:val="-3"/>
          <w:vertAlign w:val="baseline"/>
        </w:rPr>
        <w:t>Hickman, M., Weir, A., Van </w:t>
      </w:r>
      <w:r>
        <w:rPr>
          <w:color w:val="231F20"/>
          <w:spacing w:val="-2"/>
          <w:vertAlign w:val="baseline"/>
        </w:rPr>
        <w:t>Velzen, E., Palmateer,</w:t>
      </w:r>
      <w:r>
        <w:rPr>
          <w:color w:val="231F20"/>
          <w:spacing w:val="-52"/>
          <w:vertAlign w:val="baseline"/>
        </w:rPr>
        <w:t> </w:t>
      </w:r>
      <w:r>
        <w:rPr>
          <w:color w:val="231F20"/>
          <w:vertAlign w:val="baseline"/>
        </w:rPr>
        <w:t>N.,</w:t>
      </w:r>
      <w:r>
        <w:rPr>
          <w:color w:val="231F20"/>
          <w:spacing w:val="-4"/>
          <w:vertAlign w:val="baseline"/>
        </w:rPr>
        <w:t> </w:t>
      </w:r>
      <w:r>
        <w:rPr>
          <w:color w:val="231F20"/>
          <w:vertAlign w:val="baseline"/>
        </w:rPr>
        <w:t>Doyle,</w:t>
      </w:r>
      <w:r>
        <w:rPr>
          <w:color w:val="231F20"/>
          <w:spacing w:val="-3"/>
          <w:vertAlign w:val="baseline"/>
        </w:rPr>
        <w:t> </w:t>
      </w:r>
      <w:r>
        <w:rPr>
          <w:color w:val="231F20"/>
          <w:vertAlign w:val="baseline"/>
        </w:rPr>
        <w:t>J.</w:t>
      </w:r>
      <w:r>
        <w:rPr>
          <w:color w:val="231F20"/>
          <w:spacing w:val="-3"/>
          <w:vertAlign w:val="baseline"/>
        </w:rPr>
        <w:t> </w:t>
      </w:r>
      <w:r>
        <w:rPr>
          <w:color w:val="231F20"/>
          <w:vertAlign w:val="baseline"/>
        </w:rPr>
        <w:t>S.,</w:t>
      </w:r>
      <w:r>
        <w:rPr>
          <w:color w:val="231F20"/>
          <w:spacing w:val="-3"/>
          <w:vertAlign w:val="baseline"/>
        </w:rPr>
        <w:t> </w:t>
      </w:r>
      <w:r>
        <w:rPr>
          <w:color w:val="231F20"/>
          <w:vertAlign w:val="baseline"/>
        </w:rPr>
        <w:t>Hellard,</w:t>
      </w:r>
      <w:r>
        <w:rPr>
          <w:color w:val="231F20"/>
          <w:spacing w:val="-3"/>
          <w:vertAlign w:val="baseline"/>
        </w:rPr>
        <w:t> </w:t>
      </w:r>
      <w:r>
        <w:rPr>
          <w:color w:val="231F20"/>
          <w:vertAlign w:val="baseline"/>
        </w:rPr>
        <w:t>M.</w:t>
      </w:r>
      <w:r>
        <w:rPr>
          <w:color w:val="231F20"/>
          <w:spacing w:val="-3"/>
          <w:vertAlign w:val="baseline"/>
        </w:rPr>
        <w:t> </w:t>
      </w:r>
      <w:r>
        <w:rPr>
          <w:color w:val="231F20"/>
          <w:vertAlign w:val="baseline"/>
        </w:rPr>
        <w:t>E.,</w:t>
      </w:r>
      <w:r>
        <w:rPr>
          <w:color w:val="231F20"/>
          <w:spacing w:val="-2"/>
          <w:vertAlign w:val="baseline"/>
        </w:rPr>
        <w:t> </w:t>
      </w:r>
      <w:r>
        <w:rPr>
          <w:color w:val="231F20"/>
          <w:vertAlign w:val="baseline"/>
        </w:rPr>
        <w:t>&amp;</w:t>
      </w:r>
      <w:r>
        <w:rPr>
          <w:color w:val="231F20"/>
          <w:spacing w:val="-2"/>
          <w:vertAlign w:val="baseline"/>
        </w:rPr>
        <w:t> </w:t>
      </w:r>
      <w:r>
        <w:rPr>
          <w:color w:val="231F20"/>
          <w:vertAlign w:val="baseline"/>
        </w:rPr>
        <w:t>Hutchinson,</w:t>
      </w:r>
    </w:p>
    <w:p>
      <w:pPr>
        <w:pStyle w:val="BodyText"/>
        <w:spacing w:line="228" w:lineRule="auto"/>
        <w:ind w:left="520" w:right="390"/>
      </w:pPr>
      <w:r>
        <w:rPr>
          <w:color w:val="231F20"/>
          <w:spacing w:val="-1"/>
        </w:rPr>
        <w:t>S.</w:t>
      </w:r>
      <w:r>
        <w:rPr>
          <w:color w:val="231F20"/>
          <w:spacing w:val="-2"/>
        </w:rPr>
        <w:t> </w:t>
      </w:r>
      <w:r>
        <w:rPr>
          <w:color w:val="231F20"/>
          <w:spacing w:val="-1"/>
        </w:rPr>
        <w:t>J.</w:t>
      </w:r>
      <w:r>
        <w:rPr>
          <w:color w:val="231F20"/>
          <w:spacing w:val="-2"/>
        </w:rPr>
        <w:t> </w:t>
      </w:r>
      <w:r>
        <w:rPr>
          <w:color w:val="231F20"/>
        </w:rPr>
        <w:t>(2014).</w:t>
      </w:r>
      <w:r>
        <w:rPr>
          <w:color w:val="231F20"/>
          <w:spacing w:val="-14"/>
        </w:rPr>
        <w:t> </w:t>
      </w:r>
      <w:r>
        <w:rPr>
          <w:color w:val="231F20"/>
        </w:rPr>
        <w:t>Are</w:t>
      </w:r>
      <w:r>
        <w:rPr>
          <w:color w:val="231F20"/>
          <w:spacing w:val="-2"/>
        </w:rPr>
        <w:t> </w:t>
      </w:r>
      <w:r>
        <w:rPr>
          <w:color w:val="231F20"/>
        </w:rPr>
        <w:t>needle</w:t>
      </w:r>
      <w:r>
        <w:rPr>
          <w:color w:val="231F20"/>
          <w:spacing w:val="-1"/>
        </w:rPr>
        <w:t> </w:t>
      </w:r>
      <w:r>
        <w:rPr>
          <w:color w:val="231F20"/>
        </w:rPr>
        <w:t>and syringe</w:t>
      </w:r>
      <w:r>
        <w:rPr>
          <w:color w:val="231F20"/>
          <w:spacing w:val="-2"/>
        </w:rPr>
        <w:t> </w:t>
      </w:r>
      <w:r>
        <w:rPr>
          <w:color w:val="231F20"/>
        </w:rPr>
        <w:t>programmes</w:t>
      </w:r>
      <w:r>
        <w:rPr>
          <w:color w:val="231F20"/>
          <w:spacing w:val="-52"/>
        </w:rPr>
        <w:t> </w:t>
      </w:r>
      <w:r>
        <w:rPr>
          <w:color w:val="231F20"/>
        </w:rPr>
        <w:t>associated with a reduction in HIV transmission</w:t>
      </w:r>
      <w:r>
        <w:rPr>
          <w:color w:val="231F20"/>
          <w:spacing w:val="1"/>
        </w:rPr>
        <w:t> </w:t>
      </w:r>
      <w:r>
        <w:rPr>
          <w:color w:val="231F20"/>
          <w:spacing w:val="-1"/>
        </w:rPr>
        <w:t>among </w:t>
      </w:r>
      <w:r>
        <w:rPr>
          <w:color w:val="231F20"/>
        </w:rPr>
        <w:t>people who inject drugs: A systematic</w:t>
      </w:r>
      <w:r>
        <w:rPr>
          <w:color w:val="231F20"/>
          <w:spacing w:val="1"/>
        </w:rPr>
        <w:t> </w:t>
      </w:r>
      <w:r>
        <w:rPr>
          <w:color w:val="231F20"/>
        </w:rPr>
        <w:t>review and meta-analysis. </w:t>
      </w:r>
      <w:r>
        <w:rPr>
          <w:i/>
          <w:color w:val="231F20"/>
        </w:rPr>
        <w:t>International Journal</w:t>
      </w:r>
      <w:r>
        <w:rPr>
          <w:i/>
          <w:color w:val="231F20"/>
          <w:spacing w:val="1"/>
        </w:rPr>
        <w:t> </w:t>
      </w:r>
      <w:r>
        <w:rPr>
          <w:i/>
          <w:color w:val="231F20"/>
        </w:rPr>
        <w:t>of Epidemiology, 43</w:t>
      </w:r>
      <w:r>
        <w:rPr>
          <w:color w:val="231F20"/>
        </w:rPr>
        <w:t>(1), 235-248.</w:t>
      </w:r>
      <w:r>
        <w:rPr>
          <w:color w:val="3953A4"/>
        </w:rPr>
        <w:t> </w:t>
      </w:r>
      <w:r>
        <w:rPr>
          <w:color w:val="3953A4"/>
          <w:u w:val="single" w:color="3953A4"/>
        </w:rPr>
        <w:t>https://doi.org/</w:t>
      </w:r>
      <w:r>
        <w:rPr>
          <w:color w:val="3953A4"/>
          <w:spacing w:val="-52"/>
        </w:rPr>
        <w:t> </w:t>
      </w:r>
      <w:r>
        <w:rPr>
          <w:color w:val="3953A4"/>
          <w:u w:val="single" w:color="3953A4"/>
        </w:rPr>
        <w:t>doi:10.1093/ije/dyt243</w:t>
      </w:r>
    </w:p>
    <w:p>
      <w:pPr>
        <w:spacing w:line="228" w:lineRule="auto" w:before="87"/>
        <w:ind w:left="520" w:right="169" w:hanging="361"/>
        <w:jc w:val="both"/>
        <w:rPr>
          <w:sz w:val="22"/>
        </w:rPr>
      </w:pPr>
      <w:r>
        <w:rPr>
          <w:color w:val="010202"/>
          <w:sz w:val="22"/>
          <w:vertAlign w:val="superscript"/>
        </w:rPr>
        <w:t>6</w:t>
      </w:r>
      <w:r>
        <w:rPr>
          <w:color w:val="010202"/>
          <w:spacing w:val="1"/>
          <w:sz w:val="22"/>
          <w:vertAlign w:val="baseline"/>
        </w:rPr>
        <w:t> </w:t>
      </w:r>
      <w:r>
        <w:rPr>
          <w:color w:val="231F20"/>
          <w:sz w:val="22"/>
          <w:vertAlign w:val="baseline"/>
        </w:rPr>
        <w:t>Centers for Disease Control and Prevention. (2020,</w:t>
      </w:r>
      <w:r>
        <w:rPr>
          <w:color w:val="231F20"/>
          <w:spacing w:val="-52"/>
          <w:sz w:val="22"/>
          <w:vertAlign w:val="baseline"/>
        </w:rPr>
        <w:t> </w:t>
      </w:r>
      <w:r>
        <w:rPr>
          <w:color w:val="231F20"/>
          <w:sz w:val="22"/>
          <w:vertAlign w:val="baseline"/>
        </w:rPr>
        <w:t>May</w:t>
      </w:r>
      <w:r>
        <w:rPr>
          <w:color w:val="231F20"/>
          <w:spacing w:val="-9"/>
          <w:sz w:val="22"/>
          <w:vertAlign w:val="baseline"/>
        </w:rPr>
        <w:t> </w:t>
      </w:r>
      <w:r>
        <w:rPr>
          <w:color w:val="231F20"/>
          <w:sz w:val="22"/>
          <w:vertAlign w:val="baseline"/>
        </w:rPr>
        <w:t>18).</w:t>
      </w:r>
      <w:r>
        <w:rPr>
          <w:color w:val="231F20"/>
          <w:spacing w:val="-7"/>
          <w:sz w:val="22"/>
          <w:vertAlign w:val="baseline"/>
        </w:rPr>
        <w:t> </w:t>
      </w:r>
      <w:r>
        <w:rPr>
          <w:i/>
          <w:color w:val="231F20"/>
          <w:sz w:val="22"/>
          <w:vertAlign w:val="baseline"/>
        </w:rPr>
        <w:t>Pre-exposure</w:t>
      </w:r>
      <w:r>
        <w:rPr>
          <w:i/>
          <w:color w:val="231F20"/>
          <w:spacing w:val="-8"/>
          <w:sz w:val="22"/>
          <w:vertAlign w:val="baseline"/>
        </w:rPr>
        <w:t> </w:t>
      </w:r>
      <w:r>
        <w:rPr>
          <w:i/>
          <w:color w:val="231F20"/>
          <w:sz w:val="22"/>
          <w:vertAlign w:val="baseline"/>
        </w:rPr>
        <w:t>prophylaxis</w:t>
      </w:r>
      <w:r>
        <w:rPr>
          <w:i/>
          <w:color w:val="231F20"/>
          <w:spacing w:val="-7"/>
          <w:sz w:val="22"/>
          <w:vertAlign w:val="baseline"/>
        </w:rPr>
        <w:t> </w:t>
      </w:r>
      <w:r>
        <w:rPr>
          <w:i/>
          <w:color w:val="231F20"/>
          <w:sz w:val="22"/>
          <w:vertAlign w:val="baseline"/>
        </w:rPr>
        <w:t>(PrEP).</w:t>
      </w:r>
      <w:r>
        <w:rPr>
          <w:i/>
          <w:color w:val="231F20"/>
          <w:spacing w:val="-8"/>
          <w:sz w:val="22"/>
          <w:vertAlign w:val="baseline"/>
        </w:rPr>
        <w:t> </w:t>
      </w:r>
      <w:hyperlink r:id="rId157">
        <w:r>
          <w:rPr>
            <w:color w:val="3953A4"/>
            <w:sz w:val="22"/>
            <w:u w:val="single" w:color="3953A4"/>
            <w:vertAlign w:val="baseline"/>
          </w:rPr>
          <w:t>https://</w:t>
        </w:r>
      </w:hyperlink>
      <w:r>
        <w:rPr>
          <w:color w:val="3953A4"/>
          <w:spacing w:val="-53"/>
          <w:sz w:val="22"/>
          <w:vertAlign w:val="baseline"/>
        </w:rPr>
        <w:t> </w:t>
      </w:r>
      <w:hyperlink r:id="rId157">
        <w:r>
          <w:rPr>
            <w:color w:val="3953A4"/>
            <w:sz w:val="22"/>
            <w:u w:val="single" w:color="3953A4"/>
            <w:vertAlign w:val="baseline"/>
          </w:rPr>
          <w:t>www.cdc.gov/hiv/clinicians/prevention/prep.htm</w:t>
        </w:r>
      </w:hyperlink>
      <w:r>
        <w:rPr>
          <w:color w:val="3953A4"/>
          <w:sz w:val="22"/>
          <w:u w:val="single" w:color="3953A4"/>
          <w:vertAlign w:val="baseline"/>
        </w:rPr>
        <w:t>l</w:t>
      </w:r>
      <w:r>
        <w:rPr>
          <w:color w:val="3953A4"/>
          <w:spacing w:val="-1"/>
          <w:sz w:val="22"/>
          <w:u w:val="single" w:color="3953A4"/>
          <w:vertAlign w:val="baseline"/>
        </w:rPr>
        <w:t> </w:t>
      </w:r>
    </w:p>
    <w:p>
      <w:pPr>
        <w:pStyle w:val="BodyText"/>
        <w:tabs>
          <w:tab w:pos="519" w:val="left" w:leader="none"/>
        </w:tabs>
        <w:spacing w:line="228" w:lineRule="auto" w:before="89"/>
        <w:ind w:left="519" w:right="675" w:hanging="360"/>
      </w:pPr>
      <w:r>
        <w:rPr>
          <w:color w:val="010202"/>
          <w:vertAlign w:val="superscript"/>
        </w:rPr>
        <w:t>7</w:t>
      </w:r>
      <w:r>
        <w:rPr>
          <w:color w:val="010202"/>
          <w:vertAlign w:val="baseline"/>
        </w:rPr>
        <w:tab/>
        <w:t>Cohen, J. (2020). Long-acting injectable drug</w:t>
      </w:r>
      <w:r>
        <w:rPr>
          <w:color w:val="010202"/>
          <w:spacing w:val="-52"/>
          <w:vertAlign w:val="baseline"/>
        </w:rPr>
        <w:t> </w:t>
      </w:r>
      <w:r>
        <w:rPr>
          <w:color w:val="010202"/>
          <w:vertAlign w:val="baseline"/>
        </w:rPr>
        <w:t>prevents HIV infections. </w:t>
      </w:r>
      <w:r>
        <w:rPr>
          <w:i/>
          <w:color w:val="010202"/>
          <w:vertAlign w:val="baseline"/>
        </w:rPr>
        <w:t>Science</w:t>
      </w:r>
      <w:r>
        <w:rPr>
          <w:color w:val="010202"/>
          <w:vertAlign w:val="baseline"/>
        </w:rPr>
        <w:t>. </w:t>
      </w:r>
      <w:hyperlink r:id="rId158">
        <w:r>
          <w:rPr>
            <w:color w:val="3953A4"/>
            <w:u w:val="single" w:color="3953A4"/>
            <w:vertAlign w:val="baseline"/>
          </w:rPr>
          <w:t>https://doi.</w:t>
        </w:r>
      </w:hyperlink>
      <w:r>
        <w:rPr>
          <w:color w:val="3953A4"/>
          <w:spacing w:val="1"/>
          <w:vertAlign w:val="baseline"/>
        </w:rPr>
        <w:t> </w:t>
      </w:r>
      <w:hyperlink r:id="rId158">
        <w:r>
          <w:rPr>
            <w:color w:val="3953A4"/>
            <w:u w:val="single" w:color="3953A4"/>
            <w:vertAlign w:val="baseline"/>
          </w:rPr>
          <w:t>org/10.1126/science.abc863</w:t>
        </w:r>
      </w:hyperlink>
      <w:r>
        <w:rPr>
          <w:color w:val="3953A4"/>
          <w:u w:val="single" w:color="3953A4"/>
          <w:vertAlign w:val="baseline"/>
        </w:rPr>
        <w:t>4 </w:t>
      </w:r>
    </w:p>
    <w:p>
      <w:pPr>
        <w:pStyle w:val="BodyText"/>
        <w:tabs>
          <w:tab w:pos="519" w:val="left" w:leader="none"/>
        </w:tabs>
        <w:spacing w:line="228" w:lineRule="auto" w:before="89"/>
        <w:ind w:left="520" w:right="69" w:hanging="360"/>
      </w:pPr>
      <w:r>
        <w:rPr>
          <w:color w:val="231F20"/>
          <w:vertAlign w:val="superscript"/>
        </w:rPr>
        <w:t>8</w:t>
      </w:r>
      <w:r>
        <w:rPr>
          <w:color w:val="231F20"/>
          <w:vertAlign w:val="baseline"/>
        </w:rPr>
        <w:tab/>
        <w:t>U.S. Preventive Services Task Force. (2019).</w:t>
      </w:r>
      <w:r>
        <w:rPr>
          <w:color w:val="231F20"/>
          <w:spacing w:val="1"/>
          <w:vertAlign w:val="baseline"/>
        </w:rPr>
        <w:t> </w:t>
      </w:r>
      <w:r>
        <w:rPr>
          <w:color w:val="231F20"/>
          <w:vertAlign w:val="baseline"/>
        </w:rPr>
        <w:t>Preexposure prophylaxis for the prevention of HIV</w:t>
      </w:r>
      <w:r>
        <w:rPr>
          <w:color w:val="231F20"/>
          <w:spacing w:val="1"/>
          <w:vertAlign w:val="baseline"/>
        </w:rPr>
        <w:t> </w:t>
      </w:r>
      <w:r>
        <w:rPr>
          <w:color w:val="231F20"/>
          <w:vertAlign w:val="baseline"/>
        </w:rPr>
        <w:t>infection: U.S. Preventive Services Task Force</w:t>
      </w:r>
      <w:r>
        <w:rPr>
          <w:color w:val="231F20"/>
          <w:spacing w:val="1"/>
          <w:vertAlign w:val="baseline"/>
        </w:rPr>
        <w:t> </w:t>
      </w:r>
      <w:r>
        <w:rPr>
          <w:color w:val="231F20"/>
          <w:vertAlign w:val="baseline"/>
        </w:rPr>
        <w:t>recommendation</w:t>
      </w:r>
      <w:r>
        <w:rPr>
          <w:color w:val="231F20"/>
          <w:spacing w:val="-2"/>
          <w:vertAlign w:val="baseline"/>
        </w:rPr>
        <w:t> </w:t>
      </w:r>
      <w:r>
        <w:rPr>
          <w:color w:val="231F20"/>
          <w:vertAlign w:val="baseline"/>
        </w:rPr>
        <w:t>statement.</w:t>
      </w:r>
      <w:r>
        <w:rPr>
          <w:color w:val="231F20"/>
          <w:spacing w:val="-2"/>
          <w:vertAlign w:val="baseline"/>
        </w:rPr>
        <w:t> </w:t>
      </w:r>
      <w:r>
        <w:rPr>
          <w:i/>
          <w:color w:val="231F20"/>
          <w:vertAlign w:val="baseline"/>
        </w:rPr>
        <w:t>Journal</w:t>
      </w:r>
      <w:r>
        <w:rPr>
          <w:i/>
          <w:color w:val="231F20"/>
          <w:spacing w:val="-2"/>
          <w:vertAlign w:val="baseline"/>
        </w:rPr>
        <w:t> </w:t>
      </w:r>
      <w:r>
        <w:rPr>
          <w:i/>
          <w:color w:val="231F20"/>
          <w:vertAlign w:val="baseline"/>
        </w:rPr>
        <w:t>of</w:t>
      </w:r>
      <w:r>
        <w:rPr>
          <w:i/>
          <w:color w:val="231F20"/>
          <w:spacing w:val="-1"/>
          <w:vertAlign w:val="baseline"/>
        </w:rPr>
        <w:t> </w:t>
      </w:r>
      <w:r>
        <w:rPr>
          <w:i/>
          <w:color w:val="231F20"/>
          <w:vertAlign w:val="baseline"/>
        </w:rPr>
        <w:t>the</w:t>
      </w:r>
      <w:r>
        <w:rPr>
          <w:i/>
          <w:color w:val="231F20"/>
          <w:spacing w:val="-7"/>
          <w:vertAlign w:val="baseline"/>
        </w:rPr>
        <w:t> </w:t>
      </w:r>
      <w:r>
        <w:rPr>
          <w:i/>
          <w:color w:val="231F20"/>
          <w:vertAlign w:val="baseline"/>
        </w:rPr>
        <w:t>American</w:t>
      </w:r>
      <w:r>
        <w:rPr>
          <w:i/>
          <w:color w:val="231F20"/>
          <w:spacing w:val="-52"/>
          <w:vertAlign w:val="baseline"/>
        </w:rPr>
        <w:t> </w:t>
      </w:r>
      <w:r>
        <w:rPr>
          <w:i/>
          <w:color w:val="231F20"/>
          <w:vertAlign w:val="baseline"/>
        </w:rPr>
        <w:t>Medical Association (JAMA), 321</w:t>
      </w:r>
      <w:r>
        <w:rPr>
          <w:color w:val="231F20"/>
          <w:vertAlign w:val="baseline"/>
        </w:rPr>
        <w:t>(22), 2203-2213.</w:t>
      </w:r>
      <w:r>
        <w:rPr>
          <w:color w:val="231F20"/>
          <w:spacing w:val="1"/>
          <w:vertAlign w:val="baseline"/>
        </w:rPr>
        <w:t> </w:t>
      </w:r>
      <w:hyperlink r:id="rId159">
        <w:r>
          <w:rPr>
            <w:color w:val="3953A4"/>
            <w:u w:val="single" w:color="3953A4"/>
            <w:vertAlign w:val="baseline"/>
          </w:rPr>
          <w:t>https://doi.org/10.1001/jama.2019.6390</w:t>
        </w:r>
      </w:hyperlink>
    </w:p>
    <w:p>
      <w:pPr>
        <w:pStyle w:val="BodyText"/>
        <w:tabs>
          <w:tab w:pos="519" w:val="left" w:leader="none"/>
        </w:tabs>
        <w:spacing w:line="228" w:lineRule="auto" w:before="88"/>
        <w:ind w:left="520" w:right="110" w:hanging="360"/>
      </w:pPr>
      <w:r>
        <w:rPr>
          <w:color w:val="010202"/>
          <w:vertAlign w:val="superscript"/>
        </w:rPr>
        <w:t>9</w:t>
      </w:r>
      <w:r>
        <w:rPr>
          <w:color w:val="010202"/>
          <w:vertAlign w:val="baseline"/>
        </w:rPr>
        <w:tab/>
        <w:t>Centers for Disease Control and Prevention. (2019,</w:t>
      </w:r>
      <w:r>
        <w:rPr>
          <w:color w:val="010202"/>
          <w:spacing w:val="1"/>
          <w:vertAlign w:val="baseline"/>
        </w:rPr>
        <w:t> </w:t>
      </w:r>
      <w:r>
        <w:rPr>
          <w:color w:val="010202"/>
          <w:vertAlign w:val="baseline"/>
        </w:rPr>
        <w:t>October</w:t>
      </w:r>
      <w:r>
        <w:rPr>
          <w:color w:val="010202"/>
          <w:spacing w:val="-8"/>
          <w:vertAlign w:val="baseline"/>
        </w:rPr>
        <w:t> </w:t>
      </w:r>
      <w:r>
        <w:rPr>
          <w:color w:val="010202"/>
          <w:vertAlign w:val="baseline"/>
        </w:rPr>
        <w:t>17).</w:t>
      </w:r>
      <w:r>
        <w:rPr>
          <w:color w:val="010202"/>
          <w:spacing w:val="-7"/>
          <w:vertAlign w:val="baseline"/>
        </w:rPr>
        <w:t> </w:t>
      </w:r>
      <w:r>
        <w:rPr>
          <w:i/>
          <w:color w:val="010202"/>
          <w:vertAlign w:val="baseline"/>
        </w:rPr>
        <w:t>PrEP</w:t>
      </w:r>
      <w:r>
        <w:rPr>
          <w:color w:val="010202"/>
          <w:vertAlign w:val="baseline"/>
        </w:rPr>
        <w:t>.</w:t>
      </w:r>
      <w:r>
        <w:rPr>
          <w:color w:val="010202"/>
          <w:spacing w:val="-6"/>
          <w:vertAlign w:val="baseline"/>
        </w:rPr>
        <w:t> </w:t>
      </w:r>
      <w:hyperlink r:id="rId39">
        <w:r>
          <w:rPr>
            <w:color w:val="3953A4"/>
            <w:u w:val="single" w:color="3953A4"/>
            <w:vertAlign w:val="baseline"/>
          </w:rPr>
          <w:t>https://www.cdc.gov/hiv/basics/</w:t>
        </w:r>
      </w:hyperlink>
      <w:r>
        <w:rPr>
          <w:color w:val="3953A4"/>
          <w:spacing w:val="-52"/>
          <w:vertAlign w:val="baseline"/>
        </w:rPr>
        <w:t> </w:t>
      </w:r>
      <w:hyperlink r:id="rId39">
        <w:r>
          <w:rPr>
            <w:color w:val="3953A4"/>
            <w:u w:val="single" w:color="3953A4"/>
            <w:vertAlign w:val="baseline"/>
          </w:rPr>
          <w:t>prep.htm</w:t>
        </w:r>
      </w:hyperlink>
      <w:r>
        <w:rPr>
          <w:color w:val="3953A4"/>
          <w:u w:val="single" w:color="3953A4"/>
          <w:vertAlign w:val="baseline"/>
        </w:rPr>
        <w:t>l </w:t>
      </w:r>
    </w:p>
    <w:p>
      <w:pPr>
        <w:spacing w:line="228" w:lineRule="auto" w:before="101"/>
        <w:ind w:left="520" w:right="890" w:hanging="360"/>
        <w:jc w:val="both"/>
        <w:rPr>
          <w:sz w:val="22"/>
        </w:rPr>
      </w:pPr>
      <w:r>
        <w:rPr/>
        <w:br w:type="column"/>
      </w:r>
      <w:r>
        <w:rPr>
          <w:color w:val="010202"/>
          <w:sz w:val="22"/>
          <w:vertAlign w:val="superscript"/>
        </w:rPr>
        <w:t>10</w:t>
      </w:r>
      <w:r>
        <w:rPr>
          <w:color w:val="010202"/>
          <w:spacing w:val="1"/>
          <w:sz w:val="22"/>
          <w:vertAlign w:val="baseline"/>
        </w:rPr>
        <w:t> </w:t>
      </w:r>
      <w:r>
        <w:rPr>
          <w:color w:val="010202"/>
          <w:sz w:val="22"/>
          <w:vertAlign w:val="baseline"/>
        </w:rPr>
        <w:t>Centers for Disease Control and Prevention. (2020,</w:t>
      </w:r>
      <w:r>
        <w:rPr>
          <w:color w:val="010202"/>
          <w:spacing w:val="-53"/>
          <w:sz w:val="22"/>
          <w:vertAlign w:val="baseline"/>
        </w:rPr>
        <w:t> </w:t>
      </w:r>
      <w:r>
        <w:rPr>
          <w:color w:val="010202"/>
          <w:sz w:val="22"/>
          <w:vertAlign w:val="baseline"/>
        </w:rPr>
        <w:t>May 18). </w:t>
      </w:r>
      <w:r>
        <w:rPr>
          <w:i/>
          <w:color w:val="010202"/>
          <w:sz w:val="22"/>
          <w:vertAlign w:val="baseline"/>
        </w:rPr>
        <w:t>Pre-exposure prophylaxis (PrEP)</w:t>
      </w:r>
      <w:r>
        <w:rPr>
          <w:color w:val="010202"/>
          <w:sz w:val="22"/>
          <w:vertAlign w:val="baseline"/>
        </w:rPr>
        <w:t>.</w:t>
      </w:r>
      <w:hyperlink r:id="rId157">
        <w:r>
          <w:rPr>
            <w:color w:val="3953A4"/>
            <w:sz w:val="22"/>
            <w:u w:val="single" w:color="3953A4"/>
            <w:vertAlign w:val="baseline"/>
          </w:rPr>
          <w:t>https://</w:t>
        </w:r>
      </w:hyperlink>
      <w:r>
        <w:rPr>
          <w:color w:val="3953A4"/>
          <w:spacing w:val="-52"/>
          <w:sz w:val="22"/>
          <w:vertAlign w:val="baseline"/>
        </w:rPr>
        <w:t> </w:t>
      </w:r>
      <w:hyperlink r:id="rId157">
        <w:r>
          <w:rPr>
            <w:color w:val="3953A4"/>
            <w:sz w:val="22"/>
            <w:u w:val="single" w:color="3953A4"/>
            <w:vertAlign w:val="baseline"/>
          </w:rPr>
          <w:t>www.cdc.gov/hiv/clinicians/prevention/prep.html</w:t>
        </w:r>
      </w:hyperlink>
    </w:p>
    <w:p>
      <w:pPr>
        <w:pStyle w:val="BodyText"/>
        <w:tabs>
          <w:tab w:pos="519" w:val="left" w:leader="none"/>
        </w:tabs>
        <w:spacing w:line="228" w:lineRule="auto" w:before="89"/>
        <w:ind w:left="520" w:right="1011" w:hanging="360"/>
      </w:pPr>
      <w:r>
        <w:rPr>
          <w:color w:val="231F20"/>
          <w:vertAlign w:val="superscript"/>
        </w:rPr>
        <w:t>11</w:t>
      </w:r>
      <w:r>
        <w:rPr>
          <w:color w:val="231F20"/>
          <w:vertAlign w:val="baseline"/>
        </w:rPr>
        <w:tab/>
      </w:r>
      <w:r>
        <w:rPr>
          <w:color w:val="231F20"/>
          <w:spacing w:val="-1"/>
          <w:vertAlign w:val="baseline"/>
        </w:rPr>
        <w:t>Sidebottom, D., Ekström, A. M., </w:t>
      </w:r>
      <w:r>
        <w:rPr>
          <w:color w:val="231F20"/>
          <w:vertAlign w:val="baseline"/>
        </w:rPr>
        <w:t>&amp; Strömdahl, S.</w:t>
      </w:r>
      <w:r>
        <w:rPr>
          <w:color w:val="231F20"/>
          <w:spacing w:val="1"/>
          <w:vertAlign w:val="baseline"/>
        </w:rPr>
        <w:t> </w:t>
      </w:r>
      <w:r>
        <w:rPr>
          <w:color w:val="231F20"/>
          <w:spacing w:val="-1"/>
          <w:vertAlign w:val="baseline"/>
        </w:rPr>
        <w:t>(2018). A systematic </w:t>
      </w:r>
      <w:r>
        <w:rPr>
          <w:color w:val="231F20"/>
          <w:vertAlign w:val="baseline"/>
        </w:rPr>
        <w:t>review of adherence to oral</w:t>
      </w:r>
      <w:r>
        <w:rPr>
          <w:color w:val="231F20"/>
          <w:spacing w:val="1"/>
          <w:vertAlign w:val="baseline"/>
        </w:rPr>
        <w:t> </w:t>
      </w:r>
      <w:r>
        <w:rPr>
          <w:color w:val="231F20"/>
          <w:vertAlign w:val="baseline"/>
        </w:rPr>
        <w:t>pre-exposure prophylaxis for HIV - How can we</w:t>
      </w:r>
      <w:r>
        <w:rPr>
          <w:color w:val="231F20"/>
          <w:spacing w:val="1"/>
          <w:vertAlign w:val="baseline"/>
        </w:rPr>
        <w:t> </w:t>
      </w:r>
      <w:r>
        <w:rPr>
          <w:color w:val="231F20"/>
          <w:vertAlign w:val="baseline"/>
        </w:rPr>
        <w:t>improve uptake and adherence? </w:t>
      </w:r>
      <w:r>
        <w:rPr>
          <w:i/>
          <w:color w:val="231F20"/>
          <w:vertAlign w:val="baseline"/>
        </w:rPr>
        <w:t>BMC Infectious</w:t>
      </w:r>
      <w:r>
        <w:rPr>
          <w:i/>
          <w:color w:val="231F20"/>
          <w:spacing w:val="1"/>
          <w:vertAlign w:val="baseline"/>
        </w:rPr>
        <w:t> </w:t>
      </w:r>
      <w:r>
        <w:rPr>
          <w:i/>
          <w:color w:val="231F20"/>
          <w:vertAlign w:val="baseline"/>
        </w:rPr>
        <w:t>Diseases,</w:t>
      </w:r>
      <w:r>
        <w:rPr>
          <w:i/>
          <w:color w:val="231F20"/>
          <w:spacing w:val="-8"/>
          <w:vertAlign w:val="baseline"/>
        </w:rPr>
        <w:t> </w:t>
      </w:r>
      <w:r>
        <w:rPr>
          <w:i/>
          <w:color w:val="231F20"/>
          <w:vertAlign w:val="baseline"/>
        </w:rPr>
        <w:t>18</w:t>
      </w:r>
      <w:r>
        <w:rPr>
          <w:color w:val="231F20"/>
          <w:vertAlign w:val="baseline"/>
        </w:rPr>
        <w:t>(1),</w:t>
      </w:r>
      <w:r>
        <w:rPr>
          <w:color w:val="231F20"/>
          <w:spacing w:val="-7"/>
          <w:vertAlign w:val="baseline"/>
        </w:rPr>
        <w:t> </w:t>
      </w:r>
      <w:r>
        <w:rPr>
          <w:color w:val="231F20"/>
          <w:vertAlign w:val="baseline"/>
        </w:rPr>
        <w:t>581-581.</w:t>
      </w:r>
      <w:r>
        <w:rPr>
          <w:color w:val="231F20"/>
          <w:spacing w:val="-7"/>
          <w:vertAlign w:val="baseline"/>
        </w:rPr>
        <w:t> </w:t>
      </w:r>
      <w:hyperlink r:id="rId160">
        <w:r>
          <w:rPr>
            <w:color w:val="3953A4"/>
            <w:u w:val="single" w:color="3953A4"/>
            <w:vertAlign w:val="baseline"/>
          </w:rPr>
          <w:t>https://doi.org/10.1186/</w:t>
        </w:r>
      </w:hyperlink>
      <w:r>
        <w:rPr>
          <w:color w:val="3953A4"/>
          <w:spacing w:val="-52"/>
          <w:vertAlign w:val="baseline"/>
        </w:rPr>
        <w:t> </w:t>
      </w:r>
      <w:hyperlink r:id="rId160">
        <w:r>
          <w:rPr>
            <w:color w:val="3953A4"/>
            <w:u w:val="single" w:color="3953A4"/>
            <w:vertAlign w:val="baseline"/>
          </w:rPr>
          <w:t>s12879-018-3463-</w:t>
        </w:r>
      </w:hyperlink>
      <w:r>
        <w:rPr>
          <w:color w:val="3953A4"/>
          <w:u w:val="single" w:color="3953A4"/>
          <w:vertAlign w:val="baseline"/>
        </w:rPr>
        <w:t>4 </w:t>
      </w:r>
    </w:p>
    <w:p>
      <w:pPr>
        <w:tabs>
          <w:tab w:pos="519" w:val="left" w:leader="none"/>
        </w:tabs>
        <w:spacing w:line="228" w:lineRule="auto" w:before="88"/>
        <w:ind w:left="519" w:right="793" w:hanging="360"/>
        <w:jc w:val="left"/>
        <w:rPr>
          <w:sz w:val="22"/>
        </w:rPr>
      </w:pPr>
      <w:r>
        <w:rPr>
          <w:color w:val="010202"/>
          <w:sz w:val="22"/>
          <w:vertAlign w:val="superscript"/>
        </w:rPr>
        <w:t>12</w:t>
      </w:r>
      <w:r>
        <w:rPr>
          <w:color w:val="010202"/>
          <w:sz w:val="22"/>
          <w:vertAlign w:val="baseline"/>
        </w:rPr>
        <w:tab/>
      </w:r>
      <w:r>
        <w:rPr>
          <w:color w:val="010202"/>
          <w:spacing w:val="-1"/>
          <w:sz w:val="22"/>
          <w:vertAlign w:val="baseline"/>
        </w:rPr>
        <w:t>Otto, M. A. (2019, April </w:t>
      </w:r>
      <w:r>
        <w:rPr>
          <w:color w:val="010202"/>
          <w:sz w:val="22"/>
          <w:vertAlign w:val="baseline"/>
        </w:rPr>
        <w:t>4). </w:t>
      </w:r>
      <w:r>
        <w:rPr>
          <w:i/>
          <w:color w:val="010202"/>
          <w:sz w:val="22"/>
          <w:vertAlign w:val="baseline"/>
        </w:rPr>
        <w:t>PrEP adherence lowest</w:t>
      </w:r>
      <w:r>
        <w:rPr>
          <w:i/>
          <w:color w:val="010202"/>
          <w:spacing w:val="-52"/>
          <w:sz w:val="22"/>
          <w:vertAlign w:val="baseline"/>
        </w:rPr>
        <w:t> </w:t>
      </w:r>
      <w:r>
        <w:rPr>
          <w:i/>
          <w:color w:val="010202"/>
          <w:sz w:val="22"/>
          <w:vertAlign w:val="baseline"/>
        </w:rPr>
        <w:t>among Medicaid patients, others. </w:t>
      </w:r>
      <w:r>
        <w:rPr>
          <w:color w:val="010202"/>
          <w:sz w:val="22"/>
          <w:vertAlign w:val="baseline"/>
        </w:rPr>
        <w:t>MDedge. </w:t>
      </w:r>
      <w:hyperlink r:id="rId161">
        <w:r>
          <w:rPr>
            <w:color w:val="3953A4"/>
            <w:sz w:val="22"/>
            <w:u w:val="single" w:color="3953A4"/>
            <w:vertAlign w:val="baseline"/>
          </w:rPr>
          <w:t>https://</w:t>
        </w:r>
      </w:hyperlink>
      <w:r>
        <w:rPr>
          <w:color w:val="3953A4"/>
          <w:spacing w:val="1"/>
          <w:sz w:val="22"/>
          <w:vertAlign w:val="baseline"/>
        </w:rPr>
        <w:t> </w:t>
      </w:r>
      <w:hyperlink r:id="rId161">
        <w:r>
          <w:rPr>
            <w:color w:val="3953A4"/>
            <w:spacing w:val="-1"/>
            <w:sz w:val="22"/>
            <w:u w:val="single" w:color="3953A4"/>
            <w:vertAlign w:val="baseline"/>
          </w:rPr>
          <w:t>www.mdedge.com/infectiousdisease/article/198180/</w:t>
        </w:r>
      </w:hyperlink>
      <w:r>
        <w:rPr>
          <w:color w:val="3953A4"/>
          <w:spacing w:val="-52"/>
          <w:sz w:val="22"/>
          <w:vertAlign w:val="baseline"/>
        </w:rPr>
        <w:t> </w:t>
      </w:r>
      <w:hyperlink r:id="rId161">
        <w:r>
          <w:rPr>
            <w:color w:val="3953A4"/>
            <w:sz w:val="22"/>
            <w:u w:val="single" w:color="3953A4"/>
            <w:vertAlign w:val="baseline"/>
          </w:rPr>
          <w:t>hiv/prep-adherence-lowest-among-medicaid-</w:t>
        </w:r>
      </w:hyperlink>
      <w:r>
        <w:rPr>
          <w:color w:val="3953A4"/>
          <w:spacing w:val="1"/>
          <w:sz w:val="22"/>
          <w:vertAlign w:val="baseline"/>
        </w:rPr>
        <w:t> </w:t>
      </w:r>
      <w:hyperlink r:id="rId161">
        <w:r>
          <w:rPr>
            <w:color w:val="3953A4"/>
            <w:sz w:val="22"/>
            <w:u w:val="single" w:color="3953A4"/>
            <w:vertAlign w:val="baseline"/>
          </w:rPr>
          <w:t>patients-others</w:t>
        </w:r>
      </w:hyperlink>
    </w:p>
    <w:p>
      <w:pPr>
        <w:pStyle w:val="BodyText"/>
        <w:tabs>
          <w:tab w:pos="519" w:val="left" w:leader="none"/>
        </w:tabs>
        <w:spacing w:line="246" w:lineRule="exact" w:before="78"/>
        <w:ind w:left="160"/>
      </w:pPr>
      <w:r>
        <w:rPr>
          <w:color w:val="231F20"/>
          <w:vertAlign w:val="superscript"/>
        </w:rPr>
        <w:t>13</w:t>
      </w:r>
      <w:r>
        <w:rPr>
          <w:color w:val="231F20"/>
          <w:vertAlign w:val="baseline"/>
        </w:rPr>
        <w:tab/>
      </w:r>
      <w:r>
        <w:rPr>
          <w:color w:val="231F20"/>
          <w:spacing w:val="-3"/>
          <w:vertAlign w:val="baseline"/>
        </w:rPr>
        <w:t>Huang,</w:t>
      </w:r>
      <w:r>
        <w:rPr>
          <w:color w:val="231F20"/>
          <w:spacing w:val="-9"/>
          <w:vertAlign w:val="baseline"/>
        </w:rPr>
        <w:t> </w:t>
      </w:r>
      <w:r>
        <w:rPr>
          <w:color w:val="231F20"/>
          <w:spacing w:val="-2"/>
          <w:vertAlign w:val="baseline"/>
        </w:rPr>
        <w:t>Y.</w:t>
      </w:r>
      <w:r>
        <w:rPr>
          <w:color w:val="231F20"/>
          <w:spacing w:val="-13"/>
          <w:vertAlign w:val="baseline"/>
        </w:rPr>
        <w:t> </w:t>
      </w:r>
      <w:r>
        <w:rPr>
          <w:color w:val="231F20"/>
          <w:spacing w:val="-2"/>
          <w:vertAlign w:val="baseline"/>
        </w:rPr>
        <w:t>A.,</w:t>
      </w:r>
      <w:r>
        <w:rPr>
          <w:color w:val="231F20"/>
          <w:spacing w:val="-4"/>
          <w:vertAlign w:val="baseline"/>
        </w:rPr>
        <w:t> </w:t>
      </w:r>
      <w:r>
        <w:rPr>
          <w:color w:val="231F20"/>
          <w:spacing w:val="-2"/>
          <w:vertAlign w:val="baseline"/>
        </w:rPr>
        <w:t>Tao,</w:t>
      </w:r>
      <w:r>
        <w:rPr>
          <w:color w:val="231F20"/>
          <w:vertAlign w:val="baseline"/>
        </w:rPr>
        <w:t> </w:t>
      </w:r>
      <w:r>
        <w:rPr>
          <w:color w:val="231F20"/>
          <w:spacing w:val="-2"/>
          <w:vertAlign w:val="baseline"/>
        </w:rPr>
        <w:t>G.,</w:t>
      </w:r>
      <w:r>
        <w:rPr>
          <w:color w:val="231F20"/>
          <w:spacing w:val="-1"/>
          <w:vertAlign w:val="baseline"/>
        </w:rPr>
        <w:t> </w:t>
      </w:r>
      <w:r>
        <w:rPr>
          <w:color w:val="231F20"/>
          <w:spacing w:val="-2"/>
          <w:vertAlign w:val="baseline"/>
        </w:rPr>
        <w:t>Smith,</w:t>
      </w:r>
      <w:r>
        <w:rPr>
          <w:color w:val="231F20"/>
          <w:vertAlign w:val="baseline"/>
        </w:rPr>
        <w:t> </w:t>
      </w:r>
      <w:r>
        <w:rPr>
          <w:color w:val="231F20"/>
          <w:spacing w:val="-2"/>
          <w:vertAlign w:val="baseline"/>
        </w:rPr>
        <w:t>D.</w:t>
      </w:r>
      <w:r>
        <w:rPr>
          <w:color w:val="231F20"/>
          <w:spacing w:val="-1"/>
          <w:vertAlign w:val="baseline"/>
        </w:rPr>
        <w:t> </w:t>
      </w:r>
      <w:r>
        <w:rPr>
          <w:color w:val="231F20"/>
          <w:spacing w:val="-2"/>
          <w:vertAlign w:val="baseline"/>
        </w:rPr>
        <w:t>K.,</w:t>
      </w:r>
      <w:r>
        <w:rPr>
          <w:color w:val="231F20"/>
          <w:vertAlign w:val="baseline"/>
        </w:rPr>
        <w:t> </w:t>
      </w:r>
      <w:r>
        <w:rPr>
          <w:color w:val="231F20"/>
          <w:spacing w:val="-2"/>
          <w:vertAlign w:val="baseline"/>
        </w:rPr>
        <w:t>&amp;</w:t>
      </w:r>
      <w:r>
        <w:rPr>
          <w:color w:val="231F20"/>
          <w:vertAlign w:val="baseline"/>
        </w:rPr>
        <w:t> </w:t>
      </w:r>
      <w:r>
        <w:rPr>
          <w:color w:val="231F20"/>
          <w:spacing w:val="-2"/>
          <w:vertAlign w:val="baseline"/>
        </w:rPr>
        <w:t>Hoover,</w:t>
      </w:r>
    </w:p>
    <w:p>
      <w:pPr>
        <w:pStyle w:val="BodyText"/>
        <w:spacing w:line="228" w:lineRule="auto" w:before="4"/>
        <w:ind w:left="520" w:right="977"/>
      </w:pPr>
      <w:r>
        <w:rPr>
          <w:color w:val="231F20"/>
        </w:rPr>
        <w:t>K.</w:t>
      </w:r>
      <w:r>
        <w:rPr>
          <w:color w:val="231F20"/>
          <w:spacing w:val="-11"/>
        </w:rPr>
        <w:t> </w:t>
      </w:r>
      <w:r>
        <w:rPr>
          <w:color w:val="231F20"/>
        </w:rPr>
        <w:t>W.</w:t>
      </w:r>
      <w:r>
        <w:rPr>
          <w:color w:val="231F20"/>
          <w:spacing w:val="-6"/>
        </w:rPr>
        <w:t> </w:t>
      </w:r>
      <w:r>
        <w:rPr>
          <w:color w:val="231F20"/>
        </w:rPr>
        <w:t>(2020).</w:t>
      </w:r>
      <w:r>
        <w:rPr>
          <w:color w:val="231F20"/>
          <w:spacing w:val="-6"/>
        </w:rPr>
        <w:t> </w:t>
      </w:r>
      <w:r>
        <w:rPr>
          <w:color w:val="231F20"/>
        </w:rPr>
        <w:t>Persistence</w:t>
      </w:r>
      <w:r>
        <w:rPr>
          <w:color w:val="231F20"/>
          <w:spacing w:val="-7"/>
        </w:rPr>
        <w:t> </w:t>
      </w:r>
      <w:r>
        <w:rPr>
          <w:color w:val="231F20"/>
        </w:rPr>
        <w:t>with</w:t>
      </w:r>
      <w:r>
        <w:rPr>
          <w:color w:val="231F20"/>
          <w:spacing w:val="-7"/>
        </w:rPr>
        <w:t> </w:t>
      </w:r>
      <w:r>
        <w:rPr>
          <w:color w:val="231F20"/>
        </w:rPr>
        <w:t>HIV</w:t>
      </w:r>
      <w:r>
        <w:rPr>
          <w:color w:val="231F20"/>
          <w:spacing w:val="-10"/>
        </w:rPr>
        <w:t> </w:t>
      </w:r>
      <w:r>
        <w:rPr>
          <w:color w:val="231F20"/>
        </w:rPr>
        <w:t>preexposure</w:t>
      </w:r>
      <w:r>
        <w:rPr>
          <w:color w:val="231F20"/>
          <w:spacing w:val="-52"/>
        </w:rPr>
        <w:t> </w:t>
      </w:r>
      <w:r>
        <w:rPr>
          <w:color w:val="231F20"/>
        </w:rPr>
        <w:t>prophylaxis in the United States, 2012-2017.</w:t>
      </w:r>
      <w:r>
        <w:rPr>
          <w:color w:val="231F20"/>
          <w:spacing w:val="1"/>
        </w:rPr>
        <w:t> </w:t>
      </w:r>
      <w:r>
        <w:rPr>
          <w:i/>
          <w:color w:val="231F20"/>
        </w:rPr>
        <w:t>Clinical Infectious Diseases. </w:t>
      </w:r>
      <w:r>
        <w:rPr>
          <w:color w:val="231F20"/>
        </w:rPr>
        <w:t>Advance online</w:t>
      </w:r>
      <w:r>
        <w:rPr>
          <w:color w:val="231F20"/>
          <w:spacing w:val="1"/>
        </w:rPr>
        <w:t> </w:t>
      </w:r>
      <w:r>
        <w:rPr>
          <w:color w:val="231F20"/>
        </w:rPr>
        <w:t>publication.</w:t>
      </w:r>
      <w:r>
        <w:rPr>
          <w:color w:val="3953A4"/>
          <w:spacing w:val="-3"/>
        </w:rPr>
        <w:t> </w:t>
      </w:r>
      <w:hyperlink r:id="rId162">
        <w:r>
          <w:rPr>
            <w:color w:val="3953A4"/>
            <w:u w:val="single" w:color="3953A4"/>
          </w:rPr>
          <w:t>https://doi.org/10.1093/cid/ciaa037</w:t>
        </w:r>
      </w:hyperlink>
    </w:p>
    <w:p>
      <w:pPr>
        <w:pStyle w:val="BodyText"/>
        <w:tabs>
          <w:tab w:pos="519" w:val="left" w:leader="none"/>
        </w:tabs>
        <w:spacing w:line="228" w:lineRule="auto" w:before="88"/>
        <w:ind w:left="520" w:right="1287" w:hanging="360"/>
      </w:pPr>
      <w:r>
        <w:rPr>
          <w:color w:val="231F20"/>
          <w:vertAlign w:val="superscript"/>
        </w:rPr>
        <w:t>14</w:t>
      </w:r>
      <w:r>
        <w:rPr>
          <w:color w:val="231F20"/>
          <w:vertAlign w:val="baseline"/>
        </w:rPr>
        <w:tab/>
        <w:t>Kay,</w:t>
      </w:r>
      <w:r>
        <w:rPr>
          <w:color w:val="231F20"/>
          <w:spacing w:val="-3"/>
          <w:vertAlign w:val="baseline"/>
        </w:rPr>
        <w:t> </w:t>
      </w:r>
      <w:r>
        <w:rPr>
          <w:color w:val="231F20"/>
          <w:vertAlign w:val="baseline"/>
        </w:rPr>
        <w:t>E.</w:t>
      </w:r>
      <w:r>
        <w:rPr>
          <w:color w:val="231F20"/>
          <w:spacing w:val="-3"/>
          <w:vertAlign w:val="baseline"/>
        </w:rPr>
        <w:t> </w:t>
      </w:r>
      <w:r>
        <w:rPr>
          <w:color w:val="231F20"/>
          <w:vertAlign w:val="baseline"/>
        </w:rPr>
        <w:t>S.,</w:t>
      </w:r>
      <w:r>
        <w:rPr>
          <w:color w:val="231F20"/>
          <w:spacing w:val="-4"/>
          <w:vertAlign w:val="baseline"/>
        </w:rPr>
        <w:t> </w:t>
      </w:r>
      <w:r>
        <w:rPr>
          <w:color w:val="231F20"/>
          <w:vertAlign w:val="baseline"/>
        </w:rPr>
        <w:t>&amp;</w:t>
      </w:r>
      <w:r>
        <w:rPr>
          <w:color w:val="231F20"/>
          <w:spacing w:val="-2"/>
          <w:vertAlign w:val="baseline"/>
        </w:rPr>
        <w:t> </w:t>
      </w:r>
      <w:r>
        <w:rPr>
          <w:color w:val="231F20"/>
          <w:vertAlign w:val="baseline"/>
        </w:rPr>
        <w:t>Pinto,</w:t>
      </w:r>
      <w:r>
        <w:rPr>
          <w:color w:val="231F20"/>
          <w:spacing w:val="-4"/>
          <w:vertAlign w:val="baseline"/>
        </w:rPr>
        <w:t> </w:t>
      </w:r>
      <w:r>
        <w:rPr>
          <w:color w:val="231F20"/>
          <w:vertAlign w:val="baseline"/>
        </w:rPr>
        <w:t>R.</w:t>
      </w:r>
      <w:r>
        <w:rPr>
          <w:color w:val="231F20"/>
          <w:spacing w:val="-3"/>
          <w:vertAlign w:val="baseline"/>
        </w:rPr>
        <w:t> </w:t>
      </w:r>
      <w:r>
        <w:rPr>
          <w:color w:val="231F20"/>
          <w:vertAlign w:val="baseline"/>
        </w:rPr>
        <w:t>M.</w:t>
      </w:r>
      <w:r>
        <w:rPr>
          <w:color w:val="231F20"/>
          <w:spacing w:val="-3"/>
          <w:vertAlign w:val="baseline"/>
        </w:rPr>
        <w:t> </w:t>
      </w:r>
      <w:r>
        <w:rPr>
          <w:color w:val="231F20"/>
          <w:vertAlign w:val="baseline"/>
        </w:rPr>
        <w:t>(2020).</w:t>
      </w:r>
      <w:r>
        <w:rPr>
          <w:color w:val="231F20"/>
          <w:spacing w:val="-3"/>
          <w:vertAlign w:val="baseline"/>
        </w:rPr>
        <w:t> </w:t>
      </w:r>
      <w:r>
        <w:rPr>
          <w:color w:val="231F20"/>
          <w:vertAlign w:val="baseline"/>
        </w:rPr>
        <w:t>Is</w:t>
      </w:r>
      <w:r>
        <w:rPr>
          <w:color w:val="231F20"/>
          <w:spacing w:val="-3"/>
          <w:vertAlign w:val="baseline"/>
        </w:rPr>
        <w:t> </w:t>
      </w:r>
      <w:r>
        <w:rPr>
          <w:color w:val="231F20"/>
          <w:vertAlign w:val="baseline"/>
        </w:rPr>
        <w:t>insurance</w:t>
      </w:r>
      <w:r>
        <w:rPr>
          <w:color w:val="231F20"/>
          <w:spacing w:val="-52"/>
          <w:vertAlign w:val="baseline"/>
        </w:rPr>
        <w:t> </w:t>
      </w:r>
      <w:r>
        <w:rPr>
          <w:color w:val="231F20"/>
          <w:vertAlign w:val="baseline"/>
        </w:rPr>
        <w:t>a</w:t>
      </w:r>
      <w:r>
        <w:rPr>
          <w:color w:val="231F20"/>
          <w:spacing w:val="-1"/>
          <w:vertAlign w:val="baseline"/>
        </w:rPr>
        <w:t> </w:t>
      </w:r>
      <w:r>
        <w:rPr>
          <w:color w:val="231F20"/>
          <w:vertAlign w:val="baseline"/>
        </w:rPr>
        <w:t>barrier to HIV</w:t>
      </w:r>
      <w:r>
        <w:rPr>
          <w:color w:val="231F20"/>
          <w:spacing w:val="-5"/>
          <w:vertAlign w:val="baseline"/>
        </w:rPr>
        <w:t> </w:t>
      </w:r>
      <w:r>
        <w:rPr>
          <w:color w:val="231F20"/>
          <w:vertAlign w:val="baseline"/>
        </w:rPr>
        <w:t>preexposure prophylaxis?</w:t>
      </w:r>
    </w:p>
    <w:p>
      <w:pPr>
        <w:spacing w:line="228" w:lineRule="auto" w:before="0"/>
        <w:ind w:left="520" w:right="1096" w:firstLine="0"/>
        <w:jc w:val="left"/>
        <w:rPr>
          <w:sz w:val="22"/>
        </w:rPr>
      </w:pPr>
      <w:r>
        <w:rPr>
          <w:color w:val="231F20"/>
          <w:sz w:val="22"/>
        </w:rPr>
        <w:t>Clarifying the issue. </w:t>
      </w:r>
      <w:r>
        <w:rPr>
          <w:i/>
          <w:color w:val="231F20"/>
          <w:sz w:val="22"/>
        </w:rPr>
        <w:t>American Journal of Public</w:t>
      </w:r>
      <w:r>
        <w:rPr>
          <w:i/>
          <w:color w:val="231F20"/>
          <w:spacing w:val="-52"/>
          <w:sz w:val="22"/>
        </w:rPr>
        <w:t> </w:t>
      </w:r>
      <w:r>
        <w:rPr>
          <w:i/>
          <w:color w:val="231F20"/>
          <w:sz w:val="22"/>
        </w:rPr>
        <w:t>Health, 110</w:t>
      </w:r>
      <w:r>
        <w:rPr>
          <w:color w:val="231F20"/>
          <w:sz w:val="22"/>
        </w:rPr>
        <w:t>(1), 61-64. </w:t>
      </w:r>
      <w:hyperlink r:id="rId163">
        <w:r>
          <w:rPr>
            <w:color w:val="3953A4"/>
            <w:sz w:val="22"/>
            <w:u w:val="single" w:color="3953A4"/>
          </w:rPr>
          <w:t>https://doi.org/10.2105/</w:t>
        </w:r>
      </w:hyperlink>
      <w:r>
        <w:rPr>
          <w:color w:val="3953A4"/>
          <w:spacing w:val="1"/>
          <w:sz w:val="22"/>
        </w:rPr>
        <w:t> </w:t>
      </w:r>
      <w:hyperlink r:id="rId163">
        <w:r>
          <w:rPr>
            <w:color w:val="3953A4"/>
            <w:sz w:val="22"/>
            <w:u w:val="single" w:color="3953A4"/>
          </w:rPr>
          <w:t>AJPH.2019.305389</w:t>
        </w:r>
      </w:hyperlink>
    </w:p>
    <w:p>
      <w:pPr>
        <w:pStyle w:val="BodyText"/>
        <w:tabs>
          <w:tab w:pos="519" w:val="left" w:leader="none"/>
        </w:tabs>
        <w:spacing w:line="246" w:lineRule="exact" w:before="78"/>
        <w:ind w:left="160"/>
      </w:pPr>
      <w:r>
        <w:rPr>
          <w:color w:val="231F20"/>
          <w:vertAlign w:val="superscript"/>
        </w:rPr>
        <w:t>15</w:t>
      </w:r>
      <w:r>
        <w:rPr>
          <w:color w:val="231F20"/>
          <w:vertAlign w:val="baseline"/>
        </w:rPr>
        <w:tab/>
        <w:t>Havens,</w:t>
      </w:r>
      <w:r>
        <w:rPr>
          <w:color w:val="231F20"/>
          <w:spacing w:val="-8"/>
          <w:vertAlign w:val="baseline"/>
        </w:rPr>
        <w:t> </w:t>
      </w:r>
      <w:r>
        <w:rPr>
          <w:color w:val="231F20"/>
          <w:vertAlign w:val="baseline"/>
        </w:rPr>
        <w:t>J.</w:t>
      </w:r>
      <w:r>
        <w:rPr>
          <w:color w:val="231F20"/>
          <w:spacing w:val="-8"/>
          <w:vertAlign w:val="baseline"/>
        </w:rPr>
        <w:t> </w:t>
      </w:r>
      <w:r>
        <w:rPr>
          <w:color w:val="231F20"/>
          <w:vertAlign w:val="baseline"/>
        </w:rPr>
        <w:t>P.,</w:t>
      </w:r>
      <w:r>
        <w:rPr>
          <w:color w:val="231F20"/>
          <w:spacing w:val="-7"/>
          <w:vertAlign w:val="baseline"/>
        </w:rPr>
        <w:t> </w:t>
      </w:r>
      <w:r>
        <w:rPr>
          <w:color w:val="231F20"/>
          <w:vertAlign w:val="baseline"/>
        </w:rPr>
        <w:t>Scarsi,</w:t>
      </w:r>
      <w:r>
        <w:rPr>
          <w:color w:val="231F20"/>
          <w:spacing w:val="-8"/>
          <w:vertAlign w:val="baseline"/>
        </w:rPr>
        <w:t> </w:t>
      </w:r>
      <w:r>
        <w:rPr>
          <w:color w:val="231F20"/>
          <w:vertAlign w:val="baseline"/>
        </w:rPr>
        <w:t>K.</w:t>
      </w:r>
      <w:r>
        <w:rPr>
          <w:color w:val="231F20"/>
          <w:spacing w:val="-8"/>
          <w:vertAlign w:val="baseline"/>
        </w:rPr>
        <w:t> </w:t>
      </w:r>
      <w:r>
        <w:rPr>
          <w:color w:val="231F20"/>
          <w:vertAlign w:val="baseline"/>
        </w:rPr>
        <w:t>K.,</w:t>
      </w:r>
      <w:r>
        <w:rPr>
          <w:color w:val="231F20"/>
          <w:spacing w:val="-8"/>
          <w:vertAlign w:val="baseline"/>
        </w:rPr>
        <w:t> </w:t>
      </w:r>
      <w:r>
        <w:rPr>
          <w:color w:val="231F20"/>
          <w:vertAlign w:val="baseline"/>
        </w:rPr>
        <w:t>Sayles,</w:t>
      </w:r>
      <w:r>
        <w:rPr>
          <w:color w:val="231F20"/>
          <w:spacing w:val="-7"/>
          <w:vertAlign w:val="baseline"/>
        </w:rPr>
        <w:t> </w:t>
      </w:r>
      <w:r>
        <w:rPr>
          <w:color w:val="231F20"/>
          <w:vertAlign w:val="baseline"/>
        </w:rPr>
        <w:t>H.,</w:t>
      </w:r>
      <w:r>
        <w:rPr>
          <w:color w:val="231F20"/>
          <w:spacing w:val="-8"/>
          <w:vertAlign w:val="baseline"/>
        </w:rPr>
        <w:t> </w:t>
      </w:r>
      <w:r>
        <w:rPr>
          <w:color w:val="231F20"/>
          <w:vertAlign w:val="baseline"/>
        </w:rPr>
        <w:t>Klepser,</w:t>
      </w:r>
    </w:p>
    <w:p>
      <w:pPr>
        <w:pStyle w:val="BodyText"/>
        <w:spacing w:line="228" w:lineRule="auto" w:before="4"/>
        <w:ind w:left="520" w:right="1147"/>
      </w:pPr>
      <w:r>
        <w:rPr>
          <w:color w:val="231F20"/>
        </w:rPr>
        <w:t>D. G., Swindells, S., &amp; Bares, S. H. (2019).</w:t>
      </w:r>
      <w:r>
        <w:rPr>
          <w:color w:val="231F20"/>
          <w:spacing w:val="1"/>
        </w:rPr>
        <w:t> </w:t>
      </w:r>
      <w:r>
        <w:rPr>
          <w:color w:val="231F20"/>
        </w:rPr>
        <w:t>Acceptability</w:t>
      </w:r>
      <w:r>
        <w:rPr>
          <w:color w:val="231F20"/>
          <w:spacing w:val="-4"/>
        </w:rPr>
        <w:t> </w:t>
      </w:r>
      <w:r>
        <w:rPr>
          <w:color w:val="231F20"/>
        </w:rPr>
        <w:t>and</w:t>
      </w:r>
      <w:r>
        <w:rPr>
          <w:color w:val="231F20"/>
          <w:spacing w:val="-2"/>
        </w:rPr>
        <w:t> </w:t>
      </w:r>
      <w:r>
        <w:rPr>
          <w:color w:val="231F20"/>
        </w:rPr>
        <w:t>feasibility</w:t>
      </w:r>
      <w:r>
        <w:rPr>
          <w:color w:val="231F20"/>
          <w:spacing w:val="-2"/>
        </w:rPr>
        <w:t> </w:t>
      </w:r>
      <w:r>
        <w:rPr>
          <w:color w:val="231F20"/>
        </w:rPr>
        <w:t>of</w:t>
      </w:r>
      <w:r>
        <w:rPr>
          <w:color w:val="231F20"/>
          <w:spacing w:val="-3"/>
        </w:rPr>
        <w:t> </w:t>
      </w:r>
      <w:r>
        <w:rPr>
          <w:color w:val="231F20"/>
        </w:rPr>
        <w:t>a</w:t>
      </w:r>
      <w:r>
        <w:rPr>
          <w:color w:val="231F20"/>
          <w:spacing w:val="-2"/>
        </w:rPr>
        <w:t> </w:t>
      </w:r>
      <w:r>
        <w:rPr>
          <w:color w:val="231F20"/>
        </w:rPr>
        <w:t>pharmacist-led</w:t>
      </w:r>
      <w:r>
        <w:rPr>
          <w:color w:val="231F20"/>
          <w:spacing w:val="-52"/>
        </w:rPr>
        <w:t> </w:t>
      </w:r>
      <w:r>
        <w:rPr>
          <w:color w:val="231F20"/>
        </w:rPr>
        <w:t>human immunodeficiency virus pre-exposure</w:t>
      </w:r>
      <w:r>
        <w:rPr>
          <w:color w:val="231F20"/>
          <w:spacing w:val="1"/>
        </w:rPr>
        <w:t> </w:t>
      </w:r>
      <w:r>
        <w:rPr>
          <w:color w:val="231F20"/>
        </w:rPr>
        <w:t>prophylaxis program in the midwestern United</w:t>
      </w:r>
      <w:r>
        <w:rPr>
          <w:color w:val="231F20"/>
          <w:spacing w:val="1"/>
        </w:rPr>
        <w:t> </w:t>
      </w:r>
      <w:r>
        <w:rPr>
          <w:color w:val="231F20"/>
        </w:rPr>
        <w:t>States. </w:t>
      </w:r>
      <w:r>
        <w:rPr>
          <w:i/>
          <w:color w:val="231F20"/>
        </w:rPr>
        <w:t>Open Forum Infectious Diseases, 6</w:t>
      </w:r>
      <w:r>
        <w:rPr>
          <w:color w:val="231F20"/>
        </w:rPr>
        <w:t>(10),</w:t>
      </w:r>
      <w:r>
        <w:rPr>
          <w:color w:val="231F20"/>
          <w:spacing w:val="1"/>
        </w:rPr>
        <w:t> </w:t>
      </w:r>
      <w:r>
        <w:rPr>
          <w:color w:val="231F20"/>
        </w:rPr>
        <w:t>ofz365.</w:t>
      </w:r>
      <w:r>
        <w:rPr>
          <w:color w:val="3953A4"/>
          <w:spacing w:val="-2"/>
        </w:rPr>
        <w:t> </w:t>
      </w:r>
      <w:hyperlink r:id="rId164">
        <w:r>
          <w:rPr>
            <w:color w:val="3953A4"/>
            <w:u w:val="single" w:color="3953A4"/>
          </w:rPr>
          <w:t>https://doi.org/10.1093/ofid/ofz365</w:t>
        </w:r>
      </w:hyperlink>
    </w:p>
    <w:p>
      <w:pPr>
        <w:pStyle w:val="BodyText"/>
        <w:tabs>
          <w:tab w:pos="519" w:val="left" w:leader="none"/>
        </w:tabs>
        <w:spacing w:line="228" w:lineRule="auto" w:before="88"/>
        <w:ind w:left="520" w:right="910" w:hanging="360"/>
      </w:pPr>
      <w:r>
        <w:rPr>
          <w:color w:val="231F20"/>
          <w:vertAlign w:val="superscript"/>
        </w:rPr>
        <w:t>16</w:t>
      </w:r>
      <w:r>
        <w:rPr>
          <w:color w:val="231F20"/>
          <w:vertAlign w:val="baseline"/>
        </w:rPr>
        <w:tab/>
      </w:r>
      <w:r>
        <w:rPr>
          <w:color w:val="231F20"/>
          <w:spacing w:val="-2"/>
          <w:vertAlign w:val="baseline"/>
        </w:rPr>
        <w:t>Khosropour, C. M., Backus, </w:t>
      </w:r>
      <w:r>
        <w:rPr>
          <w:color w:val="231F20"/>
          <w:spacing w:val="-1"/>
          <w:vertAlign w:val="baseline"/>
        </w:rPr>
        <w:t>K. V., Means, A. R.,</w:t>
      </w:r>
      <w:r>
        <w:rPr>
          <w:color w:val="231F20"/>
          <w:vertAlign w:val="baseline"/>
        </w:rPr>
        <w:t> Beauchamps, L., Johnson, K., Golden, M. R., &amp;</w:t>
      </w:r>
      <w:r>
        <w:rPr>
          <w:color w:val="231F20"/>
          <w:spacing w:val="1"/>
          <w:vertAlign w:val="baseline"/>
        </w:rPr>
        <w:t> </w:t>
      </w:r>
      <w:r>
        <w:rPr>
          <w:color w:val="231F20"/>
          <w:spacing w:val="-1"/>
          <w:vertAlign w:val="baseline"/>
        </w:rPr>
        <w:t>Mena, L.</w:t>
      </w:r>
      <w:r>
        <w:rPr>
          <w:color w:val="231F20"/>
          <w:vertAlign w:val="baseline"/>
        </w:rPr>
        <w:t> </w:t>
      </w:r>
      <w:r>
        <w:rPr>
          <w:color w:val="231F20"/>
          <w:spacing w:val="-1"/>
          <w:vertAlign w:val="baseline"/>
        </w:rPr>
        <w:t>(2020).</w:t>
      </w:r>
      <w:r>
        <w:rPr>
          <w:color w:val="231F20"/>
          <w:spacing w:val="-13"/>
          <w:vertAlign w:val="baseline"/>
        </w:rPr>
        <w:t> </w:t>
      </w:r>
      <w:r>
        <w:rPr>
          <w:color w:val="231F20"/>
          <w:spacing w:val="-1"/>
          <w:vertAlign w:val="baseline"/>
        </w:rPr>
        <w:t>A</w:t>
      </w:r>
      <w:r>
        <w:rPr>
          <w:color w:val="231F20"/>
          <w:spacing w:val="-13"/>
          <w:vertAlign w:val="baseline"/>
        </w:rPr>
        <w:t> </w:t>
      </w:r>
      <w:r>
        <w:rPr>
          <w:color w:val="231F20"/>
          <w:spacing w:val="-1"/>
          <w:vertAlign w:val="baseline"/>
        </w:rPr>
        <w:t>pharmacist-led,</w:t>
      </w:r>
      <w:r>
        <w:rPr>
          <w:color w:val="231F20"/>
          <w:vertAlign w:val="baseline"/>
        </w:rPr>
        <w:t> same-day, HIV</w:t>
      </w:r>
      <w:r>
        <w:rPr>
          <w:color w:val="231F20"/>
          <w:spacing w:val="-52"/>
          <w:vertAlign w:val="baseline"/>
        </w:rPr>
        <w:t> </w:t>
      </w:r>
      <w:r>
        <w:rPr>
          <w:color w:val="231F20"/>
          <w:vertAlign w:val="baseline"/>
        </w:rPr>
        <w:t>pre-exposure prophylaxis initiation program to</w:t>
      </w:r>
      <w:r>
        <w:rPr>
          <w:color w:val="231F20"/>
          <w:spacing w:val="1"/>
          <w:vertAlign w:val="baseline"/>
        </w:rPr>
        <w:t> </w:t>
      </w:r>
      <w:r>
        <w:rPr>
          <w:color w:val="231F20"/>
          <w:vertAlign w:val="baseline"/>
        </w:rPr>
        <w:t>increase PrEP uptake and decrease time to PrEP</w:t>
      </w:r>
      <w:r>
        <w:rPr>
          <w:color w:val="231F20"/>
          <w:spacing w:val="1"/>
          <w:vertAlign w:val="baseline"/>
        </w:rPr>
        <w:t> </w:t>
      </w:r>
      <w:r>
        <w:rPr>
          <w:color w:val="231F20"/>
          <w:vertAlign w:val="baseline"/>
        </w:rPr>
        <w:t>initiation. </w:t>
      </w:r>
      <w:r>
        <w:rPr>
          <w:i/>
          <w:color w:val="231F20"/>
          <w:vertAlign w:val="baseline"/>
        </w:rPr>
        <w:t>AIDS Patient Care &amp; STDs, 34</w:t>
      </w:r>
      <w:r>
        <w:rPr>
          <w:color w:val="231F20"/>
          <w:vertAlign w:val="baseline"/>
        </w:rPr>
        <w:t>(1), 1-6.</w:t>
      </w:r>
      <w:r>
        <w:rPr>
          <w:color w:val="231F20"/>
          <w:spacing w:val="1"/>
          <w:vertAlign w:val="baseline"/>
        </w:rPr>
        <w:t> </w:t>
      </w:r>
      <w:hyperlink r:id="rId165">
        <w:r>
          <w:rPr>
            <w:color w:val="3953A4"/>
            <w:u w:val="single" w:color="3953A4"/>
            <w:vertAlign w:val="baseline"/>
          </w:rPr>
          <w:t>https://doi.org/10.1089/apc.2019.023</w:t>
        </w:r>
      </w:hyperlink>
      <w:r>
        <w:rPr>
          <w:color w:val="3953A4"/>
          <w:u w:val="single" w:color="3953A4"/>
          <w:vertAlign w:val="baseline"/>
        </w:rPr>
        <w:t>5 </w:t>
      </w:r>
    </w:p>
    <w:p>
      <w:pPr>
        <w:pStyle w:val="BodyText"/>
        <w:tabs>
          <w:tab w:pos="519" w:val="left" w:leader="none"/>
        </w:tabs>
        <w:spacing w:line="228" w:lineRule="auto" w:before="88"/>
        <w:ind w:left="520" w:right="816" w:hanging="360"/>
      </w:pPr>
      <w:r>
        <w:rPr>
          <w:color w:val="231F20"/>
          <w:vertAlign w:val="superscript"/>
        </w:rPr>
        <w:t>17</w:t>
      </w:r>
      <w:r>
        <w:rPr>
          <w:color w:val="231F20"/>
          <w:vertAlign w:val="baseline"/>
        </w:rPr>
        <w:tab/>
      </w:r>
      <w:r>
        <w:rPr>
          <w:color w:val="231F20"/>
          <w:spacing w:val="-2"/>
          <w:vertAlign w:val="baseline"/>
        </w:rPr>
        <w:t>Smith, B. L., Hester, A. M., Cantos, V. </w:t>
      </w:r>
      <w:r>
        <w:rPr>
          <w:color w:val="231F20"/>
          <w:spacing w:val="-1"/>
          <w:vertAlign w:val="baseline"/>
        </w:rPr>
        <w:t>D., James, T.</w:t>
      </w:r>
      <w:r>
        <w:rPr>
          <w:color w:val="231F20"/>
          <w:spacing w:val="-52"/>
          <w:vertAlign w:val="baseline"/>
        </w:rPr>
        <w:t> </w:t>
      </w:r>
      <w:r>
        <w:rPr>
          <w:color w:val="231F20"/>
          <w:vertAlign w:val="baseline"/>
        </w:rPr>
        <w:t>R., &amp; Lora, M. H. (2019). 1280. A pharmacist-led</w:t>
      </w:r>
      <w:r>
        <w:rPr>
          <w:color w:val="231F20"/>
          <w:spacing w:val="1"/>
          <w:vertAlign w:val="baseline"/>
        </w:rPr>
        <w:t> </w:t>
      </w:r>
      <w:r>
        <w:rPr>
          <w:color w:val="231F20"/>
          <w:vertAlign w:val="baseline"/>
        </w:rPr>
        <w:t>PrEP program at the epicenter of the HIV epidemic</w:t>
      </w:r>
      <w:r>
        <w:rPr>
          <w:color w:val="231F20"/>
          <w:spacing w:val="1"/>
          <w:vertAlign w:val="baseline"/>
        </w:rPr>
        <w:t> </w:t>
      </w:r>
      <w:r>
        <w:rPr>
          <w:color w:val="231F20"/>
          <w:spacing w:val="-1"/>
          <w:vertAlign w:val="baseline"/>
        </w:rPr>
        <w:t>in Atlanta; our </w:t>
      </w:r>
      <w:r>
        <w:rPr>
          <w:color w:val="231F20"/>
          <w:vertAlign w:val="baseline"/>
        </w:rPr>
        <w:t>experience. </w:t>
      </w:r>
      <w:r>
        <w:rPr>
          <w:i/>
          <w:color w:val="231F20"/>
          <w:vertAlign w:val="baseline"/>
        </w:rPr>
        <w:t>Open Forum Infectious</w:t>
      </w:r>
      <w:r>
        <w:rPr>
          <w:i/>
          <w:color w:val="231F20"/>
          <w:spacing w:val="1"/>
          <w:vertAlign w:val="baseline"/>
        </w:rPr>
        <w:t> </w:t>
      </w:r>
      <w:r>
        <w:rPr>
          <w:i/>
          <w:color w:val="231F20"/>
          <w:vertAlign w:val="baseline"/>
        </w:rPr>
        <w:t>Diseases, 6</w:t>
      </w:r>
      <w:r>
        <w:rPr>
          <w:color w:val="231F20"/>
          <w:vertAlign w:val="baseline"/>
        </w:rPr>
        <w:t>(Suppl 2), S461. </w:t>
      </w:r>
      <w:hyperlink r:id="rId166">
        <w:r>
          <w:rPr>
            <w:color w:val="3953A4"/>
            <w:u w:val="single" w:color="3953A4"/>
            <w:vertAlign w:val="baseline"/>
          </w:rPr>
          <w:t>https://doi.org/10.1093/</w:t>
        </w:r>
      </w:hyperlink>
      <w:r>
        <w:rPr>
          <w:color w:val="3953A4"/>
          <w:spacing w:val="-52"/>
          <w:vertAlign w:val="baseline"/>
        </w:rPr>
        <w:t> </w:t>
      </w:r>
      <w:hyperlink r:id="rId166">
        <w:r>
          <w:rPr>
            <w:color w:val="3953A4"/>
            <w:u w:val="single" w:color="3953A4"/>
            <w:vertAlign w:val="baseline"/>
          </w:rPr>
          <w:t>ofid/ofz360.1143</w:t>
        </w:r>
      </w:hyperlink>
    </w:p>
    <w:p>
      <w:pPr>
        <w:spacing w:after="0" w:line="228" w:lineRule="auto"/>
        <w:sectPr>
          <w:type w:val="continuous"/>
          <w:pgSz w:w="12240" w:h="15840"/>
          <w:pgMar w:header="0" w:footer="666" w:top="1500" w:bottom="0" w:left="560" w:right="0"/>
          <w:cols w:num="2" w:equalWidth="0">
            <w:col w:w="5220" w:space="540"/>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BodyText"/>
        <w:tabs>
          <w:tab w:pos="519" w:val="left" w:leader="none"/>
        </w:tabs>
        <w:spacing w:line="228" w:lineRule="auto" w:before="101"/>
        <w:ind w:left="520" w:right="112" w:hanging="360"/>
      </w:pPr>
      <w:r>
        <w:rPr>
          <w:color w:val="231F20"/>
          <w:vertAlign w:val="superscript"/>
        </w:rPr>
        <w:t>18</w:t>
      </w:r>
      <w:r>
        <w:rPr>
          <w:color w:val="231F20"/>
          <w:vertAlign w:val="baseline"/>
        </w:rPr>
        <w:tab/>
      </w:r>
      <w:r>
        <w:rPr>
          <w:color w:val="231F20"/>
          <w:spacing w:val="-2"/>
          <w:vertAlign w:val="baseline"/>
        </w:rPr>
        <w:t>Liu, A. Y., Vittinghoff, E., von Felten, P., Amico, </w:t>
      </w:r>
      <w:r>
        <w:rPr>
          <w:color w:val="231F20"/>
          <w:spacing w:val="-1"/>
          <w:vertAlign w:val="baseline"/>
        </w:rPr>
        <w:t>K.</w:t>
      </w:r>
      <w:r>
        <w:rPr>
          <w:color w:val="231F20"/>
          <w:spacing w:val="-52"/>
          <w:vertAlign w:val="baseline"/>
        </w:rPr>
        <w:t> </w:t>
      </w:r>
      <w:r>
        <w:rPr>
          <w:color w:val="231F20"/>
          <w:spacing w:val="-2"/>
          <w:vertAlign w:val="baseline"/>
        </w:rPr>
        <w:t>R., Anderson, P. L., </w:t>
      </w:r>
      <w:r>
        <w:rPr>
          <w:color w:val="231F20"/>
          <w:spacing w:val="-1"/>
          <w:vertAlign w:val="baseline"/>
        </w:rPr>
        <w:t>Lester, R., Andrew, E., Estes, I.,</w:t>
      </w:r>
      <w:r>
        <w:rPr>
          <w:color w:val="231F20"/>
          <w:spacing w:val="-52"/>
          <w:vertAlign w:val="baseline"/>
        </w:rPr>
        <w:t> </w:t>
      </w:r>
      <w:r>
        <w:rPr>
          <w:color w:val="231F20"/>
          <w:vertAlign w:val="baseline"/>
        </w:rPr>
        <w:t>Serrano, P., Brothers, J., Buchbinder, S., Hosek, S.,</w:t>
      </w:r>
      <w:r>
        <w:rPr>
          <w:color w:val="231F20"/>
          <w:spacing w:val="1"/>
          <w:vertAlign w:val="baseline"/>
        </w:rPr>
        <w:t> </w:t>
      </w:r>
      <w:r>
        <w:rPr>
          <w:color w:val="231F20"/>
          <w:vertAlign w:val="baseline"/>
        </w:rPr>
        <w:t>&amp; Fuchs, J. D. (2019). Randomized controlled trial</w:t>
      </w:r>
      <w:r>
        <w:rPr>
          <w:color w:val="231F20"/>
          <w:spacing w:val="1"/>
          <w:vertAlign w:val="baseline"/>
        </w:rPr>
        <w:t> </w:t>
      </w:r>
      <w:r>
        <w:rPr>
          <w:color w:val="231F20"/>
          <w:vertAlign w:val="baseline"/>
        </w:rPr>
        <w:t>of a mobile health intervention to promote retention</w:t>
      </w:r>
      <w:r>
        <w:rPr>
          <w:color w:val="231F20"/>
          <w:spacing w:val="-52"/>
          <w:vertAlign w:val="baseline"/>
        </w:rPr>
        <w:t> </w:t>
      </w:r>
      <w:r>
        <w:rPr>
          <w:color w:val="231F20"/>
          <w:vertAlign w:val="baseline"/>
        </w:rPr>
        <w:t>and adherence to preexposure prophylaxis among</w:t>
      </w:r>
      <w:r>
        <w:rPr>
          <w:color w:val="231F20"/>
          <w:spacing w:val="1"/>
          <w:vertAlign w:val="baseline"/>
        </w:rPr>
        <w:t> </w:t>
      </w:r>
      <w:r>
        <w:rPr>
          <w:color w:val="231F20"/>
          <w:vertAlign w:val="baseline"/>
        </w:rPr>
        <w:t>young people at risk for human immunodeficiency</w:t>
      </w:r>
      <w:r>
        <w:rPr>
          <w:color w:val="231F20"/>
          <w:spacing w:val="1"/>
          <w:vertAlign w:val="baseline"/>
        </w:rPr>
        <w:t> </w:t>
      </w:r>
      <w:r>
        <w:rPr>
          <w:color w:val="231F20"/>
          <w:vertAlign w:val="baseline"/>
        </w:rPr>
        <w:t>virus: The epic study. </w:t>
      </w:r>
      <w:r>
        <w:rPr>
          <w:i/>
          <w:color w:val="231F20"/>
          <w:vertAlign w:val="baseline"/>
        </w:rPr>
        <w:t>Clinical Infectious Diseases,</w:t>
      </w:r>
      <w:r>
        <w:rPr>
          <w:i/>
          <w:color w:val="231F20"/>
          <w:spacing w:val="1"/>
          <w:vertAlign w:val="baseline"/>
        </w:rPr>
        <w:t> </w:t>
      </w:r>
      <w:r>
        <w:rPr>
          <w:i/>
          <w:color w:val="231F20"/>
          <w:vertAlign w:val="baseline"/>
        </w:rPr>
        <w:t>68</w:t>
      </w:r>
      <w:r>
        <w:rPr>
          <w:color w:val="231F20"/>
          <w:vertAlign w:val="baseline"/>
        </w:rPr>
        <w:t>(12), 2010-2017. </w:t>
      </w:r>
      <w:hyperlink r:id="rId167">
        <w:r>
          <w:rPr>
            <w:color w:val="3953A4"/>
            <w:u w:val="single" w:color="3953A4"/>
            <w:vertAlign w:val="baseline"/>
          </w:rPr>
          <w:t>https://doi.org/10.1093/cid/</w:t>
        </w:r>
      </w:hyperlink>
      <w:r>
        <w:rPr>
          <w:color w:val="3953A4"/>
          <w:spacing w:val="1"/>
          <w:vertAlign w:val="baseline"/>
        </w:rPr>
        <w:t> </w:t>
      </w:r>
      <w:hyperlink r:id="rId167">
        <w:r>
          <w:rPr>
            <w:color w:val="3953A4"/>
            <w:u w:val="single" w:color="3953A4"/>
            <w:vertAlign w:val="baseline"/>
          </w:rPr>
          <w:t>ciy81</w:t>
        </w:r>
      </w:hyperlink>
      <w:r>
        <w:rPr>
          <w:color w:val="3953A4"/>
          <w:u w:val="single" w:color="3953A4"/>
          <w:vertAlign w:val="baseline"/>
        </w:rPr>
        <w:t>0</w:t>
      </w:r>
      <w:r>
        <w:rPr>
          <w:color w:val="3953A4"/>
          <w:spacing w:val="-1"/>
          <w:u w:val="single" w:color="3953A4"/>
          <w:vertAlign w:val="baseline"/>
        </w:rPr>
        <w:t> </w:t>
      </w:r>
    </w:p>
    <w:p>
      <w:pPr>
        <w:pStyle w:val="BodyText"/>
        <w:tabs>
          <w:tab w:pos="519" w:val="left" w:leader="none"/>
        </w:tabs>
        <w:spacing w:line="246" w:lineRule="exact" w:before="77"/>
        <w:ind w:left="160"/>
      </w:pPr>
      <w:r>
        <w:rPr>
          <w:color w:val="231F20"/>
          <w:vertAlign w:val="superscript"/>
        </w:rPr>
        <w:t>19</w:t>
      </w:r>
      <w:r>
        <w:rPr>
          <w:color w:val="231F20"/>
          <w:vertAlign w:val="baseline"/>
        </w:rPr>
        <w:tab/>
      </w:r>
      <w:r>
        <w:rPr>
          <w:color w:val="231F20"/>
          <w:spacing w:val="-2"/>
          <w:vertAlign w:val="baseline"/>
        </w:rPr>
        <w:t>Shrestha,</w:t>
      </w:r>
      <w:r>
        <w:rPr>
          <w:color w:val="231F20"/>
          <w:spacing w:val="-1"/>
          <w:vertAlign w:val="baseline"/>
        </w:rPr>
        <w:t> </w:t>
      </w:r>
      <w:r>
        <w:rPr>
          <w:color w:val="231F20"/>
          <w:spacing w:val="-2"/>
          <w:vertAlign w:val="baseline"/>
        </w:rPr>
        <w:t>R.,</w:t>
      </w:r>
      <w:r>
        <w:rPr>
          <w:color w:val="231F20"/>
          <w:spacing w:val="-13"/>
          <w:vertAlign w:val="baseline"/>
        </w:rPr>
        <w:t> </w:t>
      </w:r>
      <w:r>
        <w:rPr>
          <w:color w:val="231F20"/>
          <w:spacing w:val="-2"/>
          <w:vertAlign w:val="baseline"/>
        </w:rPr>
        <w:t>Altice,</w:t>
      </w:r>
      <w:r>
        <w:rPr>
          <w:color w:val="231F20"/>
          <w:vertAlign w:val="baseline"/>
        </w:rPr>
        <w:t> </w:t>
      </w:r>
      <w:r>
        <w:rPr>
          <w:color w:val="231F20"/>
          <w:spacing w:val="-2"/>
          <w:vertAlign w:val="baseline"/>
        </w:rPr>
        <w:t>F.</w:t>
      </w:r>
      <w:r>
        <w:rPr>
          <w:color w:val="231F20"/>
          <w:vertAlign w:val="baseline"/>
        </w:rPr>
        <w:t> </w:t>
      </w:r>
      <w:r>
        <w:rPr>
          <w:color w:val="231F20"/>
          <w:spacing w:val="-2"/>
          <w:vertAlign w:val="baseline"/>
        </w:rPr>
        <w:t>L.,</w:t>
      </w:r>
      <w:r>
        <w:rPr>
          <w:color w:val="231F20"/>
          <w:spacing w:val="1"/>
          <w:vertAlign w:val="baseline"/>
        </w:rPr>
        <w:t> </w:t>
      </w:r>
      <w:r>
        <w:rPr>
          <w:color w:val="231F20"/>
          <w:spacing w:val="-2"/>
          <w:vertAlign w:val="baseline"/>
        </w:rPr>
        <w:t>Karki,</w:t>
      </w:r>
      <w:r>
        <w:rPr>
          <w:color w:val="231F20"/>
          <w:spacing w:val="-1"/>
          <w:vertAlign w:val="baseline"/>
        </w:rPr>
        <w:t> P.,</w:t>
      </w:r>
      <w:r>
        <w:rPr>
          <w:color w:val="231F20"/>
          <w:vertAlign w:val="baseline"/>
        </w:rPr>
        <w:t> </w:t>
      </w:r>
      <w:r>
        <w:rPr>
          <w:color w:val="231F20"/>
          <w:spacing w:val="-1"/>
          <w:vertAlign w:val="baseline"/>
        </w:rPr>
        <w:t>&amp;</w:t>
      </w:r>
      <w:r>
        <w:rPr>
          <w:color w:val="231F20"/>
          <w:spacing w:val="1"/>
          <w:vertAlign w:val="baseline"/>
        </w:rPr>
        <w:t> </w:t>
      </w:r>
      <w:r>
        <w:rPr>
          <w:color w:val="231F20"/>
          <w:spacing w:val="-1"/>
          <w:vertAlign w:val="baseline"/>
        </w:rPr>
        <w:t>Copenhaver,</w:t>
      </w:r>
    </w:p>
    <w:p>
      <w:pPr>
        <w:pStyle w:val="BodyText"/>
        <w:spacing w:line="228" w:lineRule="auto" w:before="3"/>
        <w:ind w:left="520" w:right="54"/>
      </w:pPr>
      <w:r>
        <w:rPr>
          <w:color w:val="231F20"/>
        </w:rPr>
        <w:t>M. M. (2018). Integrated bio-behavioral approach to</w:t>
      </w:r>
      <w:r>
        <w:rPr>
          <w:color w:val="231F20"/>
          <w:spacing w:val="-52"/>
        </w:rPr>
        <w:t> </w:t>
      </w:r>
      <w:r>
        <w:rPr>
          <w:color w:val="231F20"/>
        </w:rPr>
        <w:t>improve adherence to pre-exposure prophylaxis and</w:t>
      </w:r>
      <w:r>
        <w:rPr>
          <w:color w:val="231F20"/>
          <w:spacing w:val="-52"/>
        </w:rPr>
        <w:t> </w:t>
      </w:r>
      <w:r>
        <w:rPr>
          <w:color w:val="231F20"/>
        </w:rPr>
        <w:t>reduce HIV risk in people who use drugs: A pilot</w:t>
      </w:r>
      <w:r>
        <w:rPr>
          <w:color w:val="231F20"/>
          <w:spacing w:val="1"/>
        </w:rPr>
        <w:t> </w:t>
      </w:r>
      <w:r>
        <w:rPr>
          <w:color w:val="231F20"/>
        </w:rPr>
        <w:t>feasibility study. </w:t>
      </w:r>
      <w:r>
        <w:rPr>
          <w:i/>
          <w:color w:val="231F20"/>
        </w:rPr>
        <w:t>AIDS and Behavior, 22</w:t>
      </w:r>
      <w:r>
        <w:rPr>
          <w:color w:val="231F20"/>
        </w:rPr>
        <w:t>(8), 2640-</w:t>
      </w:r>
      <w:r>
        <w:rPr>
          <w:color w:val="231F20"/>
          <w:spacing w:val="1"/>
        </w:rPr>
        <w:t> </w:t>
      </w:r>
      <w:r>
        <w:rPr>
          <w:color w:val="231F20"/>
        </w:rPr>
        <w:t>2649.</w:t>
      </w:r>
      <w:r>
        <w:rPr>
          <w:color w:val="3953A4"/>
          <w:spacing w:val="-1"/>
        </w:rPr>
        <w:t> </w:t>
      </w:r>
      <w:hyperlink r:id="rId168">
        <w:r>
          <w:rPr>
            <w:color w:val="3953A4"/>
            <w:u w:val="single" w:color="3953A4"/>
          </w:rPr>
          <w:t>https://doi.org/10.1007/s10461-018-2099-</w:t>
        </w:r>
      </w:hyperlink>
      <w:r>
        <w:rPr>
          <w:color w:val="3953A4"/>
          <w:u w:val="single" w:color="3953A4"/>
        </w:rPr>
        <w:t>0 </w:t>
      </w:r>
    </w:p>
    <w:p>
      <w:pPr>
        <w:pStyle w:val="BodyText"/>
        <w:tabs>
          <w:tab w:pos="519" w:val="left" w:leader="none"/>
        </w:tabs>
        <w:spacing w:line="228" w:lineRule="auto" w:before="89"/>
        <w:ind w:left="520" w:right="104" w:hanging="360"/>
      </w:pPr>
      <w:r>
        <w:rPr>
          <w:color w:val="010202"/>
          <w:vertAlign w:val="superscript"/>
        </w:rPr>
        <w:t>20</w:t>
      </w:r>
      <w:r>
        <w:rPr>
          <w:color w:val="010202"/>
          <w:vertAlign w:val="baseline"/>
        </w:rPr>
        <w:tab/>
      </w:r>
      <w:r>
        <w:rPr>
          <w:color w:val="010202"/>
          <w:spacing w:val="-1"/>
          <w:vertAlign w:val="baseline"/>
        </w:rPr>
        <w:t>National Association of Public Hospitals and </w:t>
      </w:r>
      <w:r>
        <w:rPr>
          <w:color w:val="010202"/>
          <w:vertAlign w:val="baseline"/>
        </w:rPr>
        <w:t>Health</w:t>
      </w:r>
      <w:r>
        <w:rPr>
          <w:color w:val="010202"/>
          <w:spacing w:val="-52"/>
          <w:vertAlign w:val="baseline"/>
        </w:rPr>
        <w:t> </w:t>
      </w:r>
      <w:r>
        <w:rPr>
          <w:color w:val="010202"/>
          <w:vertAlign w:val="baseline"/>
        </w:rPr>
        <w:t>Systems. (n.d.). </w:t>
      </w:r>
      <w:r>
        <w:rPr>
          <w:i/>
          <w:color w:val="010202"/>
          <w:vertAlign w:val="baseline"/>
        </w:rPr>
        <w:t>What is a Safety Net Hospital?</w:t>
      </w:r>
      <w:r>
        <w:rPr>
          <w:i/>
          <w:color w:val="010202"/>
          <w:spacing w:val="1"/>
          <w:vertAlign w:val="baseline"/>
        </w:rPr>
        <w:t> </w:t>
      </w:r>
      <w:hyperlink r:id="rId169">
        <w:r>
          <w:rPr>
            <w:color w:val="3953A4"/>
            <w:u w:val="single" w:color="3953A4"/>
            <w:vertAlign w:val="baseline"/>
          </w:rPr>
          <w:t>http://www.literacynet.org/hls/hls_conf_materials/</w:t>
        </w:r>
      </w:hyperlink>
      <w:r>
        <w:rPr>
          <w:color w:val="3953A4"/>
          <w:spacing w:val="1"/>
          <w:vertAlign w:val="baseline"/>
        </w:rPr>
        <w:t> </w:t>
      </w:r>
      <w:hyperlink r:id="rId169">
        <w:r>
          <w:rPr>
            <w:color w:val="3953A4"/>
            <w:u w:val="single" w:color="3953A4"/>
            <w:vertAlign w:val="baseline"/>
          </w:rPr>
          <w:t>WhatIsASafetyNetHospital.pd</w:t>
        </w:r>
      </w:hyperlink>
      <w:r>
        <w:rPr>
          <w:color w:val="3953A4"/>
          <w:u w:val="single" w:color="3953A4"/>
          <w:vertAlign w:val="baseline"/>
        </w:rPr>
        <w:t>f</w:t>
      </w:r>
      <w:r>
        <w:rPr>
          <w:color w:val="3953A4"/>
          <w:spacing w:val="-1"/>
          <w:u w:val="single" w:color="3953A4"/>
          <w:vertAlign w:val="baseline"/>
        </w:rPr>
        <w:t> </w:t>
      </w:r>
    </w:p>
    <w:p>
      <w:pPr>
        <w:tabs>
          <w:tab w:pos="519" w:val="left" w:leader="none"/>
        </w:tabs>
        <w:spacing w:line="228" w:lineRule="auto" w:before="88"/>
        <w:ind w:left="520" w:right="136" w:hanging="360"/>
        <w:jc w:val="left"/>
        <w:rPr>
          <w:sz w:val="22"/>
        </w:rPr>
      </w:pPr>
      <w:r>
        <w:rPr>
          <w:color w:val="010202"/>
          <w:sz w:val="22"/>
          <w:vertAlign w:val="superscript"/>
        </w:rPr>
        <w:t>21</w:t>
      </w:r>
      <w:r>
        <w:rPr>
          <w:color w:val="010202"/>
          <w:sz w:val="22"/>
          <w:vertAlign w:val="baseline"/>
        </w:rPr>
        <w:tab/>
        <w:t>Dawson, L., &amp; Kates, J. (2018). </w:t>
      </w:r>
      <w:r>
        <w:rPr>
          <w:i/>
          <w:color w:val="010202"/>
          <w:sz w:val="22"/>
          <w:vertAlign w:val="baseline"/>
        </w:rPr>
        <w:t>HIV and the opioid</w:t>
      </w:r>
      <w:r>
        <w:rPr>
          <w:i/>
          <w:color w:val="010202"/>
          <w:spacing w:val="-52"/>
          <w:sz w:val="22"/>
          <w:vertAlign w:val="baseline"/>
        </w:rPr>
        <w:t> </w:t>
      </w:r>
      <w:r>
        <w:rPr>
          <w:i/>
          <w:color w:val="010202"/>
          <w:sz w:val="22"/>
          <w:vertAlign w:val="baseline"/>
        </w:rPr>
        <w:t>epidemic: 5 key points</w:t>
      </w:r>
      <w:r>
        <w:rPr>
          <w:color w:val="010202"/>
          <w:sz w:val="22"/>
          <w:vertAlign w:val="baseline"/>
        </w:rPr>
        <w:t>. Kaiser Family Foundation.</w:t>
      </w:r>
      <w:r>
        <w:rPr>
          <w:color w:val="010202"/>
          <w:spacing w:val="1"/>
          <w:sz w:val="22"/>
          <w:vertAlign w:val="baseline"/>
        </w:rPr>
        <w:t> </w:t>
      </w:r>
      <w:hyperlink r:id="rId170">
        <w:r>
          <w:rPr>
            <w:color w:val="3953A4"/>
            <w:spacing w:val="-1"/>
            <w:sz w:val="22"/>
            <w:u w:val="single" w:color="3953A4"/>
            <w:vertAlign w:val="baseline"/>
          </w:rPr>
          <w:t>https://www.kff.org/hivaids/issue-brief/hiv-and-the-</w:t>
        </w:r>
      </w:hyperlink>
      <w:r>
        <w:rPr>
          <w:color w:val="3953A4"/>
          <w:spacing w:val="-52"/>
          <w:sz w:val="22"/>
          <w:vertAlign w:val="baseline"/>
        </w:rPr>
        <w:t> </w:t>
      </w:r>
      <w:hyperlink r:id="rId170">
        <w:r>
          <w:rPr>
            <w:color w:val="3953A4"/>
            <w:sz w:val="22"/>
            <w:u w:val="single" w:color="3953A4"/>
            <w:vertAlign w:val="baseline"/>
          </w:rPr>
          <w:t>opioid-epidemic-5-key-points</w:t>
        </w:r>
      </w:hyperlink>
      <w:r>
        <w:rPr>
          <w:color w:val="3953A4"/>
          <w:sz w:val="22"/>
          <w:u w:val="single" w:color="3953A4"/>
          <w:vertAlign w:val="baseline"/>
        </w:rPr>
        <w:t>/ </w:t>
      </w:r>
    </w:p>
    <w:p>
      <w:pPr>
        <w:tabs>
          <w:tab w:pos="519" w:val="left" w:leader="none"/>
        </w:tabs>
        <w:spacing w:line="228" w:lineRule="auto" w:before="89"/>
        <w:ind w:left="520" w:right="67" w:hanging="360"/>
        <w:jc w:val="left"/>
        <w:rPr>
          <w:sz w:val="22"/>
        </w:rPr>
      </w:pPr>
      <w:r>
        <w:rPr>
          <w:color w:val="231F20"/>
          <w:sz w:val="22"/>
          <w:vertAlign w:val="superscript"/>
        </w:rPr>
        <w:t>22</w:t>
      </w:r>
      <w:r>
        <w:rPr>
          <w:color w:val="231F20"/>
          <w:sz w:val="22"/>
          <w:vertAlign w:val="baseline"/>
        </w:rPr>
        <w:tab/>
        <w:t>Centers for Disease Control and Prevention (2020,</w:t>
      </w:r>
      <w:r>
        <w:rPr>
          <w:color w:val="231F20"/>
          <w:spacing w:val="1"/>
          <w:sz w:val="22"/>
          <w:vertAlign w:val="baseline"/>
        </w:rPr>
        <w:t> </w:t>
      </w:r>
      <w:r>
        <w:rPr>
          <w:color w:val="231F20"/>
          <w:sz w:val="22"/>
          <w:vertAlign w:val="baseline"/>
        </w:rPr>
        <w:t>June 4). </w:t>
      </w:r>
      <w:r>
        <w:rPr>
          <w:i/>
          <w:color w:val="231F20"/>
          <w:sz w:val="22"/>
          <w:vertAlign w:val="baseline"/>
        </w:rPr>
        <w:t>Summary of information on the safety and</w:t>
      </w:r>
      <w:r>
        <w:rPr>
          <w:i/>
          <w:color w:val="231F20"/>
          <w:spacing w:val="1"/>
          <w:sz w:val="22"/>
          <w:vertAlign w:val="baseline"/>
        </w:rPr>
        <w:t> </w:t>
      </w:r>
      <w:r>
        <w:rPr>
          <w:i/>
          <w:color w:val="231F20"/>
          <w:sz w:val="22"/>
          <w:vertAlign w:val="baseline"/>
        </w:rPr>
        <w:t>effectiveness of syringe services programs (SSPs)</w:t>
      </w:r>
      <w:r>
        <w:rPr>
          <w:color w:val="231F20"/>
          <w:sz w:val="22"/>
          <w:vertAlign w:val="baseline"/>
        </w:rPr>
        <w:t>.</w:t>
      </w:r>
      <w:r>
        <w:rPr>
          <w:color w:val="231F20"/>
          <w:spacing w:val="1"/>
          <w:sz w:val="22"/>
          <w:vertAlign w:val="baseline"/>
        </w:rPr>
        <w:t> </w:t>
      </w:r>
      <w:hyperlink r:id="rId171">
        <w:r>
          <w:rPr>
            <w:color w:val="3953A4"/>
            <w:spacing w:val="-1"/>
            <w:sz w:val="22"/>
            <w:u w:val="single" w:color="3953A4"/>
            <w:vertAlign w:val="baseline"/>
          </w:rPr>
          <w:t>https://www.cdc.gov/ssp/syringe-services-programs-</w:t>
        </w:r>
      </w:hyperlink>
      <w:r>
        <w:rPr>
          <w:color w:val="3953A4"/>
          <w:spacing w:val="-52"/>
          <w:sz w:val="22"/>
          <w:vertAlign w:val="baseline"/>
        </w:rPr>
        <w:t> </w:t>
      </w:r>
      <w:hyperlink r:id="rId171">
        <w:r>
          <w:rPr>
            <w:color w:val="3953A4"/>
            <w:sz w:val="22"/>
            <w:u w:val="single" w:color="3953A4"/>
            <w:vertAlign w:val="baseline"/>
          </w:rPr>
          <w:t>summary.htm</w:t>
        </w:r>
      </w:hyperlink>
      <w:r>
        <w:rPr>
          <w:color w:val="3953A4"/>
          <w:sz w:val="22"/>
          <w:u w:val="single" w:color="3953A4"/>
          <w:vertAlign w:val="baseline"/>
        </w:rPr>
        <w:t>l </w:t>
      </w:r>
    </w:p>
    <w:p>
      <w:pPr>
        <w:tabs>
          <w:tab w:pos="519" w:val="left" w:leader="none"/>
        </w:tabs>
        <w:spacing w:line="228" w:lineRule="auto" w:before="88"/>
        <w:ind w:left="520" w:right="334" w:hanging="360"/>
        <w:jc w:val="left"/>
        <w:rPr>
          <w:sz w:val="22"/>
        </w:rPr>
      </w:pPr>
      <w:r>
        <w:rPr>
          <w:color w:val="010202"/>
          <w:sz w:val="22"/>
          <w:vertAlign w:val="superscript"/>
        </w:rPr>
        <w:t>23</w:t>
      </w:r>
      <w:r>
        <w:rPr>
          <w:color w:val="010202"/>
          <w:sz w:val="22"/>
          <w:vertAlign w:val="baseline"/>
        </w:rPr>
        <w:tab/>
      </w:r>
      <w:hyperlink r:id="rId37">
        <w:r>
          <w:rPr>
            <w:color w:val="010202"/>
            <w:sz w:val="22"/>
            <w:vertAlign w:val="baseline"/>
          </w:rPr>
          <w:t>HIV.gov</w:t>
        </w:r>
      </w:hyperlink>
      <w:r>
        <w:rPr>
          <w:color w:val="010202"/>
          <w:sz w:val="22"/>
          <w:vertAlign w:val="baseline"/>
        </w:rPr>
        <w:t>. (2020, January 31). </w:t>
      </w:r>
      <w:r>
        <w:rPr>
          <w:i/>
          <w:color w:val="010202"/>
          <w:sz w:val="22"/>
          <w:vertAlign w:val="baseline"/>
        </w:rPr>
        <w:t>Syringe services</w:t>
      </w:r>
      <w:r>
        <w:rPr>
          <w:i/>
          <w:color w:val="010202"/>
          <w:spacing w:val="1"/>
          <w:sz w:val="22"/>
          <w:vertAlign w:val="baseline"/>
        </w:rPr>
        <w:t> </w:t>
      </w:r>
      <w:r>
        <w:rPr>
          <w:i/>
          <w:color w:val="010202"/>
          <w:sz w:val="22"/>
          <w:vertAlign w:val="baseline"/>
        </w:rPr>
        <w:t>programs</w:t>
      </w:r>
      <w:r>
        <w:rPr>
          <w:i/>
          <w:color w:val="010202"/>
          <w:spacing w:val="2"/>
          <w:sz w:val="22"/>
          <w:vertAlign w:val="baseline"/>
        </w:rPr>
        <w:t> </w:t>
      </w:r>
      <w:r>
        <w:rPr>
          <w:i/>
          <w:color w:val="010202"/>
          <w:sz w:val="22"/>
          <w:vertAlign w:val="baseline"/>
        </w:rPr>
        <w:t>-</w:t>
      </w:r>
      <w:r>
        <w:rPr>
          <w:i/>
          <w:color w:val="010202"/>
          <w:spacing w:val="2"/>
          <w:sz w:val="22"/>
          <w:vertAlign w:val="baseline"/>
        </w:rPr>
        <w:t> </w:t>
      </w:r>
      <w:r>
        <w:rPr>
          <w:i/>
          <w:color w:val="010202"/>
          <w:sz w:val="22"/>
          <w:vertAlign w:val="baseline"/>
        </w:rPr>
        <w:t>Opioid</w:t>
      </w:r>
      <w:r>
        <w:rPr>
          <w:i/>
          <w:color w:val="010202"/>
          <w:spacing w:val="1"/>
          <w:sz w:val="22"/>
          <w:vertAlign w:val="baseline"/>
        </w:rPr>
        <w:t> </w:t>
      </w:r>
      <w:r>
        <w:rPr>
          <w:i/>
          <w:color w:val="010202"/>
          <w:sz w:val="22"/>
          <w:vertAlign w:val="baseline"/>
        </w:rPr>
        <w:t>crisis</w:t>
      </w:r>
      <w:r>
        <w:rPr>
          <w:i/>
          <w:color w:val="010202"/>
          <w:spacing w:val="2"/>
          <w:sz w:val="22"/>
          <w:vertAlign w:val="baseline"/>
        </w:rPr>
        <w:t> </w:t>
      </w:r>
      <w:r>
        <w:rPr>
          <w:i/>
          <w:color w:val="010202"/>
          <w:sz w:val="22"/>
          <w:vertAlign w:val="baseline"/>
        </w:rPr>
        <w:t>is</w:t>
      </w:r>
      <w:r>
        <w:rPr>
          <w:i/>
          <w:color w:val="010202"/>
          <w:spacing w:val="2"/>
          <w:sz w:val="22"/>
          <w:vertAlign w:val="baseline"/>
        </w:rPr>
        <w:t> </w:t>
      </w:r>
      <w:r>
        <w:rPr>
          <w:i/>
          <w:color w:val="010202"/>
          <w:sz w:val="22"/>
          <w:vertAlign w:val="baseline"/>
        </w:rPr>
        <w:t>raising</w:t>
      </w:r>
      <w:r>
        <w:rPr>
          <w:i/>
          <w:color w:val="010202"/>
          <w:spacing w:val="1"/>
          <w:sz w:val="22"/>
          <w:vertAlign w:val="baseline"/>
        </w:rPr>
        <w:t> </w:t>
      </w:r>
      <w:r>
        <w:rPr>
          <w:i/>
          <w:color w:val="010202"/>
          <w:sz w:val="22"/>
          <w:vertAlign w:val="baseline"/>
        </w:rPr>
        <w:t>risks</w:t>
      </w:r>
      <w:r>
        <w:rPr>
          <w:i/>
          <w:color w:val="010202"/>
          <w:spacing w:val="1"/>
          <w:sz w:val="22"/>
          <w:vertAlign w:val="baseline"/>
        </w:rPr>
        <w:t> </w:t>
      </w:r>
      <w:r>
        <w:rPr>
          <w:i/>
          <w:color w:val="010202"/>
          <w:sz w:val="22"/>
          <w:vertAlign w:val="baseline"/>
        </w:rPr>
        <w:t>of</w:t>
      </w:r>
      <w:r>
        <w:rPr>
          <w:i/>
          <w:color w:val="010202"/>
          <w:spacing w:val="2"/>
          <w:sz w:val="22"/>
          <w:vertAlign w:val="baseline"/>
        </w:rPr>
        <w:t> </w:t>
      </w:r>
      <w:r>
        <w:rPr>
          <w:i/>
          <w:color w:val="010202"/>
          <w:sz w:val="22"/>
          <w:vertAlign w:val="baseline"/>
        </w:rPr>
        <w:t>HIV</w:t>
      </w:r>
      <w:r>
        <w:rPr>
          <w:i/>
          <w:color w:val="010202"/>
          <w:spacing w:val="1"/>
          <w:sz w:val="22"/>
          <w:vertAlign w:val="baseline"/>
        </w:rPr>
        <w:t> </w:t>
      </w:r>
      <w:r>
        <w:rPr>
          <w:i/>
          <w:color w:val="010202"/>
          <w:sz w:val="22"/>
          <w:vertAlign w:val="baseline"/>
        </w:rPr>
        <w:t>&amp;</w:t>
      </w:r>
      <w:r>
        <w:rPr>
          <w:i/>
          <w:color w:val="010202"/>
          <w:spacing w:val="-7"/>
          <w:sz w:val="22"/>
          <w:vertAlign w:val="baseline"/>
        </w:rPr>
        <w:t> </w:t>
      </w:r>
      <w:r>
        <w:rPr>
          <w:i/>
          <w:color w:val="010202"/>
          <w:sz w:val="22"/>
          <w:vertAlign w:val="baseline"/>
        </w:rPr>
        <w:t>other</w:t>
      </w:r>
      <w:r>
        <w:rPr>
          <w:i/>
          <w:color w:val="010202"/>
          <w:spacing w:val="-7"/>
          <w:sz w:val="22"/>
          <w:vertAlign w:val="baseline"/>
        </w:rPr>
        <w:t> </w:t>
      </w:r>
      <w:r>
        <w:rPr>
          <w:i/>
          <w:color w:val="010202"/>
          <w:sz w:val="22"/>
          <w:vertAlign w:val="baseline"/>
        </w:rPr>
        <w:t>infectious</w:t>
      </w:r>
      <w:r>
        <w:rPr>
          <w:i/>
          <w:color w:val="010202"/>
          <w:spacing w:val="-7"/>
          <w:sz w:val="22"/>
          <w:vertAlign w:val="baseline"/>
        </w:rPr>
        <w:t> </w:t>
      </w:r>
      <w:r>
        <w:rPr>
          <w:i/>
          <w:color w:val="010202"/>
          <w:sz w:val="22"/>
          <w:vertAlign w:val="baseline"/>
        </w:rPr>
        <w:t>diseases.</w:t>
      </w:r>
      <w:r>
        <w:rPr>
          <w:i/>
          <w:color w:val="010202"/>
          <w:spacing w:val="-7"/>
          <w:sz w:val="22"/>
          <w:vertAlign w:val="baseline"/>
        </w:rPr>
        <w:t> </w:t>
      </w:r>
      <w:hyperlink r:id="rId172">
        <w:r>
          <w:rPr>
            <w:color w:val="3953A4"/>
            <w:sz w:val="22"/>
            <w:u w:val="single" w:color="3953A4"/>
            <w:vertAlign w:val="baseline"/>
          </w:rPr>
          <w:t>https://www.hiv.gov/</w:t>
        </w:r>
      </w:hyperlink>
      <w:r>
        <w:rPr>
          <w:color w:val="3953A4"/>
          <w:spacing w:val="-52"/>
          <w:sz w:val="22"/>
          <w:vertAlign w:val="baseline"/>
        </w:rPr>
        <w:t> </w:t>
      </w:r>
      <w:hyperlink r:id="rId172">
        <w:r>
          <w:rPr>
            <w:color w:val="3953A4"/>
            <w:sz w:val="22"/>
            <w:u w:val="single" w:color="3953A4"/>
            <w:vertAlign w:val="baseline"/>
          </w:rPr>
          <w:t>federal-response/policies-issues/syringe-services-</w:t>
        </w:r>
      </w:hyperlink>
      <w:r>
        <w:rPr>
          <w:color w:val="3953A4"/>
          <w:spacing w:val="-52"/>
          <w:sz w:val="22"/>
          <w:vertAlign w:val="baseline"/>
        </w:rPr>
        <w:t> </w:t>
      </w:r>
      <w:hyperlink r:id="rId172">
        <w:r>
          <w:rPr>
            <w:color w:val="3953A4"/>
            <w:sz w:val="22"/>
            <w:u w:val="single" w:color="3953A4"/>
            <w:vertAlign w:val="baseline"/>
          </w:rPr>
          <w:t>programs</w:t>
        </w:r>
      </w:hyperlink>
    </w:p>
    <w:p>
      <w:pPr>
        <w:tabs>
          <w:tab w:pos="519" w:val="left" w:leader="none"/>
        </w:tabs>
        <w:spacing w:line="228" w:lineRule="auto" w:before="89"/>
        <w:ind w:left="520" w:right="381" w:hanging="360"/>
        <w:jc w:val="left"/>
        <w:rPr>
          <w:sz w:val="22"/>
        </w:rPr>
      </w:pPr>
      <w:r>
        <w:rPr>
          <w:color w:val="010202"/>
          <w:sz w:val="22"/>
          <w:vertAlign w:val="superscript"/>
        </w:rPr>
        <w:t>24</w:t>
      </w:r>
      <w:r>
        <w:rPr>
          <w:color w:val="010202"/>
          <w:sz w:val="22"/>
          <w:vertAlign w:val="baseline"/>
        </w:rPr>
        <w:tab/>
      </w:r>
      <w:hyperlink r:id="rId37">
        <w:r>
          <w:rPr>
            <w:color w:val="231F20"/>
            <w:sz w:val="22"/>
            <w:vertAlign w:val="baseline"/>
          </w:rPr>
          <w:t>HIV.gov</w:t>
        </w:r>
      </w:hyperlink>
      <w:r>
        <w:rPr>
          <w:color w:val="231F20"/>
          <w:sz w:val="22"/>
          <w:vertAlign w:val="baseline"/>
        </w:rPr>
        <w:t>.</w:t>
      </w:r>
      <w:r>
        <w:rPr>
          <w:color w:val="231F20"/>
          <w:spacing w:val="-6"/>
          <w:sz w:val="22"/>
          <w:vertAlign w:val="baseline"/>
        </w:rPr>
        <w:t> </w:t>
      </w:r>
      <w:r>
        <w:rPr>
          <w:color w:val="231F20"/>
          <w:sz w:val="22"/>
          <w:vertAlign w:val="baseline"/>
        </w:rPr>
        <w:t>(2020,</w:t>
      </w:r>
      <w:r>
        <w:rPr>
          <w:color w:val="231F20"/>
          <w:spacing w:val="-6"/>
          <w:sz w:val="22"/>
          <w:vertAlign w:val="baseline"/>
        </w:rPr>
        <w:t> </w:t>
      </w:r>
      <w:r>
        <w:rPr>
          <w:color w:val="231F20"/>
          <w:sz w:val="22"/>
          <w:vertAlign w:val="baseline"/>
        </w:rPr>
        <w:t>July</w:t>
      </w:r>
      <w:r>
        <w:rPr>
          <w:color w:val="231F20"/>
          <w:spacing w:val="-7"/>
          <w:sz w:val="22"/>
          <w:vertAlign w:val="baseline"/>
        </w:rPr>
        <w:t> </w:t>
      </w:r>
      <w:r>
        <w:rPr>
          <w:color w:val="231F20"/>
          <w:sz w:val="22"/>
          <w:vertAlign w:val="baseline"/>
        </w:rPr>
        <w:t>2).</w:t>
      </w:r>
      <w:r>
        <w:rPr>
          <w:color w:val="231F20"/>
          <w:spacing w:val="-6"/>
          <w:sz w:val="22"/>
          <w:vertAlign w:val="baseline"/>
        </w:rPr>
        <w:t> </w:t>
      </w:r>
      <w:r>
        <w:rPr>
          <w:i/>
          <w:color w:val="231F20"/>
          <w:sz w:val="22"/>
          <w:vertAlign w:val="baseline"/>
        </w:rPr>
        <w:t>What</w:t>
      </w:r>
      <w:r>
        <w:rPr>
          <w:i/>
          <w:color w:val="231F20"/>
          <w:spacing w:val="-6"/>
          <w:sz w:val="22"/>
          <w:vertAlign w:val="baseline"/>
        </w:rPr>
        <w:t> </w:t>
      </w:r>
      <w:r>
        <w:rPr>
          <w:i/>
          <w:color w:val="231F20"/>
          <w:sz w:val="22"/>
          <w:vertAlign w:val="baseline"/>
        </w:rPr>
        <w:t>is</w:t>
      </w:r>
      <w:r>
        <w:rPr>
          <w:i/>
          <w:color w:val="231F20"/>
          <w:spacing w:val="-6"/>
          <w:sz w:val="22"/>
          <w:vertAlign w:val="baseline"/>
        </w:rPr>
        <w:t> </w:t>
      </w:r>
      <w:r>
        <w:rPr>
          <w:i/>
          <w:color w:val="231F20"/>
          <w:sz w:val="22"/>
          <w:vertAlign w:val="baseline"/>
        </w:rPr>
        <w:t>Ending</w:t>
      </w:r>
      <w:r>
        <w:rPr>
          <w:i/>
          <w:color w:val="231F20"/>
          <w:spacing w:val="-6"/>
          <w:sz w:val="22"/>
          <w:vertAlign w:val="baseline"/>
        </w:rPr>
        <w:t> </w:t>
      </w:r>
      <w:r>
        <w:rPr>
          <w:i/>
          <w:color w:val="231F20"/>
          <w:sz w:val="22"/>
          <w:vertAlign w:val="baseline"/>
        </w:rPr>
        <w:t>the</w:t>
      </w:r>
      <w:r>
        <w:rPr>
          <w:i/>
          <w:color w:val="231F20"/>
          <w:spacing w:val="-6"/>
          <w:sz w:val="22"/>
          <w:vertAlign w:val="baseline"/>
        </w:rPr>
        <w:t> </w:t>
      </w:r>
      <w:r>
        <w:rPr>
          <w:i/>
          <w:color w:val="231F20"/>
          <w:sz w:val="22"/>
          <w:vertAlign w:val="baseline"/>
        </w:rPr>
        <w:t>HIV</w:t>
      </w:r>
      <w:r>
        <w:rPr>
          <w:i/>
          <w:color w:val="231F20"/>
          <w:spacing w:val="-52"/>
          <w:sz w:val="22"/>
          <w:vertAlign w:val="baseline"/>
        </w:rPr>
        <w:t> </w:t>
      </w:r>
      <w:r>
        <w:rPr>
          <w:i/>
          <w:color w:val="231F20"/>
          <w:sz w:val="22"/>
          <w:vertAlign w:val="baseline"/>
        </w:rPr>
        <w:t>Epidemic:</w:t>
      </w:r>
      <w:r>
        <w:rPr>
          <w:i/>
          <w:color w:val="231F20"/>
          <w:spacing w:val="-13"/>
          <w:sz w:val="22"/>
          <w:vertAlign w:val="baseline"/>
        </w:rPr>
        <w:t> </w:t>
      </w:r>
      <w:r>
        <w:rPr>
          <w:i/>
          <w:color w:val="231F20"/>
          <w:sz w:val="22"/>
          <w:vertAlign w:val="baseline"/>
        </w:rPr>
        <w:t>A</w:t>
      </w:r>
      <w:r>
        <w:rPr>
          <w:i/>
          <w:color w:val="231F20"/>
          <w:spacing w:val="-8"/>
          <w:sz w:val="22"/>
          <w:vertAlign w:val="baseline"/>
        </w:rPr>
        <w:t> </w:t>
      </w:r>
      <w:r>
        <w:rPr>
          <w:i/>
          <w:color w:val="231F20"/>
          <w:sz w:val="22"/>
          <w:vertAlign w:val="baseline"/>
        </w:rPr>
        <w:t>plan</w:t>
      </w:r>
      <w:r>
        <w:rPr>
          <w:i/>
          <w:color w:val="231F20"/>
          <w:spacing w:val="-10"/>
          <w:sz w:val="22"/>
          <w:vertAlign w:val="baseline"/>
        </w:rPr>
        <w:t> </w:t>
      </w:r>
      <w:r>
        <w:rPr>
          <w:i/>
          <w:color w:val="231F20"/>
          <w:sz w:val="22"/>
          <w:vertAlign w:val="baseline"/>
        </w:rPr>
        <w:t>for</w:t>
      </w:r>
      <w:r>
        <w:rPr>
          <w:i/>
          <w:color w:val="231F20"/>
          <w:spacing w:val="-11"/>
          <w:sz w:val="22"/>
          <w:vertAlign w:val="baseline"/>
        </w:rPr>
        <w:t> </w:t>
      </w:r>
      <w:r>
        <w:rPr>
          <w:i/>
          <w:color w:val="231F20"/>
          <w:sz w:val="22"/>
          <w:vertAlign w:val="baseline"/>
        </w:rPr>
        <w:t>America?</w:t>
      </w:r>
      <w:r>
        <w:rPr>
          <w:color w:val="231F20"/>
          <w:sz w:val="22"/>
          <w:vertAlign w:val="baseline"/>
        </w:rPr>
        <w:t>.</w:t>
      </w:r>
      <w:r>
        <w:rPr>
          <w:color w:val="231F20"/>
          <w:spacing w:val="-9"/>
          <w:sz w:val="22"/>
          <w:vertAlign w:val="baseline"/>
        </w:rPr>
        <w:t> </w:t>
      </w:r>
      <w:hyperlink r:id="rId43">
        <w:r>
          <w:rPr>
            <w:color w:val="3953A4"/>
            <w:sz w:val="22"/>
            <w:u w:val="single" w:color="3953A4"/>
            <w:vertAlign w:val="baseline"/>
          </w:rPr>
          <w:t>https://www.hiv.</w:t>
        </w:r>
      </w:hyperlink>
      <w:r>
        <w:rPr>
          <w:color w:val="3953A4"/>
          <w:spacing w:val="-52"/>
          <w:sz w:val="22"/>
          <w:vertAlign w:val="baseline"/>
        </w:rPr>
        <w:t> </w:t>
      </w:r>
      <w:hyperlink r:id="rId43">
        <w:r>
          <w:rPr>
            <w:color w:val="3953A4"/>
            <w:sz w:val="22"/>
            <w:u w:val="single" w:color="3953A4"/>
            <w:vertAlign w:val="baseline"/>
          </w:rPr>
          <w:t>gov/federal-response/ending-the-hiv-epidemic/</w:t>
        </w:r>
      </w:hyperlink>
      <w:r>
        <w:rPr>
          <w:color w:val="3953A4"/>
          <w:spacing w:val="1"/>
          <w:sz w:val="22"/>
          <w:vertAlign w:val="baseline"/>
        </w:rPr>
        <w:t> </w:t>
      </w:r>
      <w:hyperlink r:id="rId43">
        <w:r>
          <w:rPr>
            <w:color w:val="3953A4"/>
            <w:sz w:val="22"/>
            <w:u w:val="single" w:color="3953A4"/>
            <w:vertAlign w:val="baseline"/>
          </w:rPr>
          <w:t>overview</w:t>
        </w:r>
      </w:hyperlink>
    </w:p>
    <w:p>
      <w:pPr>
        <w:pStyle w:val="BodyText"/>
        <w:tabs>
          <w:tab w:pos="519" w:val="left" w:leader="none"/>
        </w:tabs>
        <w:spacing w:line="246" w:lineRule="exact" w:before="78"/>
        <w:ind w:left="160"/>
      </w:pPr>
      <w:r>
        <w:rPr>
          <w:color w:val="010202"/>
          <w:vertAlign w:val="superscript"/>
        </w:rPr>
        <w:t>25</w:t>
      </w:r>
      <w:r>
        <w:rPr>
          <w:color w:val="010202"/>
          <w:vertAlign w:val="baseline"/>
        </w:rPr>
        <w:tab/>
        <w:t>O</w:t>
      </w:r>
      <w:r>
        <w:rPr>
          <w:color w:val="231F20"/>
          <w:vertAlign w:val="baseline"/>
        </w:rPr>
        <w:t>jikutu,</w:t>
      </w:r>
      <w:r>
        <w:rPr>
          <w:color w:val="231F20"/>
          <w:spacing w:val="-3"/>
          <w:vertAlign w:val="baseline"/>
        </w:rPr>
        <w:t> </w:t>
      </w:r>
      <w:r>
        <w:rPr>
          <w:color w:val="231F20"/>
          <w:vertAlign w:val="baseline"/>
        </w:rPr>
        <w:t>B.,</w:t>
      </w:r>
      <w:r>
        <w:rPr>
          <w:color w:val="231F20"/>
          <w:spacing w:val="-3"/>
          <w:vertAlign w:val="baseline"/>
        </w:rPr>
        <w:t> </w:t>
      </w:r>
      <w:r>
        <w:rPr>
          <w:color w:val="231F20"/>
          <w:vertAlign w:val="baseline"/>
        </w:rPr>
        <w:t>Holman,</w:t>
      </w:r>
      <w:r>
        <w:rPr>
          <w:color w:val="231F20"/>
          <w:spacing w:val="-4"/>
          <w:vertAlign w:val="baseline"/>
        </w:rPr>
        <w:t> </w:t>
      </w:r>
      <w:r>
        <w:rPr>
          <w:color w:val="231F20"/>
          <w:vertAlign w:val="baseline"/>
        </w:rPr>
        <w:t>J.,</w:t>
      </w:r>
      <w:r>
        <w:rPr>
          <w:color w:val="231F20"/>
          <w:spacing w:val="-3"/>
          <w:vertAlign w:val="baseline"/>
        </w:rPr>
        <w:t> </w:t>
      </w:r>
      <w:r>
        <w:rPr>
          <w:color w:val="231F20"/>
          <w:vertAlign w:val="baseline"/>
        </w:rPr>
        <w:t>Kunches,</w:t>
      </w:r>
      <w:r>
        <w:rPr>
          <w:color w:val="231F20"/>
          <w:spacing w:val="-4"/>
          <w:vertAlign w:val="baseline"/>
        </w:rPr>
        <w:t> </w:t>
      </w:r>
      <w:r>
        <w:rPr>
          <w:color w:val="231F20"/>
          <w:vertAlign w:val="baseline"/>
        </w:rPr>
        <w:t>L.,</w:t>
      </w:r>
      <w:r>
        <w:rPr>
          <w:color w:val="231F20"/>
          <w:spacing w:val="-3"/>
          <w:vertAlign w:val="baseline"/>
        </w:rPr>
        <w:t> </w:t>
      </w:r>
      <w:r>
        <w:rPr>
          <w:color w:val="231F20"/>
          <w:vertAlign w:val="baseline"/>
        </w:rPr>
        <w:t>Landers,</w:t>
      </w:r>
      <w:r>
        <w:rPr>
          <w:color w:val="231F20"/>
          <w:spacing w:val="-2"/>
          <w:vertAlign w:val="baseline"/>
        </w:rPr>
        <w:t> </w:t>
      </w:r>
      <w:r>
        <w:rPr>
          <w:color w:val="231F20"/>
          <w:vertAlign w:val="baseline"/>
        </w:rPr>
        <w:t>S.,</w:t>
      </w:r>
    </w:p>
    <w:p>
      <w:pPr>
        <w:pStyle w:val="BodyText"/>
        <w:spacing w:line="240" w:lineRule="exact"/>
        <w:ind w:left="520"/>
      </w:pPr>
      <w:r>
        <w:rPr>
          <w:color w:val="231F20"/>
        </w:rPr>
        <w:t>Perlmutter,</w:t>
      </w:r>
      <w:r>
        <w:rPr>
          <w:color w:val="231F20"/>
          <w:spacing w:val="-9"/>
        </w:rPr>
        <w:t> </w:t>
      </w:r>
      <w:r>
        <w:rPr>
          <w:color w:val="231F20"/>
        </w:rPr>
        <w:t>D.,</w:t>
      </w:r>
      <w:r>
        <w:rPr>
          <w:color w:val="231F20"/>
          <w:spacing w:val="-13"/>
        </w:rPr>
        <w:t> </w:t>
      </w:r>
      <w:r>
        <w:rPr>
          <w:color w:val="231F20"/>
        </w:rPr>
        <w:t>Ward,</w:t>
      </w:r>
      <w:r>
        <w:rPr>
          <w:color w:val="231F20"/>
          <w:spacing w:val="-8"/>
        </w:rPr>
        <w:t> </w:t>
      </w:r>
      <w:r>
        <w:rPr>
          <w:color w:val="231F20"/>
        </w:rPr>
        <w:t>M.,</w:t>
      </w:r>
      <w:r>
        <w:rPr>
          <w:color w:val="231F20"/>
          <w:spacing w:val="-9"/>
        </w:rPr>
        <w:t> </w:t>
      </w:r>
      <w:r>
        <w:rPr>
          <w:color w:val="231F20"/>
        </w:rPr>
        <w:t>Fant,</w:t>
      </w:r>
      <w:r>
        <w:rPr>
          <w:color w:val="231F20"/>
          <w:spacing w:val="-10"/>
        </w:rPr>
        <w:t> </w:t>
      </w:r>
      <w:r>
        <w:rPr>
          <w:color w:val="231F20"/>
        </w:rPr>
        <w:t>G.,</w:t>
      </w:r>
      <w:r>
        <w:rPr>
          <w:color w:val="231F20"/>
          <w:spacing w:val="-9"/>
        </w:rPr>
        <w:t> </w:t>
      </w:r>
      <w:r>
        <w:rPr>
          <w:color w:val="231F20"/>
        </w:rPr>
        <w:t>&amp;</w:t>
      </w:r>
      <w:r>
        <w:rPr>
          <w:color w:val="231F20"/>
          <w:spacing w:val="-8"/>
        </w:rPr>
        <w:t> </w:t>
      </w:r>
      <w:r>
        <w:rPr>
          <w:color w:val="231F20"/>
        </w:rPr>
        <w:t>Hirschhorn,</w:t>
      </w:r>
    </w:p>
    <w:p>
      <w:pPr>
        <w:pStyle w:val="BodyText"/>
        <w:spacing w:line="228" w:lineRule="auto" w:before="4"/>
        <w:ind w:left="520" w:right="35"/>
      </w:pPr>
      <w:r>
        <w:rPr>
          <w:color w:val="231F20"/>
        </w:rPr>
        <w:t>L. (2014). Interdisciplinary HIV care in a changing</w:t>
      </w:r>
      <w:r>
        <w:rPr>
          <w:color w:val="231F20"/>
          <w:spacing w:val="1"/>
        </w:rPr>
        <w:t> </w:t>
      </w:r>
      <w:r>
        <w:rPr>
          <w:color w:val="231F20"/>
        </w:rPr>
        <w:t>healthcare environment in the USA. </w:t>
      </w:r>
      <w:r>
        <w:rPr>
          <w:i/>
          <w:color w:val="231F20"/>
        </w:rPr>
        <w:t>AIDS Care,</w:t>
      </w:r>
      <w:r>
        <w:rPr>
          <w:i/>
          <w:color w:val="231F20"/>
          <w:spacing w:val="1"/>
        </w:rPr>
        <w:t> </w:t>
      </w:r>
      <w:r>
        <w:rPr>
          <w:i/>
          <w:color w:val="231F20"/>
        </w:rPr>
        <w:t>26</w:t>
      </w:r>
      <w:r>
        <w:rPr>
          <w:color w:val="231F20"/>
        </w:rPr>
        <w:t>(6),</w:t>
      </w:r>
      <w:r>
        <w:rPr>
          <w:color w:val="231F20"/>
          <w:spacing w:val="-10"/>
        </w:rPr>
        <w:t> </w:t>
      </w:r>
      <w:r>
        <w:rPr>
          <w:color w:val="231F20"/>
        </w:rPr>
        <w:t>731-735.</w:t>
      </w:r>
      <w:r>
        <w:rPr>
          <w:color w:val="3953A4"/>
          <w:spacing w:val="-9"/>
        </w:rPr>
        <w:t> </w:t>
      </w:r>
      <w:hyperlink r:id="rId122">
        <w:r>
          <w:rPr>
            <w:color w:val="3953A4"/>
            <w:u w:val="single" w:color="3953A4"/>
          </w:rPr>
          <w:t>https://doi.org/10.1080/09540121.20</w:t>
        </w:r>
      </w:hyperlink>
      <w:r>
        <w:rPr>
          <w:color w:val="3953A4"/>
          <w:spacing w:val="-52"/>
        </w:rPr>
        <w:t> </w:t>
      </w:r>
      <w:hyperlink r:id="rId122">
        <w:r>
          <w:rPr>
            <w:color w:val="3953A4"/>
            <w:u w:val="single" w:color="3953A4"/>
          </w:rPr>
          <w:t>13.855299</w:t>
        </w:r>
      </w:hyperlink>
    </w:p>
    <w:p>
      <w:pPr>
        <w:tabs>
          <w:tab w:pos="519" w:val="left" w:leader="none"/>
        </w:tabs>
        <w:spacing w:line="228" w:lineRule="auto" w:before="89"/>
        <w:ind w:left="520" w:right="243" w:hanging="360"/>
        <w:jc w:val="left"/>
        <w:rPr>
          <w:sz w:val="22"/>
        </w:rPr>
      </w:pPr>
      <w:r>
        <w:rPr>
          <w:color w:val="010202"/>
          <w:sz w:val="22"/>
          <w:vertAlign w:val="superscript"/>
        </w:rPr>
        <w:t>26</w:t>
      </w:r>
      <w:r>
        <w:rPr>
          <w:color w:val="010202"/>
          <w:sz w:val="22"/>
          <w:vertAlign w:val="baseline"/>
        </w:rPr>
        <w:tab/>
      </w:r>
      <w:r>
        <w:rPr>
          <w:color w:val="231F20"/>
          <w:sz w:val="22"/>
          <w:vertAlign w:val="baseline"/>
        </w:rPr>
        <w:t>Centers for Disease Control and Prevention (2019,</w:t>
      </w:r>
      <w:r>
        <w:rPr>
          <w:color w:val="231F20"/>
          <w:spacing w:val="-53"/>
          <w:sz w:val="22"/>
          <w:vertAlign w:val="baseline"/>
        </w:rPr>
        <w:t> </w:t>
      </w:r>
      <w:r>
        <w:rPr>
          <w:color w:val="231F20"/>
          <w:sz w:val="22"/>
          <w:vertAlign w:val="baseline"/>
        </w:rPr>
        <w:t>May 23). </w:t>
      </w:r>
      <w:r>
        <w:rPr>
          <w:i/>
          <w:color w:val="231F20"/>
          <w:sz w:val="22"/>
          <w:vertAlign w:val="baseline"/>
        </w:rPr>
        <w:t>Syringe services programs (SSPs) fact</w:t>
      </w:r>
      <w:r>
        <w:rPr>
          <w:i/>
          <w:color w:val="231F20"/>
          <w:spacing w:val="1"/>
          <w:sz w:val="22"/>
          <w:vertAlign w:val="baseline"/>
        </w:rPr>
        <w:t> </w:t>
      </w:r>
      <w:r>
        <w:rPr>
          <w:i/>
          <w:color w:val="231F20"/>
          <w:sz w:val="22"/>
          <w:vertAlign w:val="baseline"/>
        </w:rPr>
        <w:t>sheet</w:t>
      </w:r>
      <w:r>
        <w:rPr>
          <w:color w:val="231F20"/>
          <w:sz w:val="22"/>
          <w:vertAlign w:val="baseline"/>
        </w:rPr>
        <w:t>. </w:t>
      </w:r>
      <w:hyperlink r:id="rId173">
        <w:r>
          <w:rPr>
            <w:color w:val="3953A4"/>
            <w:sz w:val="22"/>
            <w:u w:val="single" w:color="3953A4"/>
            <w:vertAlign w:val="baseline"/>
          </w:rPr>
          <w:t>https://www.cdc.gov/ssp/syringe-services-</w:t>
        </w:r>
      </w:hyperlink>
      <w:r>
        <w:rPr>
          <w:color w:val="3953A4"/>
          <w:spacing w:val="1"/>
          <w:sz w:val="22"/>
          <w:vertAlign w:val="baseline"/>
        </w:rPr>
        <w:t> </w:t>
      </w:r>
      <w:hyperlink r:id="rId173">
        <w:r>
          <w:rPr>
            <w:color w:val="3953A4"/>
            <w:sz w:val="22"/>
            <w:u w:val="single" w:color="3953A4"/>
            <w:vertAlign w:val="baseline"/>
          </w:rPr>
          <w:t>programs-factsheet.html</w:t>
        </w:r>
      </w:hyperlink>
    </w:p>
    <w:p>
      <w:pPr>
        <w:pStyle w:val="BodyText"/>
        <w:tabs>
          <w:tab w:pos="519" w:val="left" w:leader="none"/>
        </w:tabs>
        <w:spacing w:line="228" w:lineRule="auto" w:before="101"/>
        <w:ind w:left="520" w:right="1250" w:hanging="360"/>
      </w:pPr>
      <w:r>
        <w:rPr/>
        <w:br w:type="column"/>
      </w:r>
      <w:r>
        <w:rPr>
          <w:color w:val="010202"/>
          <w:vertAlign w:val="superscript"/>
        </w:rPr>
        <w:t>27</w:t>
      </w:r>
      <w:r>
        <w:rPr>
          <w:color w:val="010202"/>
          <w:vertAlign w:val="baseline"/>
        </w:rPr>
        <w:tab/>
      </w:r>
      <w:r>
        <w:rPr>
          <w:color w:val="010202"/>
          <w:w w:val="95"/>
          <w:vertAlign w:val="baseline"/>
        </w:rPr>
        <w:t>Cla</w:t>
      </w:r>
      <w:r>
        <w:rPr>
          <w:color w:val="231F20"/>
          <w:w w:val="95"/>
          <w:vertAlign w:val="baseline"/>
        </w:rPr>
        <w:t>rke,</w:t>
      </w:r>
      <w:r>
        <w:rPr>
          <w:color w:val="231F20"/>
          <w:spacing w:val="17"/>
          <w:w w:val="95"/>
          <w:vertAlign w:val="baseline"/>
        </w:rPr>
        <w:t> </w:t>
      </w:r>
      <w:r>
        <w:rPr>
          <w:color w:val="231F20"/>
          <w:w w:val="95"/>
          <w:vertAlign w:val="baseline"/>
        </w:rPr>
        <w:t>K.,</w:t>
      </w:r>
      <w:r>
        <w:rPr>
          <w:color w:val="231F20"/>
          <w:spacing w:val="16"/>
          <w:w w:val="95"/>
          <w:vertAlign w:val="baseline"/>
        </w:rPr>
        <w:t> </w:t>
      </w:r>
      <w:r>
        <w:rPr>
          <w:color w:val="231F20"/>
          <w:w w:val="95"/>
          <w:vertAlign w:val="baseline"/>
        </w:rPr>
        <w:t>Harris,</w:t>
      </w:r>
      <w:r>
        <w:rPr>
          <w:color w:val="231F20"/>
          <w:spacing w:val="15"/>
          <w:w w:val="95"/>
          <w:vertAlign w:val="baseline"/>
        </w:rPr>
        <w:t> </w:t>
      </w:r>
      <w:r>
        <w:rPr>
          <w:color w:val="231F20"/>
          <w:w w:val="95"/>
          <w:vertAlign w:val="baseline"/>
        </w:rPr>
        <w:t>D.,</w:t>
      </w:r>
      <w:r>
        <w:rPr>
          <w:color w:val="231F20"/>
          <w:spacing w:val="16"/>
          <w:w w:val="95"/>
          <w:vertAlign w:val="baseline"/>
        </w:rPr>
        <w:t> </w:t>
      </w:r>
      <w:r>
        <w:rPr>
          <w:color w:val="231F20"/>
          <w:w w:val="95"/>
          <w:vertAlign w:val="baseline"/>
        </w:rPr>
        <w:t>Zweifler,</w:t>
      </w:r>
      <w:r>
        <w:rPr>
          <w:color w:val="231F20"/>
          <w:spacing w:val="17"/>
          <w:w w:val="95"/>
          <w:vertAlign w:val="baseline"/>
        </w:rPr>
        <w:t> </w:t>
      </w:r>
      <w:r>
        <w:rPr>
          <w:color w:val="231F20"/>
          <w:w w:val="95"/>
          <w:vertAlign w:val="baseline"/>
        </w:rPr>
        <w:t>J.</w:t>
      </w:r>
      <w:r>
        <w:rPr>
          <w:color w:val="231F20"/>
          <w:spacing w:val="1"/>
          <w:w w:val="95"/>
          <w:vertAlign w:val="baseline"/>
        </w:rPr>
        <w:t> </w:t>
      </w:r>
      <w:r>
        <w:rPr>
          <w:color w:val="231F20"/>
          <w:w w:val="95"/>
          <w:vertAlign w:val="baseline"/>
        </w:rPr>
        <w:t>A.,</w:t>
      </w:r>
      <w:r>
        <w:rPr>
          <w:color w:val="231F20"/>
          <w:spacing w:val="16"/>
          <w:w w:val="95"/>
          <w:vertAlign w:val="baseline"/>
        </w:rPr>
        <w:t> </w:t>
      </w:r>
      <w:r>
        <w:rPr>
          <w:color w:val="231F20"/>
          <w:w w:val="95"/>
          <w:vertAlign w:val="baseline"/>
        </w:rPr>
        <w:t>Lasher,</w:t>
      </w:r>
      <w:r>
        <w:rPr>
          <w:color w:val="231F20"/>
          <w:spacing w:val="1"/>
          <w:w w:val="95"/>
          <w:vertAlign w:val="baseline"/>
        </w:rPr>
        <w:t> </w:t>
      </w:r>
      <w:r>
        <w:rPr>
          <w:color w:val="231F20"/>
          <w:vertAlign w:val="baseline"/>
        </w:rPr>
        <w:t>M.,</w:t>
      </w:r>
      <w:r>
        <w:rPr>
          <w:color w:val="231F20"/>
          <w:spacing w:val="-4"/>
          <w:vertAlign w:val="baseline"/>
        </w:rPr>
        <w:t> </w:t>
      </w:r>
      <w:r>
        <w:rPr>
          <w:color w:val="231F20"/>
          <w:vertAlign w:val="baseline"/>
        </w:rPr>
        <w:t>Mortimer,</w:t>
      </w:r>
      <w:r>
        <w:rPr>
          <w:color w:val="231F20"/>
          <w:spacing w:val="-3"/>
          <w:vertAlign w:val="baseline"/>
        </w:rPr>
        <w:t> </w:t>
      </w:r>
      <w:r>
        <w:rPr>
          <w:color w:val="231F20"/>
          <w:vertAlign w:val="baseline"/>
        </w:rPr>
        <w:t>R.</w:t>
      </w:r>
      <w:r>
        <w:rPr>
          <w:color w:val="231F20"/>
          <w:spacing w:val="-4"/>
          <w:vertAlign w:val="baseline"/>
        </w:rPr>
        <w:t> </w:t>
      </w:r>
      <w:r>
        <w:rPr>
          <w:color w:val="231F20"/>
          <w:vertAlign w:val="baseline"/>
        </w:rPr>
        <w:t>B.,</w:t>
      </w:r>
      <w:r>
        <w:rPr>
          <w:color w:val="231F20"/>
          <w:spacing w:val="-3"/>
          <w:vertAlign w:val="baseline"/>
        </w:rPr>
        <w:t> </w:t>
      </w:r>
      <w:r>
        <w:rPr>
          <w:color w:val="231F20"/>
          <w:vertAlign w:val="baseline"/>
        </w:rPr>
        <w:t>&amp;</w:t>
      </w:r>
      <w:r>
        <w:rPr>
          <w:color w:val="231F20"/>
          <w:spacing w:val="-3"/>
          <w:vertAlign w:val="baseline"/>
        </w:rPr>
        <w:t> </w:t>
      </w:r>
      <w:r>
        <w:rPr>
          <w:color w:val="231F20"/>
          <w:vertAlign w:val="baseline"/>
        </w:rPr>
        <w:t>Hughes,</w:t>
      </w:r>
      <w:r>
        <w:rPr>
          <w:color w:val="231F20"/>
          <w:spacing w:val="-4"/>
          <w:vertAlign w:val="baseline"/>
        </w:rPr>
        <w:t> </w:t>
      </w:r>
      <w:r>
        <w:rPr>
          <w:color w:val="231F20"/>
          <w:vertAlign w:val="baseline"/>
        </w:rPr>
        <w:t>S.</w:t>
      </w:r>
      <w:r>
        <w:rPr>
          <w:color w:val="231F20"/>
          <w:spacing w:val="-4"/>
          <w:vertAlign w:val="baseline"/>
        </w:rPr>
        <w:t> </w:t>
      </w:r>
      <w:r>
        <w:rPr>
          <w:color w:val="231F20"/>
          <w:vertAlign w:val="baseline"/>
        </w:rPr>
        <w:t>(2016).</w:t>
      </w:r>
      <w:r>
        <w:rPr>
          <w:color w:val="231F20"/>
          <w:spacing w:val="-6"/>
          <w:vertAlign w:val="baseline"/>
        </w:rPr>
        <w:t> </w:t>
      </w:r>
      <w:r>
        <w:rPr>
          <w:color w:val="231F20"/>
          <w:vertAlign w:val="baseline"/>
        </w:rPr>
        <w:t>The</w:t>
      </w:r>
      <w:r>
        <w:rPr>
          <w:color w:val="231F20"/>
          <w:spacing w:val="-52"/>
          <w:vertAlign w:val="baseline"/>
        </w:rPr>
        <w:t> </w:t>
      </w:r>
      <w:r>
        <w:rPr>
          <w:color w:val="231F20"/>
          <w:vertAlign w:val="baseline"/>
        </w:rPr>
        <w:t>significance</w:t>
      </w:r>
      <w:r>
        <w:rPr>
          <w:color w:val="231F20"/>
          <w:spacing w:val="-4"/>
          <w:vertAlign w:val="baseline"/>
        </w:rPr>
        <w:t> </w:t>
      </w:r>
      <w:r>
        <w:rPr>
          <w:color w:val="231F20"/>
          <w:vertAlign w:val="baseline"/>
        </w:rPr>
        <w:t>of</w:t>
      </w:r>
      <w:r>
        <w:rPr>
          <w:color w:val="231F20"/>
          <w:spacing w:val="-3"/>
          <w:vertAlign w:val="baseline"/>
        </w:rPr>
        <w:t> </w:t>
      </w:r>
      <w:r>
        <w:rPr>
          <w:color w:val="231F20"/>
          <w:vertAlign w:val="baseline"/>
        </w:rPr>
        <w:t>harm</w:t>
      </w:r>
      <w:r>
        <w:rPr>
          <w:color w:val="231F20"/>
          <w:spacing w:val="-3"/>
          <w:vertAlign w:val="baseline"/>
        </w:rPr>
        <w:t> </w:t>
      </w:r>
      <w:r>
        <w:rPr>
          <w:color w:val="231F20"/>
          <w:vertAlign w:val="baseline"/>
        </w:rPr>
        <w:t>reduction</w:t>
      </w:r>
      <w:r>
        <w:rPr>
          <w:color w:val="231F20"/>
          <w:spacing w:val="-3"/>
          <w:vertAlign w:val="baseline"/>
        </w:rPr>
        <w:t> </w:t>
      </w:r>
      <w:r>
        <w:rPr>
          <w:color w:val="231F20"/>
          <w:vertAlign w:val="baseline"/>
        </w:rPr>
        <w:t>as</w:t>
      </w:r>
      <w:r>
        <w:rPr>
          <w:color w:val="231F20"/>
          <w:spacing w:val="-3"/>
          <w:vertAlign w:val="baseline"/>
        </w:rPr>
        <w:t> </w:t>
      </w:r>
      <w:r>
        <w:rPr>
          <w:color w:val="231F20"/>
          <w:vertAlign w:val="baseline"/>
        </w:rPr>
        <w:t>a</w:t>
      </w:r>
      <w:r>
        <w:rPr>
          <w:color w:val="231F20"/>
          <w:spacing w:val="-3"/>
          <w:vertAlign w:val="baseline"/>
        </w:rPr>
        <w:t> </w:t>
      </w:r>
      <w:r>
        <w:rPr>
          <w:color w:val="231F20"/>
          <w:vertAlign w:val="baseline"/>
        </w:rPr>
        <w:t>social</w:t>
      </w:r>
      <w:r>
        <w:rPr>
          <w:color w:val="231F20"/>
          <w:spacing w:val="-3"/>
          <w:vertAlign w:val="baseline"/>
        </w:rPr>
        <w:t> </w:t>
      </w:r>
      <w:r>
        <w:rPr>
          <w:color w:val="231F20"/>
          <w:vertAlign w:val="baseline"/>
        </w:rPr>
        <w:t>and</w:t>
      </w:r>
    </w:p>
    <w:p>
      <w:pPr>
        <w:pStyle w:val="BodyText"/>
        <w:spacing w:line="228" w:lineRule="auto"/>
        <w:ind w:left="520" w:right="736"/>
      </w:pPr>
      <w:r>
        <w:rPr>
          <w:color w:val="231F20"/>
        </w:rPr>
        <w:t>health care intervention for injecting drug users: An</w:t>
      </w:r>
      <w:r>
        <w:rPr>
          <w:color w:val="231F20"/>
          <w:spacing w:val="1"/>
        </w:rPr>
        <w:t> </w:t>
      </w:r>
      <w:r>
        <w:rPr>
          <w:color w:val="231F20"/>
        </w:rPr>
        <w:t>exploratory study of a needle exchange program in</w:t>
      </w:r>
      <w:r>
        <w:rPr>
          <w:color w:val="231F20"/>
          <w:spacing w:val="1"/>
        </w:rPr>
        <w:t> </w:t>
      </w:r>
      <w:r>
        <w:rPr>
          <w:color w:val="231F20"/>
        </w:rPr>
        <w:t>Fresno, California. </w:t>
      </w:r>
      <w:r>
        <w:rPr>
          <w:i/>
          <w:color w:val="231F20"/>
        </w:rPr>
        <w:t>Social Work In Public Health,</w:t>
      </w:r>
      <w:r>
        <w:rPr>
          <w:i/>
          <w:color w:val="231F20"/>
          <w:spacing w:val="1"/>
        </w:rPr>
        <w:t> </w:t>
      </w:r>
      <w:r>
        <w:rPr>
          <w:i/>
          <w:color w:val="231F20"/>
        </w:rPr>
        <w:t>31</w:t>
      </w:r>
      <w:r>
        <w:rPr>
          <w:color w:val="231F20"/>
        </w:rPr>
        <w:t>(5),</w:t>
      </w:r>
      <w:r>
        <w:rPr>
          <w:color w:val="231F20"/>
          <w:spacing w:val="-10"/>
        </w:rPr>
        <w:t> </w:t>
      </w:r>
      <w:r>
        <w:rPr>
          <w:color w:val="231F20"/>
        </w:rPr>
        <w:t>398-407.</w:t>
      </w:r>
      <w:r>
        <w:rPr>
          <w:color w:val="231F20"/>
          <w:spacing w:val="-9"/>
        </w:rPr>
        <w:t> </w:t>
      </w:r>
      <w:hyperlink r:id="rId174">
        <w:r>
          <w:rPr>
            <w:color w:val="3953A4"/>
            <w:u w:val="single" w:color="3953A4"/>
          </w:rPr>
          <w:t>https://doi.org/10.1080/19371918.20</w:t>
        </w:r>
      </w:hyperlink>
    </w:p>
    <w:p>
      <w:pPr>
        <w:pStyle w:val="BodyText"/>
        <w:spacing w:line="241" w:lineRule="exact"/>
        <w:ind w:left="520"/>
      </w:pPr>
      <w:hyperlink r:id="rId174">
        <w:r>
          <w:rPr>
            <w:color w:val="3953A4"/>
            <w:u w:val="single" w:color="3953A4"/>
          </w:rPr>
          <w:t>15.1137522</w:t>
        </w:r>
      </w:hyperlink>
    </w:p>
    <w:p>
      <w:pPr>
        <w:pStyle w:val="BodyText"/>
        <w:tabs>
          <w:tab w:pos="519" w:val="left" w:leader="none"/>
        </w:tabs>
        <w:spacing w:line="228" w:lineRule="auto" w:before="86"/>
        <w:ind w:left="520" w:right="718" w:hanging="360"/>
      </w:pPr>
      <w:r>
        <w:rPr>
          <w:color w:val="010202"/>
          <w:vertAlign w:val="superscript"/>
        </w:rPr>
        <w:t>28</w:t>
      </w:r>
      <w:r>
        <w:rPr>
          <w:color w:val="010202"/>
          <w:vertAlign w:val="baseline"/>
        </w:rPr>
        <w:tab/>
      </w:r>
      <w:r>
        <w:rPr>
          <w:color w:val="231F20"/>
          <w:vertAlign w:val="baseline"/>
        </w:rPr>
        <w:t>Miller, C. L., Tyndall, M., Spittal, P., Li, K., Palepu,</w:t>
      </w:r>
      <w:r>
        <w:rPr>
          <w:color w:val="231F20"/>
          <w:spacing w:val="1"/>
          <w:vertAlign w:val="baseline"/>
        </w:rPr>
        <w:t> </w:t>
      </w:r>
      <w:r>
        <w:rPr>
          <w:color w:val="231F20"/>
          <w:vertAlign w:val="baseline"/>
        </w:rPr>
        <w:t>A.,</w:t>
      </w:r>
      <w:r>
        <w:rPr>
          <w:color w:val="231F20"/>
          <w:spacing w:val="-7"/>
          <w:vertAlign w:val="baseline"/>
        </w:rPr>
        <w:t> </w:t>
      </w:r>
      <w:r>
        <w:rPr>
          <w:color w:val="231F20"/>
          <w:vertAlign w:val="baseline"/>
        </w:rPr>
        <w:t>&amp;</w:t>
      </w:r>
      <w:r>
        <w:rPr>
          <w:color w:val="231F20"/>
          <w:spacing w:val="-6"/>
          <w:vertAlign w:val="baseline"/>
        </w:rPr>
        <w:t> </w:t>
      </w:r>
      <w:r>
        <w:rPr>
          <w:color w:val="231F20"/>
          <w:vertAlign w:val="baseline"/>
        </w:rPr>
        <w:t>Schechter,</w:t>
      </w:r>
      <w:r>
        <w:rPr>
          <w:color w:val="231F20"/>
          <w:spacing w:val="-6"/>
          <w:vertAlign w:val="baseline"/>
        </w:rPr>
        <w:t> </w:t>
      </w:r>
      <w:r>
        <w:rPr>
          <w:color w:val="231F20"/>
          <w:vertAlign w:val="baseline"/>
        </w:rPr>
        <w:t>M.</w:t>
      </w:r>
      <w:r>
        <w:rPr>
          <w:color w:val="231F20"/>
          <w:spacing w:val="-10"/>
          <w:vertAlign w:val="baseline"/>
        </w:rPr>
        <w:t> </w:t>
      </w:r>
      <w:r>
        <w:rPr>
          <w:color w:val="231F20"/>
          <w:vertAlign w:val="baseline"/>
        </w:rPr>
        <w:t>T.</w:t>
      </w:r>
      <w:r>
        <w:rPr>
          <w:color w:val="231F20"/>
          <w:spacing w:val="-6"/>
          <w:vertAlign w:val="baseline"/>
        </w:rPr>
        <w:t> </w:t>
      </w:r>
      <w:r>
        <w:rPr>
          <w:color w:val="231F20"/>
          <w:vertAlign w:val="baseline"/>
        </w:rPr>
        <w:t>(2002).</w:t>
      </w:r>
      <w:r>
        <w:rPr>
          <w:color w:val="231F20"/>
          <w:spacing w:val="-6"/>
          <w:vertAlign w:val="baseline"/>
        </w:rPr>
        <w:t> </w:t>
      </w:r>
      <w:r>
        <w:rPr>
          <w:color w:val="231F20"/>
          <w:vertAlign w:val="baseline"/>
        </w:rPr>
        <w:t>Risk-taking</w:t>
      </w:r>
      <w:r>
        <w:rPr>
          <w:color w:val="231F20"/>
          <w:spacing w:val="-7"/>
          <w:vertAlign w:val="baseline"/>
        </w:rPr>
        <w:t> </w:t>
      </w:r>
      <w:r>
        <w:rPr>
          <w:color w:val="231F20"/>
          <w:vertAlign w:val="baseline"/>
        </w:rPr>
        <w:t>behaviors</w:t>
      </w:r>
      <w:r>
        <w:rPr>
          <w:color w:val="231F20"/>
          <w:spacing w:val="-52"/>
          <w:vertAlign w:val="baseline"/>
        </w:rPr>
        <w:t> </w:t>
      </w:r>
      <w:r>
        <w:rPr>
          <w:color w:val="231F20"/>
          <w:vertAlign w:val="baseline"/>
        </w:rPr>
        <w:t>among</w:t>
      </w:r>
      <w:r>
        <w:rPr>
          <w:color w:val="231F20"/>
          <w:spacing w:val="6"/>
          <w:vertAlign w:val="baseline"/>
        </w:rPr>
        <w:t> </w:t>
      </w:r>
      <w:r>
        <w:rPr>
          <w:color w:val="231F20"/>
          <w:vertAlign w:val="baseline"/>
        </w:rPr>
        <w:t>injecting</w:t>
      </w:r>
      <w:r>
        <w:rPr>
          <w:color w:val="231F20"/>
          <w:spacing w:val="7"/>
          <w:vertAlign w:val="baseline"/>
        </w:rPr>
        <w:t> </w:t>
      </w:r>
      <w:r>
        <w:rPr>
          <w:color w:val="231F20"/>
          <w:vertAlign w:val="baseline"/>
        </w:rPr>
        <w:t>drug</w:t>
      </w:r>
      <w:r>
        <w:rPr>
          <w:color w:val="231F20"/>
          <w:spacing w:val="6"/>
          <w:vertAlign w:val="baseline"/>
        </w:rPr>
        <w:t> </w:t>
      </w:r>
      <w:r>
        <w:rPr>
          <w:color w:val="231F20"/>
          <w:vertAlign w:val="baseline"/>
        </w:rPr>
        <w:t>users</w:t>
      </w:r>
      <w:r>
        <w:rPr>
          <w:color w:val="231F20"/>
          <w:spacing w:val="7"/>
          <w:vertAlign w:val="baseline"/>
        </w:rPr>
        <w:t> </w:t>
      </w:r>
      <w:r>
        <w:rPr>
          <w:color w:val="231F20"/>
          <w:vertAlign w:val="baseline"/>
        </w:rPr>
        <w:t>who</w:t>
      </w:r>
      <w:r>
        <w:rPr>
          <w:color w:val="231F20"/>
          <w:spacing w:val="5"/>
          <w:vertAlign w:val="baseline"/>
        </w:rPr>
        <w:t> </w:t>
      </w:r>
      <w:r>
        <w:rPr>
          <w:color w:val="231F20"/>
          <w:vertAlign w:val="baseline"/>
        </w:rPr>
        <w:t>obtain</w:t>
      </w:r>
      <w:r>
        <w:rPr>
          <w:color w:val="231F20"/>
          <w:spacing w:val="7"/>
          <w:vertAlign w:val="baseline"/>
        </w:rPr>
        <w:t> </w:t>
      </w:r>
      <w:r>
        <w:rPr>
          <w:color w:val="231F20"/>
          <w:vertAlign w:val="baseline"/>
        </w:rPr>
        <w:t>syringes</w:t>
      </w:r>
      <w:r>
        <w:rPr>
          <w:color w:val="231F20"/>
          <w:spacing w:val="1"/>
          <w:vertAlign w:val="baseline"/>
        </w:rPr>
        <w:t> </w:t>
      </w:r>
      <w:r>
        <w:rPr>
          <w:color w:val="231F20"/>
          <w:vertAlign w:val="baseline"/>
        </w:rPr>
        <w:t>from pharmacies, fixed sites, and mobile van needle</w:t>
      </w:r>
      <w:r>
        <w:rPr>
          <w:color w:val="231F20"/>
          <w:spacing w:val="1"/>
          <w:vertAlign w:val="baseline"/>
        </w:rPr>
        <w:t> </w:t>
      </w:r>
      <w:r>
        <w:rPr>
          <w:color w:val="231F20"/>
          <w:vertAlign w:val="baseline"/>
        </w:rPr>
        <w:t>exchanges. </w:t>
      </w:r>
      <w:r>
        <w:rPr>
          <w:i/>
          <w:color w:val="231F20"/>
          <w:vertAlign w:val="baseline"/>
        </w:rPr>
        <w:t>Journal of Urban Health, 79</w:t>
      </w:r>
      <w:r>
        <w:rPr>
          <w:color w:val="231F20"/>
          <w:vertAlign w:val="baseline"/>
        </w:rPr>
        <w:t>(2), 257-</w:t>
      </w:r>
      <w:r>
        <w:rPr>
          <w:color w:val="231F20"/>
          <w:spacing w:val="1"/>
          <w:vertAlign w:val="baseline"/>
        </w:rPr>
        <w:t> </w:t>
      </w:r>
      <w:r>
        <w:rPr>
          <w:color w:val="231F20"/>
          <w:vertAlign w:val="baseline"/>
        </w:rPr>
        <w:t>265.</w:t>
      </w:r>
      <w:r>
        <w:rPr>
          <w:color w:val="231F20"/>
          <w:spacing w:val="-1"/>
          <w:vertAlign w:val="baseline"/>
        </w:rPr>
        <w:t> </w:t>
      </w:r>
      <w:hyperlink r:id="rId175">
        <w:r>
          <w:rPr>
            <w:color w:val="3953A4"/>
            <w:u w:val="single" w:color="3953A4"/>
            <w:vertAlign w:val="baseline"/>
          </w:rPr>
          <w:t>https://doi.org/10.1093/jurban/79.2.257</w:t>
        </w:r>
      </w:hyperlink>
    </w:p>
    <w:p>
      <w:pPr>
        <w:pStyle w:val="BodyText"/>
        <w:tabs>
          <w:tab w:pos="519" w:val="left" w:leader="none"/>
        </w:tabs>
        <w:spacing w:line="228" w:lineRule="auto" w:before="88"/>
        <w:ind w:left="520" w:right="780" w:hanging="360"/>
      </w:pPr>
      <w:r>
        <w:rPr>
          <w:color w:val="010202"/>
          <w:vertAlign w:val="superscript"/>
        </w:rPr>
        <w:t>29</w:t>
      </w:r>
      <w:r>
        <w:rPr>
          <w:color w:val="010202"/>
          <w:vertAlign w:val="baseline"/>
        </w:rPr>
        <w:tab/>
        <w:t>Hood</w:t>
      </w:r>
      <w:r>
        <w:rPr>
          <w:color w:val="231F20"/>
          <w:vertAlign w:val="baseline"/>
        </w:rPr>
        <w:t>, J. E., Banta-Green, C. J., Duchin, J. S.,</w:t>
      </w:r>
      <w:r>
        <w:rPr>
          <w:color w:val="231F20"/>
          <w:spacing w:val="1"/>
          <w:vertAlign w:val="baseline"/>
        </w:rPr>
        <w:t> </w:t>
      </w:r>
      <w:r>
        <w:rPr>
          <w:color w:val="231F20"/>
          <w:vertAlign w:val="baseline"/>
        </w:rPr>
        <w:t>Breuner, J., Dell, W., Finegood, B., Glick, S. N.,</w:t>
      </w:r>
      <w:r>
        <w:rPr>
          <w:color w:val="231F20"/>
          <w:spacing w:val="1"/>
          <w:vertAlign w:val="baseline"/>
        </w:rPr>
        <w:t> </w:t>
      </w:r>
      <w:r>
        <w:rPr>
          <w:color w:val="231F20"/>
          <w:vertAlign w:val="baseline"/>
        </w:rPr>
        <w:t>Hamblin, M., Holcomb, S., Mosse, D., Oliphant-</w:t>
      </w:r>
      <w:r>
        <w:rPr>
          <w:color w:val="231F20"/>
          <w:spacing w:val="1"/>
          <w:vertAlign w:val="baseline"/>
        </w:rPr>
        <w:t> </w:t>
      </w:r>
      <w:r>
        <w:rPr>
          <w:color w:val="231F20"/>
          <w:vertAlign w:val="baseline"/>
        </w:rPr>
        <w:t>Wells, T., &amp; Shim, M. M. (2019). Engaging an</w:t>
      </w:r>
      <w:r>
        <w:rPr>
          <w:color w:val="231F20"/>
          <w:spacing w:val="1"/>
          <w:vertAlign w:val="baseline"/>
        </w:rPr>
        <w:t> </w:t>
      </w:r>
      <w:r>
        <w:rPr>
          <w:color w:val="231F20"/>
          <w:vertAlign w:val="baseline"/>
        </w:rPr>
        <w:t>unstably housed population with low-barrier</w:t>
      </w:r>
      <w:r>
        <w:rPr>
          <w:color w:val="231F20"/>
          <w:spacing w:val="1"/>
          <w:vertAlign w:val="baseline"/>
        </w:rPr>
        <w:t> </w:t>
      </w:r>
      <w:r>
        <w:rPr>
          <w:color w:val="231F20"/>
          <w:vertAlign w:val="baseline"/>
        </w:rPr>
        <w:t>buprenorphine treatment at a syringe services</w:t>
      </w:r>
      <w:r>
        <w:rPr>
          <w:color w:val="231F20"/>
          <w:spacing w:val="1"/>
          <w:vertAlign w:val="baseline"/>
        </w:rPr>
        <w:t> </w:t>
      </w:r>
      <w:r>
        <w:rPr>
          <w:color w:val="231F20"/>
          <w:vertAlign w:val="baseline"/>
        </w:rPr>
        <w:t>program:</w:t>
      </w:r>
      <w:r>
        <w:rPr>
          <w:color w:val="231F20"/>
          <w:spacing w:val="-5"/>
          <w:vertAlign w:val="baseline"/>
        </w:rPr>
        <w:t> </w:t>
      </w:r>
      <w:r>
        <w:rPr>
          <w:color w:val="231F20"/>
          <w:vertAlign w:val="baseline"/>
        </w:rPr>
        <w:t>Lessons</w:t>
      </w:r>
      <w:r>
        <w:rPr>
          <w:color w:val="231F20"/>
          <w:spacing w:val="-5"/>
          <w:vertAlign w:val="baseline"/>
        </w:rPr>
        <w:t> </w:t>
      </w:r>
      <w:r>
        <w:rPr>
          <w:color w:val="231F20"/>
          <w:vertAlign w:val="baseline"/>
        </w:rPr>
        <w:t>learned</w:t>
      </w:r>
      <w:r>
        <w:rPr>
          <w:color w:val="231F20"/>
          <w:spacing w:val="-5"/>
          <w:vertAlign w:val="baseline"/>
        </w:rPr>
        <w:t> </w:t>
      </w:r>
      <w:r>
        <w:rPr>
          <w:color w:val="231F20"/>
          <w:vertAlign w:val="baseline"/>
        </w:rPr>
        <w:t>from</w:t>
      </w:r>
      <w:r>
        <w:rPr>
          <w:color w:val="231F20"/>
          <w:spacing w:val="-5"/>
          <w:vertAlign w:val="baseline"/>
        </w:rPr>
        <w:t> </w:t>
      </w:r>
      <w:r>
        <w:rPr>
          <w:color w:val="231F20"/>
          <w:vertAlign w:val="baseline"/>
        </w:rPr>
        <w:t>Seattle,</w:t>
      </w:r>
      <w:r>
        <w:rPr>
          <w:color w:val="231F20"/>
          <w:spacing w:val="-9"/>
          <w:vertAlign w:val="baseline"/>
        </w:rPr>
        <w:t> </w:t>
      </w:r>
      <w:r>
        <w:rPr>
          <w:color w:val="231F20"/>
          <w:vertAlign w:val="baseline"/>
        </w:rPr>
        <w:t>Washington.</w:t>
      </w:r>
      <w:r>
        <w:rPr>
          <w:color w:val="231F20"/>
          <w:spacing w:val="-52"/>
          <w:vertAlign w:val="baseline"/>
        </w:rPr>
        <w:t> </w:t>
      </w:r>
      <w:r>
        <w:rPr>
          <w:i/>
          <w:color w:val="231F20"/>
          <w:vertAlign w:val="baseline"/>
        </w:rPr>
        <w:t>Substance</w:t>
      </w:r>
      <w:r>
        <w:rPr>
          <w:i/>
          <w:color w:val="231F20"/>
          <w:spacing w:val="-11"/>
          <w:vertAlign w:val="baseline"/>
        </w:rPr>
        <w:t> </w:t>
      </w:r>
      <w:r>
        <w:rPr>
          <w:i/>
          <w:color w:val="231F20"/>
          <w:vertAlign w:val="baseline"/>
        </w:rPr>
        <w:t>Abuse</w:t>
      </w:r>
      <w:r>
        <w:rPr>
          <w:color w:val="231F20"/>
          <w:vertAlign w:val="baseline"/>
        </w:rPr>
        <w:t>,</w:t>
      </w:r>
      <w:r>
        <w:rPr>
          <w:color w:val="231F20"/>
          <w:spacing w:val="-6"/>
          <w:vertAlign w:val="baseline"/>
        </w:rPr>
        <w:t> </w:t>
      </w:r>
      <w:r>
        <w:rPr>
          <w:color w:val="231F20"/>
          <w:vertAlign w:val="baseline"/>
        </w:rPr>
        <w:t>1-9.</w:t>
      </w:r>
      <w:r>
        <w:rPr>
          <w:color w:val="231F20"/>
          <w:spacing w:val="-7"/>
          <w:vertAlign w:val="baseline"/>
        </w:rPr>
        <w:t> </w:t>
      </w:r>
      <w:hyperlink r:id="rId176">
        <w:r>
          <w:rPr>
            <w:color w:val="3953A4"/>
            <w:u w:val="single" w:color="3953A4"/>
            <w:vertAlign w:val="baseline"/>
          </w:rPr>
          <w:t>https://doi.org/10.1080/08897</w:t>
        </w:r>
      </w:hyperlink>
      <w:r>
        <w:rPr>
          <w:color w:val="3953A4"/>
          <w:spacing w:val="-52"/>
          <w:vertAlign w:val="baseline"/>
        </w:rPr>
        <w:t> </w:t>
      </w:r>
      <w:hyperlink r:id="rId176">
        <w:r>
          <w:rPr>
            <w:color w:val="3953A4"/>
            <w:u w:val="single" w:color="3953A4"/>
            <w:vertAlign w:val="baseline"/>
          </w:rPr>
          <w:t>077.2019.1635557</w:t>
        </w:r>
      </w:hyperlink>
    </w:p>
    <w:p>
      <w:pPr>
        <w:pStyle w:val="BodyText"/>
        <w:tabs>
          <w:tab w:pos="519" w:val="left" w:leader="none"/>
        </w:tabs>
        <w:spacing w:line="228" w:lineRule="auto" w:before="87"/>
        <w:ind w:left="520" w:right="926" w:hanging="360"/>
        <w:rPr>
          <w:i/>
        </w:rPr>
      </w:pPr>
      <w:r>
        <w:rPr>
          <w:color w:val="010202"/>
          <w:vertAlign w:val="superscript"/>
        </w:rPr>
        <w:t>30</w:t>
      </w:r>
      <w:r>
        <w:rPr>
          <w:color w:val="010202"/>
          <w:vertAlign w:val="baseline"/>
        </w:rPr>
        <w:tab/>
        <w:t>K</w:t>
      </w:r>
      <w:r>
        <w:rPr>
          <w:color w:val="231F20"/>
          <w:vertAlign w:val="baseline"/>
        </w:rPr>
        <w:t>err,</w:t>
      </w:r>
      <w:r>
        <w:rPr>
          <w:color w:val="231F20"/>
          <w:spacing w:val="-11"/>
          <w:vertAlign w:val="baseline"/>
        </w:rPr>
        <w:t> </w:t>
      </w:r>
      <w:r>
        <w:rPr>
          <w:color w:val="231F20"/>
          <w:vertAlign w:val="baseline"/>
        </w:rPr>
        <w:t>T.,</w:t>
      </w:r>
      <w:r>
        <w:rPr>
          <w:color w:val="231F20"/>
          <w:spacing w:val="-7"/>
          <w:vertAlign w:val="baseline"/>
        </w:rPr>
        <w:t> </w:t>
      </w:r>
      <w:r>
        <w:rPr>
          <w:color w:val="231F20"/>
          <w:vertAlign w:val="baseline"/>
        </w:rPr>
        <w:t>Small,</w:t>
      </w:r>
      <w:r>
        <w:rPr>
          <w:color w:val="231F20"/>
          <w:spacing w:val="-12"/>
          <w:vertAlign w:val="baseline"/>
        </w:rPr>
        <w:t> </w:t>
      </w:r>
      <w:r>
        <w:rPr>
          <w:color w:val="231F20"/>
          <w:vertAlign w:val="baseline"/>
        </w:rPr>
        <w:t>W.,</w:t>
      </w:r>
      <w:r>
        <w:rPr>
          <w:color w:val="231F20"/>
          <w:spacing w:val="-7"/>
          <w:vertAlign w:val="baseline"/>
        </w:rPr>
        <w:t> </w:t>
      </w:r>
      <w:r>
        <w:rPr>
          <w:color w:val="231F20"/>
          <w:vertAlign w:val="baseline"/>
        </w:rPr>
        <w:t>Buchner,</w:t>
      </w:r>
      <w:r>
        <w:rPr>
          <w:color w:val="231F20"/>
          <w:spacing w:val="-7"/>
          <w:vertAlign w:val="baseline"/>
        </w:rPr>
        <w:t> </w:t>
      </w:r>
      <w:r>
        <w:rPr>
          <w:color w:val="231F20"/>
          <w:vertAlign w:val="baseline"/>
        </w:rPr>
        <w:t>C.,</w:t>
      </w:r>
      <w:r>
        <w:rPr>
          <w:color w:val="231F20"/>
          <w:spacing w:val="-7"/>
          <w:vertAlign w:val="baseline"/>
        </w:rPr>
        <w:t> </w:t>
      </w:r>
      <w:r>
        <w:rPr>
          <w:color w:val="231F20"/>
          <w:vertAlign w:val="baseline"/>
        </w:rPr>
        <w:t>Zhang,</w:t>
      </w:r>
      <w:r>
        <w:rPr>
          <w:color w:val="231F20"/>
          <w:spacing w:val="-7"/>
          <w:vertAlign w:val="baseline"/>
        </w:rPr>
        <w:t> </w:t>
      </w:r>
      <w:r>
        <w:rPr>
          <w:color w:val="231F20"/>
          <w:vertAlign w:val="baseline"/>
        </w:rPr>
        <w:t>R.,</w:t>
      </w:r>
      <w:r>
        <w:rPr>
          <w:color w:val="231F20"/>
          <w:spacing w:val="-7"/>
          <w:vertAlign w:val="baseline"/>
        </w:rPr>
        <w:t> </w:t>
      </w:r>
      <w:r>
        <w:rPr>
          <w:color w:val="231F20"/>
          <w:vertAlign w:val="baseline"/>
        </w:rPr>
        <w:t>Li,</w:t>
      </w:r>
      <w:r>
        <w:rPr>
          <w:color w:val="231F20"/>
          <w:spacing w:val="-7"/>
          <w:vertAlign w:val="baseline"/>
        </w:rPr>
        <w:t> </w:t>
      </w:r>
      <w:r>
        <w:rPr>
          <w:color w:val="231F20"/>
          <w:vertAlign w:val="baseline"/>
        </w:rPr>
        <w:t>K.,</w:t>
      </w:r>
      <w:r>
        <w:rPr>
          <w:color w:val="231F20"/>
          <w:spacing w:val="-52"/>
          <w:vertAlign w:val="baseline"/>
        </w:rPr>
        <w:t> </w:t>
      </w:r>
      <w:r>
        <w:rPr>
          <w:color w:val="231F20"/>
          <w:vertAlign w:val="baseline"/>
        </w:rPr>
        <w:t>Montaner, J., &amp; Wood, E. (2010). Syringe sharing</w:t>
      </w:r>
      <w:r>
        <w:rPr>
          <w:color w:val="231F20"/>
          <w:spacing w:val="1"/>
          <w:vertAlign w:val="baseline"/>
        </w:rPr>
        <w:t> </w:t>
      </w:r>
      <w:r>
        <w:rPr>
          <w:color w:val="231F20"/>
          <w:vertAlign w:val="baseline"/>
        </w:rPr>
        <w:t>and</w:t>
      </w:r>
      <w:r>
        <w:rPr>
          <w:color w:val="231F20"/>
          <w:spacing w:val="9"/>
          <w:vertAlign w:val="baseline"/>
        </w:rPr>
        <w:t> </w:t>
      </w:r>
      <w:r>
        <w:rPr>
          <w:color w:val="231F20"/>
          <w:vertAlign w:val="baseline"/>
        </w:rPr>
        <w:t>HIV</w:t>
      </w:r>
      <w:r>
        <w:rPr>
          <w:color w:val="231F20"/>
          <w:spacing w:val="5"/>
          <w:vertAlign w:val="baseline"/>
        </w:rPr>
        <w:t> </w:t>
      </w:r>
      <w:r>
        <w:rPr>
          <w:color w:val="231F20"/>
          <w:vertAlign w:val="baseline"/>
        </w:rPr>
        <w:t>incidence</w:t>
      </w:r>
      <w:r>
        <w:rPr>
          <w:color w:val="231F20"/>
          <w:spacing w:val="9"/>
          <w:vertAlign w:val="baseline"/>
        </w:rPr>
        <w:t> </w:t>
      </w:r>
      <w:r>
        <w:rPr>
          <w:color w:val="231F20"/>
          <w:vertAlign w:val="baseline"/>
        </w:rPr>
        <w:t>among</w:t>
      </w:r>
      <w:r>
        <w:rPr>
          <w:color w:val="231F20"/>
          <w:spacing w:val="9"/>
          <w:vertAlign w:val="baseline"/>
        </w:rPr>
        <w:t> </w:t>
      </w:r>
      <w:r>
        <w:rPr>
          <w:color w:val="231F20"/>
          <w:vertAlign w:val="baseline"/>
        </w:rPr>
        <w:t>injection</w:t>
      </w:r>
      <w:r>
        <w:rPr>
          <w:color w:val="231F20"/>
          <w:spacing w:val="9"/>
          <w:vertAlign w:val="baseline"/>
        </w:rPr>
        <w:t> </w:t>
      </w:r>
      <w:r>
        <w:rPr>
          <w:color w:val="231F20"/>
          <w:vertAlign w:val="baseline"/>
        </w:rPr>
        <w:t>drug</w:t>
      </w:r>
      <w:r>
        <w:rPr>
          <w:color w:val="231F20"/>
          <w:spacing w:val="9"/>
          <w:vertAlign w:val="baseline"/>
        </w:rPr>
        <w:t> </w:t>
      </w:r>
      <w:r>
        <w:rPr>
          <w:color w:val="231F20"/>
          <w:vertAlign w:val="baseline"/>
        </w:rPr>
        <w:t>users</w:t>
      </w:r>
      <w:r>
        <w:rPr>
          <w:color w:val="231F20"/>
          <w:spacing w:val="1"/>
          <w:vertAlign w:val="baseline"/>
        </w:rPr>
        <w:t> </w:t>
      </w:r>
      <w:r>
        <w:rPr>
          <w:color w:val="231F20"/>
          <w:vertAlign w:val="baseline"/>
        </w:rPr>
        <w:t>and</w:t>
      </w:r>
      <w:r>
        <w:rPr>
          <w:color w:val="231F20"/>
          <w:spacing w:val="-2"/>
          <w:vertAlign w:val="baseline"/>
        </w:rPr>
        <w:t> </w:t>
      </w:r>
      <w:r>
        <w:rPr>
          <w:color w:val="231F20"/>
          <w:vertAlign w:val="baseline"/>
        </w:rPr>
        <w:t>increased</w:t>
      </w:r>
      <w:r>
        <w:rPr>
          <w:color w:val="231F20"/>
          <w:spacing w:val="-2"/>
          <w:vertAlign w:val="baseline"/>
        </w:rPr>
        <w:t> </w:t>
      </w:r>
      <w:r>
        <w:rPr>
          <w:color w:val="231F20"/>
          <w:vertAlign w:val="baseline"/>
        </w:rPr>
        <w:t>access</w:t>
      </w:r>
      <w:r>
        <w:rPr>
          <w:color w:val="231F20"/>
          <w:spacing w:val="-2"/>
          <w:vertAlign w:val="baseline"/>
        </w:rPr>
        <w:t> </w:t>
      </w:r>
      <w:r>
        <w:rPr>
          <w:color w:val="231F20"/>
          <w:vertAlign w:val="baseline"/>
        </w:rPr>
        <w:t>to</w:t>
      </w:r>
      <w:r>
        <w:rPr>
          <w:color w:val="231F20"/>
          <w:spacing w:val="-2"/>
          <w:vertAlign w:val="baseline"/>
        </w:rPr>
        <w:t> </w:t>
      </w:r>
      <w:r>
        <w:rPr>
          <w:color w:val="231F20"/>
          <w:vertAlign w:val="baseline"/>
        </w:rPr>
        <w:t>sterile</w:t>
      </w:r>
      <w:r>
        <w:rPr>
          <w:color w:val="231F20"/>
          <w:spacing w:val="-3"/>
          <w:vertAlign w:val="baseline"/>
        </w:rPr>
        <w:t> </w:t>
      </w:r>
      <w:r>
        <w:rPr>
          <w:color w:val="231F20"/>
          <w:vertAlign w:val="baseline"/>
        </w:rPr>
        <w:t>syringes.</w:t>
      </w:r>
      <w:r>
        <w:rPr>
          <w:color w:val="231F20"/>
          <w:spacing w:val="-2"/>
          <w:vertAlign w:val="baseline"/>
        </w:rPr>
        <w:t> </w:t>
      </w:r>
      <w:r>
        <w:rPr>
          <w:i/>
          <w:color w:val="231F20"/>
          <w:vertAlign w:val="baseline"/>
        </w:rPr>
        <w:t>American</w:t>
      </w:r>
    </w:p>
    <w:p>
      <w:pPr>
        <w:spacing w:line="228" w:lineRule="auto" w:before="0"/>
        <w:ind w:left="520" w:right="705" w:firstLine="0"/>
        <w:jc w:val="left"/>
        <w:rPr>
          <w:sz w:val="22"/>
        </w:rPr>
      </w:pPr>
      <w:r>
        <w:rPr>
          <w:i/>
          <w:color w:val="231F20"/>
          <w:sz w:val="22"/>
        </w:rPr>
        <w:t>Journal of Public Health, 100</w:t>
      </w:r>
      <w:r>
        <w:rPr>
          <w:color w:val="231F20"/>
          <w:sz w:val="22"/>
        </w:rPr>
        <w:t>(8), 1449-1453. </w:t>
      </w:r>
      <w:hyperlink r:id="rId177">
        <w:r>
          <w:rPr>
            <w:color w:val="3953A4"/>
            <w:sz w:val="22"/>
            <w:u w:val="single" w:color="3953A4"/>
          </w:rPr>
          <w:t>https://</w:t>
        </w:r>
      </w:hyperlink>
      <w:r>
        <w:rPr>
          <w:color w:val="3953A4"/>
          <w:spacing w:val="-53"/>
          <w:sz w:val="22"/>
        </w:rPr>
        <w:t> </w:t>
      </w:r>
      <w:hyperlink r:id="rId177">
        <w:r>
          <w:rPr>
            <w:color w:val="3953A4"/>
            <w:sz w:val="22"/>
            <w:u w:val="single" w:color="3953A4"/>
          </w:rPr>
          <w:t>doi.org/10.2105/AJPH.2009.178467</w:t>
        </w:r>
      </w:hyperlink>
    </w:p>
    <w:p>
      <w:pPr>
        <w:pStyle w:val="BodyText"/>
        <w:tabs>
          <w:tab w:pos="519" w:val="left" w:leader="none"/>
        </w:tabs>
        <w:spacing w:line="228" w:lineRule="auto" w:before="88"/>
        <w:ind w:left="520" w:right="906" w:hanging="360"/>
      </w:pPr>
      <w:r>
        <w:rPr>
          <w:color w:val="010202"/>
          <w:vertAlign w:val="superscript"/>
        </w:rPr>
        <w:t>31</w:t>
      </w:r>
      <w:r>
        <w:rPr>
          <w:color w:val="010202"/>
          <w:vertAlign w:val="baseline"/>
        </w:rPr>
        <w:tab/>
        <w:t>Da</w:t>
      </w:r>
      <w:r>
        <w:rPr>
          <w:color w:val="231F20"/>
          <w:vertAlign w:val="baseline"/>
        </w:rPr>
        <w:t>sgupta, S., Broz, D., Tanner, M., Patel, M.,</w:t>
      </w:r>
      <w:r>
        <w:rPr>
          <w:color w:val="231F20"/>
          <w:spacing w:val="1"/>
          <w:vertAlign w:val="baseline"/>
        </w:rPr>
        <w:t> </w:t>
      </w:r>
      <w:r>
        <w:rPr>
          <w:color w:val="231F20"/>
          <w:vertAlign w:val="baseline"/>
        </w:rPr>
        <w:t>Halleck, B., Peters, P. J., Weidle, P. J., O’Donnell,</w:t>
      </w:r>
      <w:r>
        <w:rPr>
          <w:color w:val="231F20"/>
          <w:spacing w:val="-52"/>
          <w:vertAlign w:val="baseline"/>
        </w:rPr>
        <w:t> </w:t>
      </w:r>
      <w:r>
        <w:rPr>
          <w:color w:val="231F20"/>
          <w:spacing w:val="-1"/>
          <w:vertAlign w:val="baseline"/>
        </w:rPr>
        <w:t>J., Amlung, J., McAlister, C., Chapman, E., Bailey,</w:t>
      </w:r>
      <w:r>
        <w:rPr>
          <w:color w:val="231F20"/>
          <w:spacing w:val="-52"/>
          <w:vertAlign w:val="baseline"/>
        </w:rPr>
        <w:t> </w:t>
      </w:r>
      <w:r>
        <w:rPr>
          <w:color w:val="231F20"/>
          <w:vertAlign w:val="baseline"/>
        </w:rPr>
        <w:t>A., Burnett, J., &amp; Duwve, J. (2019). Changes in</w:t>
      </w:r>
      <w:r>
        <w:rPr>
          <w:color w:val="231F20"/>
          <w:spacing w:val="1"/>
          <w:vertAlign w:val="baseline"/>
        </w:rPr>
        <w:t> </w:t>
      </w:r>
      <w:r>
        <w:rPr>
          <w:color w:val="231F20"/>
          <w:vertAlign w:val="baseline"/>
        </w:rPr>
        <w:t>reported injection behaviors following the public</w:t>
      </w:r>
      <w:r>
        <w:rPr>
          <w:color w:val="231F20"/>
          <w:spacing w:val="1"/>
          <w:vertAlign w:val="baseline"/>
        </w:rPr>
        <w:t> </w:t>
      </w:r>
      <w:r>
        <w:rPr>
          <w:color w:val="231F20"/>
          <w:vertAlign w:val="baseline"/>
        </w:rPr>
        <w:t>health</w:t>
      </w:r>
      <w:r>
        <w:rPr>
          <w:color w:val="231F20"/>
          <w:spacing w:val="-1"/>
          <w:vertAlign w:val="baseline"/>
        </w:rPr>
        <w:t> </w:t>
      </w:r>
      <w:r>
        <w:rPr>
          <w:color w:val="231F20"/>
          <w:vertAlign w:val="baseline"/>
        </w:rPr>
        <w:t>response to an HIV</w:t>
      </w:r>
      <w:r>
        <w:rPr>
          <w:color w:val="231F20"/>
          <w:spacing w:val="-6"/>
          <w:vertAlign w:val="baseline"/>
        </w:rPr>
        <w:t> </w:t>
      </w:r>
      <w:r>
        <w:rPr>
          <w:color w:val="231F20"/>
          <w:vertAlign w:val="baseline"/>
        </w:rPr>
        <w:t>outbreak among people</w:t>
      </w:r>
    </w:p>
    <w:p>
      <w:pPr>
        <w:spacing w:line="228" w:lineRule="auto" w:before="0"/>
        <w:ind w:left="520" w:right="739" w:firstLine="0"/>
        <w:jc w:val="left"/>
        <w:rPr>
          <w:sz w:val="22"/>
        </w:rPr>
      </w:pPr>
      <w:r>
        <w:rPr>
          <w:color w:val="231F20"/>
          <w:sz w:val="22"/>
        </w:rPr>
        <w:t>who</w:t>
      </w:r>
      <w:r>
        <w:rPr>
          <w:color w:val="231F20"/>
          <w:spacing w:val="-7"/>
          <w:sz w:val="22"/>
        </w:rPr>
        <w:t> </w:t>
      </w:r>
      <w:r>
        <w:rPr>
          <w:color w:val="231F20"/>
          <w:sz w:val="22"/>
        </w:rPr>
        <w:t>inject</w:t>
      </w:r>
      <w:r>
        <w:rPr>
          <w:color w:val="231F20"/>
          <w:spacing w:val="-5"/>
          <w:sz w:val="22"/>
        </w:rPr>
        <w:t> </w:t>
      </w:r>
      <w:r>
        <w:rPr>
          <w:color w:val="231F20"/>
          <w:sz w:val="22"/>
        </w:rPr>
        <w:t>drugs:</w:t>
      </w:r>
      <w:r>
        <w:rPr>
          <w:color w:val="231F20"/>
          <w:spacing w:val="-5"/>
          <w:sz w:val="22"/>
        </w:rPr>
        <w:t> </w:t>
      </w:r>
      <w:r>
        <w:rPr>
          <w:color w:val="231F20"/>
          <w:sz w:val="22"/>
        </w:rPr>
        <w:t>Indiana,</w:t>
      </w:r>
      <w:r>
        <w:rPr>
          <w:color w:val="231F20"/>
          <w:spacing w:val="-6"/>
          <w:sz w:val="22"/>
        </w:rPr>
        <w:t> </w:t>
      </w:r>
      <w:r>
        <w:rPr>
          <w:color w:val="231F20"/>
          <w:sz w:val="22"/>
        </w:rPr>
        <w:t>2016.</w:t>
      </w:r>
      <w:r>
        <w:rPr>
          <w:color w:val="231F20"/>
          <w:spacing w:val="-6"/>
          <w:sz w:val="22"/>
        </w:rPr>
        <w:t> </w:t>
      </w:r>
      <w:r>
        <w:rPr>
          <w:i/>
          <w:color w:val="231F20"/>
          <w:sz w:val="22"/>
        </w:rPr>
        <w:t>AIDS</w:t>
      </w:r>
      <w:r>
        <w:rPr>
          <w:i/>
          <w:color w:val="231F20"/>
          <w:spacing w:val="-5"/>
          <w:sz w:val="22"/>
        </w:rPr>
        <w:t> </w:t>
      </w:r>
      <w:r>
        <w:rPr>
          <w:i/>
          <w:color w:val="231F20"/>
          <w:sz w:val="22"/>
        </w:rPr>
        <w:t>and</w:t>
      </w:r>
      <w:r>
        <w:rPr>
          <w:i/>
          <w:color w:val="231F20"/>
          <w:spacing w:val="-6"/>
          <w:sz w:val="22"/>
        </w:rPr>
        <w:t> </w:t>
      </w:r>
      <w:r>
        <w:rPr>
          <w:i/>
          <w:color w:val="231F20"/>
          <w:sz w:val="22"/>
        </w:rPr>
        <w:t>Behavior,</w:t>
      </w:r>
      <w:r>
        <w:rPr>
          <w:i/>
          <w:color w:val="231F20"/>
          <w:spacing w:val="-52"/>
          <w:sz w:val="22"/>
        </w:rPr>
        <w:t> </w:t>
      </w:r>
      <w:r>
        <w:rPr>
          <w:i/>
          <w:color w:val="231F20"/>
          <w:sz w:val="22"/>
        </w:rPr>
        <w:t>23</w:t>
      </w:r>
      <w:r>
        <w:rPr>
          <w:color w:val="231F20"/>
          <w:sz w:val="22"/>
        </w:rPr>
        <w:t>(12),</w:t>
      </w:r>
      <w:r>
        <w:rPr>
          <w:color w:val="231F20"/>
          <w:spacing w:val="-2"/>
          <w:sz w:val="22"/>
        </w:rPr>
        <w:t> </w:t>
      </w:r>
      <w:r>
        <w:rPr>
          <w:color w:val="231F20"/>
          <w:sz w:val="22"/>
        </w:rPr>
        <w:t>3257-3266.</w:t>
      </w:r>
      <w:r>
        <w:rPr>
          <w:color w:val="231F20"/>
          <w:spacing w:val="-1"/>
          <w:sz w:val="22"/>
        </w:rPr>
        <w:t> </w:t>
      </w:r>
      <w:hyperlink r:id="rId178">
        <w:r>
          <w:rPr>
            <w:color w:val="3953A4"/>
            <w:sz w:val="22"/>
            <w:u w:val="single" w:color="3953A4"/>
          </w:rPr>
          <w:t>https://doi.org/10.1007/s10461-</w:t>
        </w:r>
      </w:hyperlink>
    </w:p>
    <w:p>
      <w:pPr>
        <w:pStyle w:val="BodyText"/>
        <w:spacing w:line="242" w:lineRule="exact"/>
        <w:ind w:left="520"/>
      </w:pPr>
      <w:hyperlink r:id="rId178">
        <w:r>
          <w:rPr>
            <w:color w:val="3953A4"/>
            <w:u w:val="single" w:color="3953A4"/>
          </w:rPr>
          <w:t>019-02600-x</w:t>
        </w:r>
      </w:hyperlink>
    </w:p>
    <w:p>
      <w:pPr>
        <w:pStyle w:val="BodyText"/>
        <w:tabs>
          <w:tab w:pos="519" w:val="left" w:leader="none"/>
        </w:tabs>
        <w:spacing w:line="228" w:lineRule="auto" w:before="86"/>
        <w:ind w:left="520" w:right="1084" w:hanging="360"/>
      </w:pPr>
      <w:r>
        <w:rPr>
          <w:color w:val="010202"/>
          <w:vertAlign w:val="superscript"/>
        </w:rPr>
        <w:t>32</w:t>
      </w:r>
      <w:r>
        <w:rPr>
          <w:color w:val="010202"/>
          <w:vertAlign w:val="baseline"/>
        </w:rPr>
        <w:tab/>
        <w:t>W</w:t>
      </w:r>
      <w:r>
        <w:rPr>
          <w:color w:val="231F20"/>
          <w:vertAlign w:val="baseline"/>
        </w:rPr>
        <w:t>illiams, C. T., &amp; Metzger, D. S. (2010). Race</w:t>
      </w:r>
      <w:r>
        <w:rPr>
          <w:color w:val="231F20"/>
          <w:spacing w:val="1"/>
          <w:vertAlign w:val="baseline"/>
        </w:rPr>
        <w:t> </w:t>
      </w:r>
      <w:r>
        <w:rPr>
          <w:color w:val="231F20"/>
          <w:vertAlign w:val="baseline"/>
        </w:rPr>
        <w:t>and distance effects on regular syringe exchange</w:t>
      </w:r>
      <w:r>
        <w:rPr>
          <w:color w:val="231F20"/>
          <w:spacing w:val="-52"/>
          <w:vertAlign w:val="baseline"/>
        </w:rPr>
        <w:t> </w:t>
      </w:r>
      <w:r>
        <w:rPr>
          <w:color w:val="231F20"/>
          <w:spacing w:val="-1"/>
          <w:vertAlign w:val="baseline"/>
        </w:rPr>
        <w:t>program use </w:t>
      </w:r>
      <w:r>
        <w:rPr>
          <w:color w:val="231F20"/>
          <w:vertAlign w:val="baseline"/>
        </w:rPr>
        <w:t>and</w:t>
      </w:r>
      <w:r>
        <w:rPr>
          <w:color w:val="231F20"/>
          <w:spacing w:val="-1"/>
          <w:vertAlign w:val="baseline"/>
        </w:rPr>
        <w:t> </w:t>
      </w:r>
      <w:r>
        <w:rPr>
          <w:color w:val="231F20"/>
          <w:vertAlign w:val="baseline"/>
        </w:rPr>
        <w:t>injection</w:t>
      </w:r>
      <w:r>
        <w:rPr>
          <w:color w:val="231F20"/>
          <w:spacing w:val="-1"/>
          <w:vertAlign w:val="baseline"/>
        </w:rPr>
        <w:t> </w:t>
      </w:r>
      <w:r>
        <w:rPr>
          <w:color w:val="231F20"/>
          <w:vertAlign w:val="baseline"/>
        </w:rPr>
        <w:t>risks:</w:t>
      </w:r>
      <w:r>
        <w:rPr>
          <w:color w:val="231F20"/>
          <w:spacing w:val="-14"/>
          <w:vertAlign w:val="baseline"/>
        </w:rPr>
        <w:t> </w:t>
      </w:r>
      <w:r>
        <w:rPr>
          <w:color w:val="231F20"/>
          <w:vertAlign w:val="baseline"/>
        </w:rPr>
        <w:t>A</w:t>
      </w:r>
      <w:r>
        <w:rPr>
          <w:color w:val="231F20"/>
          <w:spacing w:val="-14"/>
          <w:vertAlign w:val="baseline"/>
        </w:rPr>
        <w:t> </w:t>
      </w:r>
      <w:r>
        <w:rPr>
          <w:color w:val="231F20"/>
          <w:vertAlign w:val="baseline"/>
        </w:rPr>
        <w:t>geobehavioral</w:t>
      </w:r>
      <w:r>
        <w:rPr>
          <w:color w:val="231F20"/>
          <w:spacing w:val="-52"/>
          <w:vertAlign w:val="baseline"/>
        </w:rPr>
        <w:t> </w:t>
      </w:r>
      <w:r>
        <w:rPr>
          <w:color w:val="231F20"/>
          <w:vertAlign w:val="baseline"/>
        </w:rPr>
        <w:t>analysis. </w:t>
      </w:r>
      <w:r>
        <w:rPr>
          <w:i/>
          <w:color w:val="231F20"/>
          <w:vertAlign w:val="baseline"/>
        </w:rPr>
        <w:t>American Journal of Public Health,</w:t>
      </w:r>
      <w:r>
        <w:rPr>
          <w:i/>
          <w:color w:val="231F20"/>
          <w:spacing w:val="1"/>
          <w:vertAlign w:val="baseline"/>
        </w:rPr>
        <w:t> </w:t>
      </w:r>
      <w:r>
        <w:rPr>
          <w:i/>
          <w:color w:val="231F20"/>
          <w:vertAlign w:val="baseline"/>
        </w:rPr>
        <w:t>100</w:t>
      </w:r>
      <w:r>
        <w:rPr>
          <w:color w:val="231F20"/>
          <w:vertAlign w:val="baseline"/>
        </w:rPr>
        <w:t>(6), 1068-1074. </w:t>
      </w:r>
      <w:hyperlink r:id="rId179">
        <w:r>
          <w:rPr>
            <w:color w:val="3953A4"/>
            <w:u w:val="single" w:color="3953A4"/>
            <w:vertAlign w:val="baseline"/>
          </w:rPr>
          <w:t>https://doi.org/10.2105/</w:t>
        </w:r>
      </w:hyperlink>
      <w:r>
        <w:rPr>
          <w:color w:val="3953A4"/>
          <w:spacing w:val="1"/>
          <w:vertAlign w:val="baseline"/>
        </w:rPr>
        <w:t> </w:t>
      </w:r>
      <w:hyperlink r:id="rId179">
        <w:r>
          <w:rPr>
            <w:color w:val="3953A4"/>
            <w:u w:val="single" w:color="3953A4"/>
            <w:vertAlign w:val="baseline"/>
          </w:rPr>
          <w:t>AJPH.2008.158337</w:t>
        </w:r>
      </w:hyperlink>
    </w:p>
    <w:p>
      <w:pPr>
        <w:pStyle w:val="BodyText"/>
        <w:tabs>
          <w:tab w:pos="519" w:val="left" w:leader="none"/>
        </w:tabs>
        <w:spacing w:line="228" w:lineRule="auto" w:before="88"/>
        <w:ind w:left="520" w:right="731" w:hanging="360"/>
      </w:pPr>
      <w:r>
        <w:rPr>
          <w:color w:val="010202"/>
          <w:vertAlign w:val="superscript"/>
        </w:rPr>
        <w:t>33</w:t>
      </w:r>
      <w:r>
        <w:rPr>
          <w:color w:val="010202"/>
          <w:vertAlign w:val="baseline"/>
        </w:rPr>
        <w:tab/>
        <w:t>B</w:t>
      </w:r>
      <w:r>
        <w:rPr>
          <w:color w:val="231F20"/>
          <w:vertAlign w:val="baseline"/>
        </w:rPr>
        <w:t>ehrends, C. N., Li, C., &amp; Gibson, D. R. (2017).</w:t>
      </w:r>
      <w:r>
        <w:rPr>
          <w:color w:val="231F20"/>
          <w:spacing w:val="1"/>
          <w:vertAlign w:val="baseline"/>
        </w:rPr>
        <w:t> </w:t>
      </w:r>
      <w:r>
        <w:rPr>
          <w:color w:val="231F20"/>
          <w:vertAlign w:val="baseline"/>
        </w:rPr>
        <w:t>Decreased odds of injection risk behavior associated</w:t>
      </w:r>
      <w:r>
        <w:rPr>
          <w:color w:val="231F20"/>
          <w:spacing w:val="-52"/>
          <w:vertAlign w:val="baseline"/>
        </w:rPr>
        <w:t> </w:t>
      </w:r>
      <w:r>
        <w:rPr>
          <w:color w:val="231F20"/>
          <w:vertAlign w:val="baseline"/>
        </w:rPr>
        <w:t>with direct versus indirect use of syringe exchange:</w:t>
      </w:r>
      <w:r>
        <w:rPr>
          <w:color w:val="231F20"/>
          <w:spacing w:val="1"/>
          <w:vertAlign w:val="baseline"/>
        </w:rPr>
        <w:t> </w:t>
      </w:r>
      <w:r>
        <w:rPr>
          <w:color w:val="231F20"/>
          <w:vertAlign w:val="baseline"/>
        </w:rPr>
        <w:t>Evidence from two California cities. </w:t>
      </w:r>
      <w:r>
        <w:rPr>
          <w:i/>
          <w:color w:val="231F20"/>
          <w:vertAlign w:val="baseline"/>
        </w:rPr>
        <w:t>Substance Use</w:t>
      </w:r>
      <w:r>
        <w:rPr>
          <w:i/>
          <w:color w:val="231F20"/>
          <w:spacing w:val="1"/>
          <w:vertAlign w:val="baseline"/>
        </w:rPr>
        <w:t> </w:t>
      </w:r>
      <w:r>
        <w:rPr>
          <w:i/>
          <w:color w:val="231F20"/>
          <w:vertAlign w:val="baseline"/>
        </w:rPr>
        <w:t>&amp;</w:t>
      </w:r>
      <w:r>
        <w:rPr>
          <w:i/>
          <w:color w:val="231F20"/>
          <w:spacing w:val="-9"/>
          <w:vertAlign w:val="baseline"/>
        </w:rPr>
        <w:t> </w:t>
      </w:r>
      <w:r>
        <w:rPr>
          <w:i/>
          <w:color w:val="231F20"/>
          <w:vertAlign w:val="baseline"/>
        </w:rPr>
        <w:t>Misuse,</w:t>
      </w:r>
      <w:r>
        <w:rPr>
          <w:i/>
          <w:color w:val="231F20"/>
          <w:spacing w:val="-9"/>
          <w:vertAlign w:val="baseline"/>
        </w:rPr>
        <w:t> </w:t>
      </w:r>
      <w:r>
        <w:rPr>
          <w:i/>
          <w:color w:val="231F20"/>
          <w:vertAlign w:val="baseline"/>
        </w:rPr>
        <w:t>52</w:t>
      </w:r>
      <w:r>
        <w:rPr>
          <w:color w:val="231F20"/>
          <w:vertAlign w:val="baseline"/>
        </w:rPr>
        <w:t>(9),</w:t>
      </w:r>
      <w:r>
        <w:rPr>
          <w:color w:val="231F20"/>
          <w:spacing w:val="-9"/>
          <w:vertAlign w:val="baseline"/>
        </w:rPr>
        <w:t> </w:t>
      </w:r>
      <w:r>
        <w:rPr>
          <w:color w:val="231F20"/>
          <w:vertAlign w:val="baseline"/>
        </w:rPr>
        <w:t>1151-1159.</w:t>
      </w:r>
      <w:r>
        <w:rPr>
          <w:color w:val="231F20"/>
          <w:spacing w:val="-8"/>
          <w:vertAlign w:val="baseline"/>
        </w:rPr>
        <w:t> </w:t>
      </w:r>
      <w:hyperlink r:id="rId180">
        <w:r>
          <w:rPr>
            <w:color w:val="3953A4"/>
            <w:u w:val="single" w:color="3953A4"/>
            <w:vertAlign w:val="baseline"/>
          </w:rPr>
          <w:t>https://doi.org/10.1080/</w:t>
        </w:r>
      </w:hyperlink>
      <w:r>
        <w:rPr>
          <w:color w:val="3953A4"/>
          <w:spacing w:val="-52"/>
          <w:vertAlign w:val="baseline"/>
        </w:rPr>
        <w:t> </w:t>
      </w:r>
      <w:hyperlink r:id="rId180">
        <w:r>
          <w:rPr>
            <w:color w:val="3953A4"/>
            <w:u w:val="single" w:color="3953A4"/>
            <w:vertAlign w:val="baseline"/>
          </w:rPr>
          <w:t>10826084.2017.1299182</w:t>
        </w:r>
      </w:hyperlink>
    </w:p>
    <w:p>
      <w:pPr>
        <w:spacing w:after="0" w:line="228" w:lineRule="auto"/>
        <w:sectPr>
          <w:type w:val="continuous"/>
          <w:pgSz w:w="12240" w:h="15840"/>
          <w:pgMar w:header="0" w:footer="666" w:top="1500" w:bottom="0" w:left="560" w:right="0"/>
          <w:cols w:num="2" w:equalWidth="0">
            <w:col w:w="5219" w:space="541"/>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BodyText"/>
        <w:tabs>
          <w:tab w:pos="519" w:val="left" w:leader="none"/>
        </w:tabs>
        <w:spacing w:line="228" w:lineRule="auto" w:before="101"/>
        <w:ind w:left="520" w:right="709" w:hanging="360"/>
      </w:pPr>
      <w:r>
        <w:rPr>
          <w:color w:val="010202"/>
          <w:vertAlign w:val="superscript"/>
        </w:rPr>
        <w:t>34</w:t>
      </w:r>
      <w:r>
        <w:rPr>
          <w:color w:val="010202"/>
          <w:vertAlign w:val="baseline"/>
        </w:rPr>
        <w:tab/>
      </w:r>
      <w:r>
        <w:rPr>
          <w:color w:val="010202"/>
          <w:spacing w:val="-1"/>
          <w:vertAlign w:val="baseline"/>
        </w:rPr>
        <w:t>Ru</w:t>
      </w:r>
      <w:r>
        <w:rPr>
          <w:color w:val="231F20"/>
          <w:spacing w:val="-1"/>
          <w:vertAlign w:val="baseline"/>
        </w:rPr>
        <w:t>dolph, A. E., </w:t>
      </w:r>
      <w:r>
        <w:rPr>
          <w:color w:val="231F20"/>
          <w:vertAlign w:val="baseline"/>
        </w:rPr>
        <w:t>Crawford, N. D., Ompad, D.</w:t>
      </w:r>
      <w:r>
        <w:rPr>
          <w:color w:val="231F20"/>
          <w:spacing w:val="-52"/>
          <w:vertAlign w:val="baseline"/>
        </w:rPr>
        <w:t> </w:t>
      </w:r>
      <w:r>
        <w:rPr>
          <w:color w:val="231F20"/>
          <w:vertAlign w:val="baseline"/>
        </w:rPr>
        <w:t>C.,</w:t>
      </w:r>
      <w:r>
        <w:rPr>
          <w:color w:val="231F20"/>
          <w:spacing w:val="-3"/>
          <w:vertAlign w:val="baseline"/>
        </w:rPr>
        <w:t> </w:t>
      </w:r>
      <w:r>
        <w:rPr>
          <w:color w:val="231F20"/>
          <w:vertAlign w:val="baseline"/>
        </w:rPr>
        <w:t>Benjamin,</w:t>
      </w:r>
      <w:r>
        <w:rPr>
          <w:color w:val="231F20"/>
          <w:spacing w:val="-3"/>
          <w:vertAlign w:val="baseline"/>
        </w:rPr>
        <w:t> </w:t>
      </w:r>
      <w:r>
        <w:rPr>
          <w:color w:val="231F20"/>
          <w:vertAlign w:val="baseline"/>
        </w:rPr>
        <w:t>E.</w:t>
      </w:r>
      <w:r>
        <w:rPr>
          <w:color w:val="231F20"/>
          <w:spacing w:val="-2"/>
          <w:vertAlign w:val="baseline"/>
        </w:rPr>
        <w:t> </w:t>
      </w:r>
      <w:r>
        <w:rPr>
          <w:color w:val="231F20"/>
          <w:vertAlign w:val="baseline"/>
        </w:rPr>
        <w:t>O.,</w:t>
      </w:r>
      <w:r>
        <w:rPr>
          <w:color w:val="231F20"/>
          <w:spacing w:val="-4"/>
          <w:vertAlign w:val="baseline"/>
        </w:rPr>
        <w:t> </w:t>
      </w:r>
      <w:r>
        <w:rPr>
          <w:color w:val="231F20"/>
          <w:vertAlign w:val="baseline"/>
        </w:rPr>
        <w:t>Stern,</w:t>
      </w:r>
      <w:r>
        <w:rPr>
          <w:color w:val="231F20"/>
          <w:spacing w:val="-3"/>
          <w:vertAlign w:val="baseline"/>
        </w:rPr>
        <w:t> </w:t>
      </w:r>
      <w:r>
        <w:rPr>
          <w:color w:val="231F20"/>
          <w:vertAlign w:val="baseline"/>
        </w:rPr>
        <w:t>R.</w:t>
      </w:r>
      <w:r>
        <w:rPr>
          <w:color w:val="231F20"/>
          <w:spacing w:val="-3"/>
          <w:vertAlign w:val="baseline"/>
        </w:rPr>
        <w:t> </w:t>
      </w:r>
      <w:r>
        <w:rPr>
          <w:color w:val="231F20"/>
          <w:vertAlign w:val="baseline"/>
        </w:rPr>
        <w:t>J.,</w:t>
      </w:r>
      <w:r>
        <w:rPr>
          <w:color w:val="231F20"/>
          <w:spacing w:val="-3"/>
          <w:vertAlign w:val="baseline"/>
        </w:rPr>
        <w:t> </w:t>
      </w:r>
      <w:r>
        <w:rPr>
          <w:color w:val="231F20"/>
          <w:vertAlign w:val="baseline"/>
        </w:rPr>
        <w:t>&amp;</w:t>
      </w:r>
      <w:r>
        <w:rPr>
          <w:color w:val="231F20"/>
          <w:spacing w:val="-3"/>
          <w:vertAlign w:val="baseline"/>
        </w:rPr>
        <w:t> </w:t>
      </w:r>
      <w:r>
        <w:rPr>
          <w:color w:val="231F20"/>
          <w:vertAlign w:val="baseline"/>
        </w:rPr>
        <w:t>Fuller,</w:t>
      </w:r>
      <w:r>
        <w:rPr>
          <w:color w:val="231F20"/>
          <w:spacing w:val="-3"/>
          <w:vertAlign w:val="baseline"/>
        </w:rPr>
        <w:t> </w:t>
      </w:r>
      <w:r>
        <w:rPr>
          <w:color w:val="231F20"/>
          <w:vertAlign w:val="baseline"/>
        </w:rPr>
        <w:t>C.</w:t>
      </w:r>
    </w:p>
    <w:p>
      <w:pPr>
        <w:pStyle w:val="BodyText"/>
        <w:spacing w:line="228" w:lineRule="auto"/>
        <w:ind w:left="520" w:right="48"/>
      </w:pPr>
      <w:r>
        <w:rPr>
          <w:color w:val="231F20"/>
        </w:rPr>
        <w:t>M. (2010). Comparison of injection drug users</w:t>
      </w:r>
      <w:r>
        <w:rPr>
          <w:color w:val="231F20"/>
          <w:spacing w:val="1"/>
        </w:rPr>
        <w:t> </w:t>
      </w:r>
      <w:r>
        <w:rPr>
          <w:color w:val="231F20"/>
        </w:rPr>
        <w:t>accessing syringes from pharmacies, syringe</w:t>
      </w:r>
      <w:r>
        <w:rPr>
          <w:color w:val="231F20"/>
          <w:spacing w:val="1"/>
        </w:rPr>
        <w:t> </w:t>
      </w:r>
      <w:r>
        <w:rPr>
          <w:color w:val="231F20"/>
        </w:rPr>
        <w:t>exchange programs, and other syringe sources to</w:t>
      </w:r>
      <w:r>
        <w:rPr>
          <w:color w:val="231F20"/>
          <w:spacing w:val="1"/>
        </w:rPr>
        <w:t> </w:t>
      </w:r>
      <w:r>
        <w:rPr>
          <w:color w:val="231F20"/>
        </w:rPr>
        <w:t>inform targeted HIV prevention and intervention</w:t>
      </w:r>
      <w:r>
        <w:rPr>
          <w:color w:val="231F20"/>
          <w:spacing w:val="1"/>
        </w:rPr>
        <w:t> </w:t>
      </w:r>
      <w:r>
        <w:rPr>
          <w:color w:val="231F20"/>
        </w:rPr>
        <w:t>strategies. </w:t>
      </w:r>
      <w:r>
        <w:rPr>
          <w:i/>
          <w:color w:val="231F20"/>
        </w:rPr>
        <w:t>Journal of the American Pharmacists</w:t>
      </w:r>
      <w:r>
        <w:rPr>
          <w:i/>
          <w:color w:val="231F20"/>
          <w:spacing w:val="1"/>
        </w:rPr>
        <w:t> </w:t>
      </w:r>
      <w:r>
        <w:rPr>
          <w:i/>
          <w:color w:val="231F20"/>
        </w:rPr>
        <w:t>Association,</w:t>
      </w:r>
      <w:r>
        <w:rPr>
          <w:i/>
          <w:color w:val="231F20"/>
          <w:spacing w:val="-7"/>
        </w:rPr>
        <w:t> </w:t>
      </w:r>
      <w:r>
        <w:rPr>
          <w:i/>
          <w:color w:val="231F20"/>
        </w:rPr>
        <w:t>50</w:t>
      </w:r>
      <w:r>
        <w:rPr>
          <w:color w:val="231F20"/>
        </w:rPr>
        <w:t>(2),</w:t>
      </w:r>
      <w:r>
        <w:rPr>
          <w:color w:val="231F20"/>
          <w:spacing w:val="-7"/>
        </w:rPr>
        <w:t> </w:t>
      </w:r>
      <w:r>
        <w:rPr>
          <w:color w:val="231F20"/>
        </w:rPr>
        <w:t>140-147.</w:t>
      </w:r>
      <w:r>
        <w:rPr>
          <w:color w:val="3953A4"/>
          <w:spacing w:val="-6"/>
        </w:rPr>
        <w:t> </w:t>
      </w:r>
      <w:hyperlink r:id="rId181">
        <w:r>
          <w:rPr>
            <w:color w:val="3953A4"/>
            <w:u w:val="single" w:color="3953A4"/>
          </w:rPr>
          <w:t>https://doi.org/10.1331/</w:t>
        </w:r>
      </w:hyperlink>
      <w:r>
        <w:rPr>
          <w:color w:val="3953A4"/>
          <w:spacing w:val="-52"/>
        </w:rPr>
        <w:t> </w:t>
      </w:r>
      <w:hyperlink r:id="rId181">
        <w:r>
          <w:rPr>
            <w:color w:val="3953A4"/>
            <w:u w:val="single" w:color="3953A4"/>
          </w:rPr>
          <w:t>japha.2010.09193</w:t>
        </w:r>
      </w:hyperlink>
    </w:p>
    <w:p>
      <w:pPr>
        <w:pStyle w:val="BodyText"/>
        <w:tabs>
          <w:tab w:pos="519" w:val="left" w:leader="none"/>
        </w:tabs>
        <w:spacing w:line="228" w:lineRule="auto" w:before="87"/>
        <w:ind w:left="520" w:right="227" w:hanging="360"/>
      </w:pPr>
      <w:r>
        <w:rPr>
          <w:color w:val="010202"/>
          <w:vertAlign w:val="superscript"/>
        </w:rPr>
        <w:t>35</w:t>
      </w:r>
      <w:r>
        <w:rPr>
          <w:color w:val="010202"/>
          <w:vertAlign w:val="baseline"/>
        </w:rPr>
        <w:tab/>
        <w:t>Hu</w:t>
      </w:r>
      <w:r>
        <w:rPr>
          <w:color w:val="231F20"/>
          <w:vertAlign w:val="baseline"/>
        </w:rPr>
        <w:t>o, D., Bailey, S. L., &amp; Ouellet, L. J. (2006).</w:t>
      </w:r>
      <w:r>
        <w:rPr>
          <w:color w:val="231F20"/>
          <w:spacing w:val="1"/>
          <w:vertAlign w:val="baseline"/>
        </w:rPr>
        <w:t> </w:t>
      </w:r>
      <w:r>
        <w:rPr>
          <w:color w:val="231F20"/>
          <w:vertAlign w:val="baseline"/>
        </w:rPr>
        <w:t>Cessation of injection drug use and change in</w:t>
      </w:r>
      <w:r>
        <w:rPr>
          <w:color w:val="231F20"/>
          <w:spacing w:val="1"/>
          <w:vertAlign w:val="baseline"/>
        </w:rPr>
        <w:t> </w:t>
      </w:r>
      <w:r>
        <w:rPr>
          <w:color w:val="231F20"/>
          <w:vertAlign w:val="baseline"/>
        </w:rPr>
        <w:t>injection</w:t>
      </w:r>
      <w:r>
        <w:rPr>
          <w:color w:val="231F20"/>
          <w:spacing w:val="-3"/>
          <w:vertAlign w:val="baseline"/>
        </w:rPr>
        <w:t> </w:t>
      </w:r>
      <w:r>
        <w:rPr>
          <w:color w:val="231F20"/>
          <w:vertAlign w:val="baseline"/>
        </w:rPr>
        <w:t>frequency:</w:t>
      </w:r>
      <w:r>
        <w:rPr>
          <w:color w:val="231F20"/>
          <w:spacing w:val="-8"/>
          <w:vertAlign w:val="baseline"/>
        </w:rPr>
        <w:t> </w:t>
      </w:r>
      <w:r>
        <w:rPr>
          <w:color w:val="231F20"/>
          <w:vertAlign w:val="baseline"/>
        </w:rPr>
        <w:t>The</w:t>
      </w:r>
      <w:r>
        <w:rPr>
          <w:color w:val="231F20"/>
          <w:spacing w:val="-3"/>
          <w:vertAlign w:val="baseline"/>
        </w:rPr>
        <w:t> </w:t>
      </w:r>
      <w:r>
        <w:rPr>
          <w:color w:val="231F20"/>
          <w:vertAlign w:val="baseline"/>
        </w:rPr>
        <w:t>Chicago</w:t>
      </w:r>
      <w:r>
        <w:rPr>
          <w:color w:val="231F20"/>
          <w:spacing w:val="-3"/>
          <w:vertAlign w:val="baseline"/>
        </w:rPr>
        <w:t> </w:t>
      </w:r>
      <w:r>
        <w:rPr>
          <w:color w:val="231F20"/>
          <w:vertAlign w:val="baseline"/>
        </w:rPr>
        <w:t>needle</w:t>
      </w:r>
      <w:r>
        <w:rPr>
          <w:color w:val="231F20"/>
          <w:spacing w:val="-2"/>
          <w:vertAlign w:val="baseline"/>
        </w:rPr>
        <w:t> </w:t>
      </w:r>
      <w:r>
        <w:rPr>
          <w:color w:val="231F20"/>
          <w:vertAlign w:val="baseline"/>
        </w:rPr>
        <w:t>exchange</w:t>
      </w:r>
      <w:r>
        <w:rPr>
          <w:color w:val="231F20"/>
          <w:spacing w:val="-52"/>
          <w:vertAlign w:val="baseline"/>
        </w:rPr>
        <w:t> </w:t>
      </w:r>
      <w:r>
        <w:rPr>
          <w:color w:val="231F20"/>
          <w:vertAlign w:val="baseline"/>
        </w:rPr>
        <w:t>evaluation study. </w:t>
      </w:r>
      <w:r>
        <w:rPr>
          <w:i/>
          <w:color w:val="231F20"/>
          <w:vertAlign w:val="baseline"/>
        </w:rPr>
        <w:t>Addiction, 101</w:t>
      </w:r>
      <w:r>
        <w:rPr>
          <w:color w:val="231F20"/>
          <w:vertAlign w:val="baseline"/>
        </w:rPr>
        <w:t>(11), 1606-1613.</w:t>
      </w:r>
      <w:r>
        <w:rPr>
          <w:color w:val="231F20"/>
          <w:spacing w:val="1"/>
          <w:vertAlign w:val="baseline"/>
        </w:rPr>
        <w:t> </w:t>
      </w:r>
      <w:hyperlink r:id="rId182">
        <w:r>
          <w:rPr>
            <w:color w:val="3953A4"/>
            <w:u w:val="single" w:color="3953A4"/>
            <w:vertAlign w:val="baseline"/>
          </w:rPr>
          <w:t>https://doi.org/10.1111/j.1360-0443.2006.01577.x</w:t>
        </w:r>
      </w:hyperlink>
    </w:p>
    <w:p>
      <w:pPr>
        <w:pStyle w:val="BodyText"/>
        <w:tabs>
          <w:tab w:pos="519" w:val="left" w:leader="none"/>
        </w:tabs>
        <w:spacing w:line="228" w:lineRule="auto" w:before="88"/>
        <w:ind w:left="520" w:right="38" w:hanging="360"/>
      </w:pPr>
      <w:r>
        <w:rPr>
          <w:color w:val="231F20"/>
          <w:vertAlign w:val="superscript"/>
        </w:rPr>
        <w:t>36</w:t>
      </w:r>
      <w:r>
        <w:rPr>
          <w:color w:val="231F20"/>
          <w:vertAlign w:val="baseline"/>
        </w:rPr>
        <w:tab/>
      </w:r>
      <w:r>
        <w:rPr>
          <w:color w:val="231F20"/>
          <w:spacing w:val="-1"/>
          <w:vertAlign w:val="baseline"/>
        </w:rPr>
        <w:t>North American Syringe Exchange </w:t>
      </w:r>
      <w:r>
        <w:rPr>
          <w:color w:val="231F20"/>
          <w:vertAlign w:val="baseline"/>
        </w:rPr>
        <w:t>Network. (n.d.).</w:t>
      </w:r>
      <w:r>
        <w:rPr>
          <w:color w:val="231F20"/>
          <w:spacing w:val="1"/>
          <w:vertAlign w:val="baseline"/>
        </w:rPr>
        <w:t> </w:t>
      </w:r>
      <w:r>
        <w:rPr>
          <w:i/>
          <w:color w:val="231F20"/>
          <w:vertAlign w:val="baseline"/>
        </w:rPr>
        <w:t>SEP</w:t>
      </w:r>
      <w:r>
        <w:rPr>
          <w:i/>
          <w:color w:val="231F20"/>
          <w:spacing w:val="-7"/>
          <w:vertAlign w:val="baseline"/>
        </w:rPr>
        <w:t> </w:t>
      </w:r>
      <w:r>
        <w:rPr>
          <w:i/>
          <w:color w:val="231F20"/>
          <w:vertAlign w:val="baseline"/>
        </w:rPr>
        <w:t>locations</w:t>
      </w:r>
      <w:r>
        <w:rPr>
          <w:color w:val="231F20"/>
          <w:vertAlign w:val="baseline"/>
        </w:rPr>
        <w:t>.</w:t>
      </w:r>
      <w:r>
        <w:rPr>
          <w:color w:val="231F20"/>
          <w:spacing w:val="-2"/>
          <w:vertAlign w:val="baseline"/>
        </w:rPr>
        <w:t> </w:t>
      </w:r>
      <w:r>
        <w:rPr>
          <w:color w:val="231F20"/>
          <w:vertAlign w:val="baseline"/>
        </w:rPr>
        <w:t>Retrieved</w:t>
      </w:r>
      <w:r>
        <w:rPr>
          <w:color w:val="231F20"/>
          <w:spacing w:val="-2"/>
          <w:vertAlign w:val="baseline"/>
        </w:rPr>
        <w:t> </w:t>
      </w:r>
      <w:r>
        <w:rPr>
          <w:color w:val="231F20"/>
          <w:vertAlign w:val="baseline"/>
        </w:rPr>
        <w:t>July</w:t>
      </w:r>
      <w:r>
        <w:rPr>
          <w:color w:val="231F20"/>
          <w:spacing w:val="-4"/>
          <w:vertAlign w:val="baseline"/>
        </w:rPr>
        <w:t> </w:t>
      </w:r>
      <w:r>
        <w:rPr>
          <w:color w:val="231F20"/>
          <w:vertAlign w:val="baseline"/>
        </w:rPr>
        <w:t>17,</w:t>
      </w:r>
      <w:r>
        <w:rPr>
          <w:color w:val="231F20"/>
          <w:spacing w:val="-2"/>
          <w:vertAlign w:val="baseline"/>
        </w:rPr>
        <w:t> </w:t>
      </w:r>
      <w:r>
        <w:rPr>
          <w:color w:val="231F20"/>
          <w:vertAlign w:val="baseline"/>
        </w:rPr>
        <w:t>2020,</w:t>
      </w:r>
      <w:r>
        <w:rPr>
          <w:color w:val="231F20"/>
          <w:spacing w:val="-2"/>
          <w:vertAlign w:val="baseline"/>
        </w:rPr>
        <w:t> </w:t>
      </w:r>
      <w:r>
        <w:rPr>
          <w:color w:val="231F20"/>
          <w:vertAlign w:val="baseline"/>
        </w:rPr>
        <w:t>from</w:t>
      </w:r>
      <w:r>
        <w:rPr>
          <w:color w:val="231F20"/>
          <w:spacing w:val="-3"/>
          <w:vertAlign w:val="baseline"/>
        </w:rPr>
        <w:t> </w:t>
      </w:r>
      <w:hyperlink r:id="rId183">
        <w:r>
          <w:rPr>
            <w:color w:val="3953A4"/>
            <w:u w:val="single" w:color="3953A4"/>
            <w:vertAlign w:val="baseline"/>
          </w:rPr>
          <w:t>https://</w:t>
        </w:r>
      </w:hyperlink>
      <w:r>
        <w:rPr>
          <w:color w:val="3953A4"/>
          <w:spacing w:val="-52"/>
          <w:vertAlign w:val="baseline"/>
        </w:rPr>
        <w:t> </w:t>
      </w:r>
      <w:hyperlink r:id="rId183">
        <w:r>
          <w:rPr>
            <w:color w:val="3953A4"/>
            <w:u w:val="single" w:color="3953A4"/>
            <w:vertAlign w:val="baseline"/>
          </w:rPr>
          <w:t>nasen.org/map/</w:t>
        </w:r>
      </w:hyperlink>
    </w:p>
    <w:p>
      <w:pPr>
        <w:tabs>
          <w:tab w:pos="519" w:val="left" w:leader="none"/>
        </w:tabs>
        <w:spacing w:line="228" w:lineRule="auto" w:before="89"/>
        <w:ind w:left="520" w:right="667" w:hanging="360"/>
        <w:jc w:val="left"/>
        <w:rPr>
          <w:sz w:val="22"/>
        </w:rPr>
      </w:pPr>
      <w:r>
        <w:rPr>
          <w:color w:val="010202"/>
          <w:sz w:val="22"/>
          <w:vertAlign w:val="superscript"/>
        </w:rPr>
        <w:t>37</w:t>
      </w:r>
      <w:r>
        <w:rPr>
          <w:color w:val="010202"/>
          <w:sz w:val="22"/>
          <w:vertAlign w:val="baseline"/>
        </w:rPr>
        <w:tab/>
      </w:r>
      <w:r>
        <w:rPr>
          <w:color w:val="010202"/>
          <w:spacing w:val="-1"/>
          <w:sz w:val="22"/>
          <w:vertAlign w:val="baseline"/>
        </w:rPr>
        <w:t>B</w:t>
      </w:r>
      <w:r>
        <w:rPr>
          <w:color w:val="231F20"/>
          <w:spacing w:val="-1"/>
          <w:sz w:val="22"/>
          <w:vertAlign w:val="baseline"/>
        </w:rPr>
        <w:t>enyo, A. (2006). </w:t>
      </w:r>
      <w:r>
        <w:rPr>
          <w:i/>
          <w:color w:val="231F20"/>
          <w:spacing w:val="-1"/>
          <w:sz w:val="22"/>
          <w:vertAlign w:val="baseline"/>
        </w:rPr>
        <w:t>Promoting </w:t>
      </w:r>
      <w:r>
        <w:rPr>
          <w:i/>
          <w:color w:val="231F20"/>
          <w:sz w:val="22"/>
          <w:vertAlign w:val="baseline"/>
        </w:rPr>
        <w:t>secondary</w:t>
      </w:r>
      <w:r>
        <w:rPr>
          <w:i/>
          <w:color w:val="231F20"/>
          <w:spacing w:val="1"/>
          <w:sz w:val="22"/>
          <w:vertAlign w:val="baseline"/>
        </w:rPr>
        <w:t> </w:t>
      </w:r>
      <w:r>
        <w:rPr>
          <w:i/>
          <w:color w:val="231F20"/>
          <w:sz w:val="22"/>
          <w:vertAlign w:val="baseline"/>
        </w:rPr>
        <w:t>exchange: Opportunities to advance public</w:t>
      </w:r>
      <w:r>
        <w:rPr>
          <w:i/>
          <w:color w:val="231F20"/>
          <w:spacing w:val="1"/>
          <w:sz w:val="22"/>
          <w:vertAlign w:val="baseline"/>
        </w:rPr>
        <w:t> </w:t>
      </w:r>
      <w:r>
        <w:rPr>
          <w:i/>
          <w:color w:val="231F20"/>
          <w:sz w:val="22"/>
          <w:vertAlign w:val="baseline"/>
        </w:rPr>
        <w:t>health</w:t>
      </w:r>
      <w:r>
        <w:rPr>
          <w:color w:val="231F20"/>
          <w:sz w:val="22"/>
          <w:vertAlign w:val="baseline"/>
        </w:rPr>
        <w:t>.</w:t>
      </w:r>
      <w:r>
        <w:rPr>
          <w:color w:val="231F20"/>
          <w:spacing w:val="-7"/>
          <w:sz w:val="22"/>
          <w:vertAlign w:val="baseline"/>
        </w:rPr>
        <w:t> </w:t>
      </w:r>
      <w:r>
        <w:rPr>
          <w:color w:val="231F20"/>
          <w:sz w:val="22"/>
          <w:vertAlign w:val="baseline"/>
        </w:rPr>
        <w:t>The</w:t>
      </w:r>
      <w:r>
        <w:rPr>
          <w:color w:val="231F20"/>
          <w:spacing w:val="-3"/>
          <w:sz w:val="22"/>
          <w:vertAlign w:val="baseline"/>
        </w:rPr>
        <w:t> </w:t>
      </w:r>
      <w:r>
        <w:rPr>
          <w:color w:val="231F20"/>
          <w:sz w:val="22"/>
          <w:vertAlign w:val="baseline"/>
        </w:rPr>
        <w:t>Harm</w:t>
      </w:r>
      <w:r>
        <w:rPr>
          <w:color w:val="231F20"/>
          <w:spacing w:val="-5"/>
          <w:sz w:val="22"/>
          <w:vertAlign w:val="baseline"/>
        </w:rPr>
        <w:t> </w:t>
      </w:r>
      <w:r>
        <w:rPr>
          <w:color w:val="231F20"/>
          <w:sz w:val="22"/>
          <w:vertAlign w:val="baseline"/>
        </w:rPr>
        <w:t>Reduction</w:t>
      </w:r>
      <w:r>
        <w:rPr>
          <w:color w:val="231F20"/>
          <w:spacing w:val="-3"/>
          <w:sz w:val="22"/>
          <w:vertAlign w:val="baseline"/>
        </w:rPr>
        <w:t> </w:t>
      </w:r>
      <w:r>
        <w:rPr>
          <w:color w:val="231F20"/>
          <w:sz w:val="22"/>
          <w:vertAlign w:val="baseline"/>
        </w:rPr>
        <w:t>Coalition.</w:t>
      </w:r>
      <w:r>
        <w:rPr>
          <w:color w:val="231F20"/>
          <w:spacing w:val="-3"/>
          <w:sz w:val="22"/>
          <w:vertAlign w:val="baseline"/>
        </w:rPr>
        <w:t> </w:t>
      </w:r>
      <w:hyperlink r:id="rId184">
        <w:r>
          <w:rPr>
            <w:color w:val="3953A4"/>
            <w:sz w:val="22"/>
            <w:u w:val="single" w:color="3953A4"/>
            <w:vertAlign w:val="baseline"/>
          </w:rPr>
          <w:t>http://</w:t>
        </w:r>
      </w:hyperlink>
    </w:p>
    <w:p>
      <w:pPr>
        <w:pStyle w:val="BodyText"/>
        <w:spacing w:line="228" w:lineRule="auto"/>
        <w:ind w:left="520" w:right="48"/>
      </w:pPr>
      <w:hyperlink r:id="rId184">
        <w:r>
          <w:rPr>
            <w:color w:val="3953A4"/>
            <w:spacing w:val="-1"/>
            <w:u w:val="single" w:color="3953A4"/>
          </w:rPr>
          <w:t>harmreduction.org/hrc/wp-content/uploads/2012/01/</w:t>
        </w:r>
      </w:hyperlink>
      <w:r>
        <w:rPr>
          <w:color w:val="3953A4"/>
          <w:spacing w:val="-52"/>
        </w:rPr>
        <w:t> </w:t>
      </w:r>
      <w:hyperlink r:id="rId184">
        <w:r>
          <w:rPr>
            <w:color w:val="3953A4"/>
            <w:u w:val="single" w:color="3953A4"/>
          </w:rPr>
          <w:t>promotingsecondaryexchange.pdf</w:t>
        </w:r>
      </w:hyperlink>
    </w:p>
    <w:p>
      <w:pPr>
        <w:tabs>
          <w:tab w:pos="519" w:val="left" w:leader="none"/>
        </w:tabs>
        <w:spacing w:line="228" w:lineRule="auto" w:before="89"/>
        <w:ind w:left="519" w:right="167" w:hanging="360"/>
        <w:jc w:val="left"/>
        <w:rPr>
          <w:sz w:val="22"/>
        </w:rPr>
      </w:pPr>
      <w:r>
        <w:rPr>
          <w:color w:val="010202"/>
          <w:sz w:val="22"/>
          <w:vertAlign w:val="superscript"/>
        </w:rPr>
        <w:t>38</w:t>
      </w:r>
      <w:r>
        <w:rPr>
          <w:color w:val="010202"/>
          <w:sz w:val="22"/>
          <w:vertAlign w:val="baseline"/>
        </w:rPr>
        <w:tab/>
        <w:t>C</w:t>
      </w:r>
      <w:r>
        <w:rPr>
          <w:color w:val="231F20"/>
          <w:sz w:val="22"/>
          <w:vertAlign w:val="baseline"/>
        </w:rPr>
        <w:t>ooper, H., Des Jarlais, D., Ross, Z., Tempalski,</w:t>
      </w:r>
      <w:r>
        <w:rPr>
          <w:color w:val="231F20"/>
          <w:spacing w:val="1"/>
          <w:sz w:val="22"/>
          <w:vertAlign w:val="baseline"/>
        </w:rPr>
        <w:t> </w:t>
      </w:r>
      <w:r>
        <w:rPr>
          <w:color w:val="231F20"/>
          <w:sz w:val="22"/>
          <w:vertAlign w:val="baseline"/>
        </w:rPr>
        <w:t>B., Bossak, B. H., &amp; Friedman, S. R. (2012).</w:t>
      </w:r>
      <w:r>
        <w:rPr>
          <w:color w:val="231F20"/>
          <w:spacing w:val="1"/>
          <w:sz w:val="22"/>
          <w:vertAlign w:val="baseline"/>
        </w:rPr>
        <w:t> </w:t>
      </w:r>
      <w:r>
        <w:rPr>
          <w:color w:val="231F20"/>
          <w:sz w:val="22"/>
          <w:vertAlign w:val="baseline"/>
        </w:rPr>
        <w:t>Spatial access to sterile syringes and the odds of</w:t>
      </w:r>
      <w:r>
        <w:rPr>
          <w:color w:val="231F20"/>
          <w:spacing w:val="1"/>
          <w:sz w:val="22"/>
          <w:vertAlign w:val="baseline"/>
        </w:rPr>
        <w:t> </w:t>
      </w:r>
      <w:r>
        <w:rPr>
          <w:color w:val="231F20"/>
          <w:sz w:val="22"/>
          <w:vertAlign w:val="baseline"/>
        </w:rPr>
        <w:t>injecting with an unsterile syringe among injectors:</w:t>
      </w:r>
      <w:r>
        <w:rPr>
          <w:color w:val="231F20"/>
          <w:spacing w:val="-52"/>
          <w:sz w:val="22"/>
          <w:vertAlign w:val="baseline"/>
        </w:rPr>
        <w:t> </w:t>
      </w:r>
      <w:r>
        <w:rPr>
          <w:color w:val="231F20"/>
          <w:spacing w:val="-1"/>
          <w:sz w:val="22"/>
          <w:vertAlign w:val="baseline"/>
        </w:rPr>
        <w:t>A longitudinal multilevel study. </w:t>
      </w:r>
      <w:r>
        <w:rPr>
          <w:i/>
          <w:color w:val="231F20"/>
          <w:sz w:val="22"/>
          <w:vertAlign w:val="baseline"/>
        </w:rPr>
        <w:t>Journal of Urban</w:t>
      </w:r>
      <w:r>
        <w:rPr>
          <w:i/>
          <w:color w:val="231F20"/>
          <w:spacing w:val="1"/>
          <w:sz w:val="22"/>
          <w:vertAlign w:val="baseline"/>
        </w:rPr>
        <w:t> </w:t>
      </w:r>
      <w:r>
        <w:rPr>
          <w:i/>
          <w:color w:val="231F20"/>
          <w:sz w:val="22"/>
          <w:vertAlign w:val="baseline"/>
        </w:rPr>
        <w:t>Health: Bulletin of the New York Academy of</w:t>
      </w:r>
      <w:r>
        <w:rPr>
          <w:i/>
          <w:color w:val="231F20"/>
          <w:spacing w:val="1"/>
          <w:sz w:val="22"/>
          <w:vertAlign w:val="baseline"/>
        </w:rPr>
        <w:t> </w:t>
      </w:r>
      <w:r>
        <w:rPr>
          <w:i/>
          <w:color w:val="231F20"/>
          <w:sz w:val="22"/>
          <w:vertAlign w:val="baseline"/>
        </w:rPr>
        <w:t>Medicine, 89</w:t>
      </w:r>
      <w:r>
        <w:rPr>
          <w:color w:val="231F20"/>
          <w:sz w:val="22"/>
          <w:vertAlign w:val="baseline"/>
        </w:rPr>
        <w:t>(4), 678-696. </w:t>
      </w:r>
      <w:hyperlink r:id="rId185">
        <w:r>
          <w:rPr>
            <w:color w:val="3953A4"/>
            <w:sz w:val="22"/>
            <w:u w:val="single" w:color="3953A4"/>
            <w:vertAlign w:val="baseline"/>
          </w:rPr>
          <w:t>https://doi.org/10.1007/</w:t>
        </w:r>
      </w:hyperlink>
      <w:r>
        <w:rPr>
          <w:color w:val="3953A4"/>
          <w:spacing w:val="1"/>
          <w:sz w:val="22"/>
          <w:vertAlign w:val="baseline"/>
        </w:rPr>
        <w:t> </w:t>
      </w:r>
      <w:hyperlink r:id="rId185">
        <w:r>
          <w:rPr>
            <w:color w:val="3953A4"/>
            <w:sz w:val="22"/>
            <w:u w:val="single" w:color="3953A4"/>
            <w:vertAlign w:val="baseline"/>
          </w:rPr>
          <w:t>s11524-012-9673-y</w:t>
        </w:r>
      </w:hyperlink>
    </w:p>
    <w:p>
      <w:pPr>
        <w:pStyle w:val="BodyText"/>
        <w:tabs>
          <w:tab w:pos="519" w:val="left" w:leader="none"/>
        </w:tabs>
        <w:spacing w:line="228" w:lineRule="auto" w:before="87"/>
        <w:ind w:left="520" w:right="431" w:hanging="360"/>
      </w:pPr>
      <w:r>
        <w:rPr>
          <w:color w:val="010202"/>
          <w:vertAlign w:val="superscript"/>
        </w:rPr>
        <w:t>39</w:t>
      </w:r>
      <w:r>
        <w:rPr>
          <w:color w:val="010202"/>
          <w:vertAlign w:val="baseline"/>
        </w:rPr>
        <w:tab/>
      </w:r>
      <w:r>
        <w:rPr>
          <w:color w:val="010202"/>
          <w:spacing w:val="-1"/>
          <w:vertAlign w:val="baseline"/>
        </w:rPr>
        <w:t>W</w:t>
      </w:r>
      <w:r>
        <w:rPr>
          <w:color w:val="231F20"/>
          <w:spacing w:val="-1"/>
          <w:vertAlign w:val="baseline"/>
        </w:rPr>
        <w:t>elch-Lazoritz,</w:t>
      </w:r>
      <w:r>
        <w:rPr>
          <w:color w:val="231F20"/>
          <w:spacing w:val="-13"/>
          <w:vertAlign w:val="baseline"/>
        </w:rPr>
        <w:t> </w:t>
      </w:r>
      <w:r>
        <w:rPr>
          <w:color w:val="231F20"/>
          <w:vertAlign w:val="baseline"/>
        </w:rPr>
        <w:t>M.,</w:t>
      </w:r>
      <w:r>
        <w:rPr>
          <w:color w:val="231F20"/>
          <w:spacing w:val="-13"/>
          <w:vertAlign w:val="baseline"/>
        </w:rPr>
        <w:t> </w:t>
      </w:r>
      <w:r>
        <w:rPr>
          <w:color w:val="231F20"/>
          <w:vertAlign w:val="baseline"/>
        </w:rPr>
        <w:t>Habecker,</w:t>
      </w:r>
      <w:r>
        <w:rPr>
          <w:color w:val="231F20"/>
          <w:spacing w:val="-12"/>
          <w:vertAlign w:val="baseline"/>
        </w:rPr>
        <w:t> </w:t>
      </w:r>
      <w:r>
        <w:rPr>
          <w:color w:val="231F20"/>
          <w:vertAlign w:val="baseline"/>
        </w:rPr>
        <w:t>P.,</w:t>
      </w:r>
      <w:r>
        <w:rPr>
          <w:color w:val="231F20"/>
          <w:spacing w:val="-12"/>
          <w:vertAlign w:val="baseline"/>
        </w:rPr>
        <w:t> </w:t>
      </w:r>
      <w:r>
        <w:rPr>
          <w:color w:val="231F20"/>
          <w:vertAlign w:val="baseline"/>
        </w:rPr>
        <w:t>Dombrowski,</w:t>
      </w:r>
      <w:r>
        <w:rPr>
          <w:color w:val="231F20"/>
          <w:spacing w:val="-52"/>
          <w:vertAlign w:val="baseline"/>
        </w:rPr>
        <w:t> </w:t>
      </w:r>
      <w:r>
        <w:rPr>
          <w:color w:val="231F20"/>
          <w:spacing w:val="-2"/>
          <w:vertAlign w:val="baseline"/>
        </w:rPr>
        <w:t>K., Villegas, A. </w:t>
      </w:r>
      <w:r>
        <w:rPr>
          <w:color w:val="231F20"/>
          <w:spacing w:val="-1"/>
          <w:vertAlign w:val="baseline"/>
        </w:rPr>
        <w:t>R., Davila, C. A., Colón, Y. R.,</w:t>
      </w:r>
      <w:r>
        <w:rPr>
          <w:color w:val="231F20"/>
          <w:vertAlign w:val="baseline"/>
        </w:rPr>
        <w:t> &amp; De León, S. M. (2017). Differential access to</w:t>
      </w:r>
      <w:r>
        <w:rPr>
          <w:color w:val="231F20"/>
          <w:spacing w:val="1"/>
          <w:vertAlign w:val="baseline"/>
        </w:rPr>
        <w:t> </w:t>
      </w:r>
      <w:r>
        <w:rPr>
          <w:color w:val="231F20"/>
          <w:vertAlign w:val="baseline"/>
        </w:rPr>
        <w:t>syringe</w:t>
      </w:r>
      <w:r>
        <w:rPr>
          <w:color w:val="231F20"/>
          <w:spacing w:val="-3"/>
          <w:vertAlign w:val="baseline"/>
        </w:rPr>
        <w:t> </w:t>
      </w:r>
      <w:r>
        <w:rPr>
          <w:color w:val="231F20"/>
          <w:vertAlign w:val="baseline"/>
        </w:rPr>
        <w:t>exchange</w:t>
      </w:r>
      <w:r>
        <w:rPr>
          <w:color w:val="231F20"/>
          <w:spacing w:val="-1"/>
          <w:vertAlign w:val="baseline"/>
        </w:rPr>
        <w:t> </w:t>
      </w:r>
      <w:r>
        <w:rPr>
          <w:color w:val="231F20"/>
          <w:vertAlign w:val="baseline"/>
        </w:rPr>
        <w:t>and</w:t>
      </w:r>
      <w:r>
        <w:rPr>
          <w:color w:val="231F20"/>
          <w:spacing w:val="-1"/>
          <w:vertAlign w:val="baseline"/>
        </w:rPr>
        <w:t> </w:t>
      </w:r>
      <w:r>
        <w:rPr>
          <w:color w:val="231F20"/>
          <w:vertAlign w:val="baseline"/>
        </w:rPr>
        <w:t>other</w:t>
      </w:r>
      <w:r>
        <w:rPr>
          <w:color w:val="231F20"/>
          <w:spacing w:val="-1"/>
          <w:vertAlign w:val="baseline"/>
        </w:rPr>
        <w:t> </w:t>
      </w:r>
      <w:r>
        <w:rPr>
          <w:color w:val="231F20"/>
          <w:vertAlign w:val="baseline"/>
        </w:rPr>
        <w:t>prevention</w:t>
      </w:r>
      <w:r>
        <w:rPr>
          <w:color w:val="231F20"/>
          <w:spacing w:val="-1"/>
          <w:vertAlign w:val="baseline"/>
        </w:rPr>
        <w:t> </w:t>
      </w:r>
      <w:r>
        <w:rPr>
          <w:color w:val="231F20"/>
          <w:vertAlign w:val="baseline"/>
        </w:rPr>
        <w:t>activities</w:t>
      </w:r>
    </w:p>
    <w:p>
      <w:pPr>
        <w:spacing w:line="228" w:lineRule="auto" w:before="0"/>
        <w:ind w:left="519" w:right="287" w:firstLine="0"/>
        <w:jc w:val="left"/>
        <w:rPr>
          <w:sz w:val="22"/>
        </w:rPr>
      </w:pPr>
      <w:r>
        <w:rPr>
          <w:color w:val="231F20"/>
          <w:sz w:val="22"/>
        </w:rPr>
        <w:t>among people who inject drugs in rural and urban</w:t>
      </w:r>
      <w:r>
        <w:rPr>
          <w:color w:val="231F20"/>
          <w:spacing w:val="-52"/>
          <w:sz w:val="22"/>
        </w:rPr>
        <w:t> </w:t>
      </w:r>
      <w:r>
        <w:rPr>
          <w:color w:val="231F20"/>
          <w:sz w:val="22"/>
        </w:rPr>
        <w:t>areas of Puerto Rico. </w:t>
      </w:r>
      <w:r>
        <w:rPr>
          <w:i/>
          <w:color w:val="231F20"/>
          <w:sz w:val="22"/>
        </w:rPr>
        <w:t>International Journal of</w:t>
      </w:r>
      <w:r>
        <w:rPr>
          <w:i/>
          <w:color w:val="231F20"/>
          <w:spacing w:val="1"/>
          <w:sz w:val="22"/>
        </w:rPr>
        <w:t> </w:t>
      </w:r>
      <w:r>
        <w:rPr>
          <w:i/>
          <w:color w:val="231F20"/>
          <w:sz w:val="22"/>
        </w:rPr>
        <w:t>Drug Policy, 43</w:t>
      </w:r>
      <w:r>
        <w:rPr>
          <w:color w:val="231F20"/>
          <w:sz w:val="22"/>
        </w:rPr>
        <w:t>, 16-22. </w:t>
      </w:r>
      <w:hyperlink r:id="rId186">
        <w:r>
          <w:rPr>
            <w:color w:val="3953A4"/>
            <w:sz w:val="22"/>
            <w:u w:val="single" w:color="3953A4"/>
          </w:rPr>
          <w:t>https://doi.org/10.1016/j.</w:t>
        </w:r>
      </w:hyperlink>
      <w:r>
        <w:rPr>
          <w:color w:val="3953A4"/>
          <w:spacing w:val="-52"/>
          <w:sz w:val="22"/>
        </w:rPr>
        <w:t> </w:t>
      </w:r>
      <w:hyperlink r:id="rId186">
        <w:r>
          <w:rPr>
            <w:color w:val="3953A4"/>
            <w:sz w:val="22"/>
            <w:u w:val="single" w:color="3953A4"/>
          </w:rPr>
          <w:t>drugpo.2016.12.011</w:t>
        </w:r>
      </w:hyperlink>
    </w:p>
    <w:p>
      <w:pPr>
        <w:tabs>
          <w:tab w:pos="519" w:val="left" w:leader="none"/>
        </w:tabs>
        <w:spacing w:line="228" w:lineRule="auto" w:before="88"/>
        <w:ind w:left="520" w:right="897" w:hanging="360"/>
        <w:jc w:val="left"/>
        <w:rPr>
          <w:sz w:val="22"/>
        </w:rPr>
      </w:pPr>
      <w:r>
        <w:rPr>
          <w:color w:val="010202"/>
          <w:sz w:val="22"/>
          <w:vertAlign w:val="superscript"/>
        </w:rPr>
        <w:t>40</w:t>
      </w:r>
      <w:r>
        <w:rPr>
          <w:color w:val="010202"/>
          <w:sz w:val="22"/>
          <w:vertAlign w:val="baseline"/>
        </w:rPr>
        <w:tab/>
        <w:t>A</w:t>
      </w:r>
      <w:r>
        <w:rPr>
          <w:color w:val="231F20"/>
          <w:sz w:val="22"/>
          <w:vertAlign w:val="baseline"/>
        </w:rPr>
        <w:t>IDS Projects Management Group. (2007)</w:t>
      </w:r>
      <w:r>
        <w:rPr>
          <w:color w:val="231F20"/>
          <w:spacing w:val="-53"/>
          <w:sz w:val="22"/>
          <w:vertAlign w:val="baseline"/>
        </w:rPr>
        <w:t> </w:t>
      </w:r>
      <w:r>
        <w:rPr>
          <w:i/>
          <w:color w:val="231F20"/>
          <w:sz w:val="22"/>
          <w:vertAlign w:val="baseline"/>
        </w:rPr>
        <w:t>Guide</w:t>
      </w:r>
      <w:r>
        <w:rPr>
          <w:i/>
          <w:color w:val="231F20"/>
          <w:spacing w:val="2"/>
          <w:sz w:val="22"/>
          <w:vertAlign w:val="baseline"/>
        </w:rPr>
        <w:t> </w:t>
      </w:r>
      <w:r>
        <w:rPr>
          <w:i/>
          <w:color w:val="231F20"/>
          <w:sz w:val="22"/>
          <w:vertAlign w:val="baseline"/>
        </w:rPr>
        <w:t>to</w:t>
      </w:r>
      <w:r>
        <w:rPr>
          <w:i/>
          <w:color w:val="231F20"/>
          <w:spacing w:val="3"/>
          <w:sz w:val="22"/>
          <w:vertAlign w:val="baseline"/>
        </w:rPr>
        <w:t> </w:t>
      </w:r>
      <w:r>
        <w:rPr>
          <w:i/>
          <w:color w:val="231F20"/>
          <w:sz w:val="22"/>
          <w:vertAlign w:val="baseline"/>
        </w:rPr>
        <w:t>starting</w:t>
      </w:r>
      <w:r>
        <w:rPr>
          <w:i/>
          <w:color w:val="231F20"/>
          <w:spacing w:val="2"/>
          <w:sz w:val="22"/>
          <w:vertAlign w:val="baseline"/>
        </w:rPr>
        <w:t> </w:t>
      </w:r>
      <w:r>
        <w:rPr>
          <w:i/>
          <w:color w:val="231F20"/>
          <w:sz w:val="22"/>
          <w:vertAlign w:val="baseline"/>
        </w:rPr>
        <w:t>and</w:t>
      </w:r>
      <w:r>
        <w:rPr>
          <w:i/>
          <w:color w:val="231F20"/>
          <w:spacing w:val="4"/>
          <w:sz w:val="22"/>
          <w:vertAlign w:val="baseline"/>
        </w:rPr>
        <w:t> </w:t>
      </w:r>
      <w:r>
        <w:rPr>
          <w:i/>
          <w:color w:val="231F20"/>
          <w:sz w:val="22"/>
          <w:vertAlign w:val="baseline"/>
        </w:rPr>
        <w:t>managing</w:t>
      </w:r>
      <w:r>
        <w:rPr>
          <w:i/>
          <w:color w:val="231F20"/>
          <w:spacing w:val="2"/>
          <w:sz w:val="22"/>
          <w:vertAlign w:val="baseline"/>
        </w:rPr>
        <w:t> </w:t>
      </w:r>
      <w:r>
        <w:rPr>
          <w:i/>
          <w:color w:val="231F20"/>
          <w:sz w:val="22"/>
          <w:vertAlign w:val="baseline"/>
        </w:rPr>
        <w:t>needle</w:t>
      </w:r>
      <w:r>
        <w:rPr>
          <w:i/>
          <w:color w:val="231F20"/>
          <w:spacing w:val="1"/>
          <w:sz w:val="22"/>
          <w:vertAlign w:val="baseline"/>
        </w:rPr>
        <w:t> </w:t>
      </w:r>
      <w:r>
        <w:rPr>
          <w:i/>
          <w:color w:val="231F20"/>
          <w:sz w:val="22"/>
          <w:vertAlign w:val="baseline"/>
        </w:rPr>
        <w:t>and</w:t>
      </w:r>
      <w:r>
        <w:rPr>
          <w:i/>
          <w:color w:val="231F20"/>
          <w:spacing w:val="-4"/>
          <w:sz w:val="22"/>
          <w:vertAlign w:val="baseline"/>
        </w:rPr>
        <w:t> </w:t>
      </w:r>
      <w:r>
        <w:rPr>
          <w:i/>
          <w:color w:val="231F20"/>
          <w:sz w:val="22"/>
          <w:vertAlign w:val="baseline"/>
        </w:rPr>
        <w:t>syringe</w:t>
      </w:r>
      <w:r>
        <w:rPr>
          <w:i/>
          <w:color w:val="231F20"/>
          <w:spacing w:val="-5"/>
          <w:sz w:val="22"/>
          <w:vertAlign w:val="baseline"/>
        </w:rPr>
        <w:t> </w:t>
      </w:r>
      <w:r>
        <w:rPr>
          <w:i/>
          <w:color w:val="231F20"/>
          <w:sz w:val="22"/>
          <w:vertAlign w:val="baseline"/>
        </w:rPr>
        <w:t>programmes</w:t>
      </w:r>
      <w:r>
        <w:rPr>
          <w:color w:val="231F20"/>
          <w:sz w:val="22"/>
          <w:vertAlign w:val="baseline"/>
        </w:rPr>
        <w:t>.</w:t>
      </w:r>
      <w:r>
        <w:rPr>
          <w:color w:val="231F20"/>
          <w:spacing w:val="-8"/>
          <w:sz w:val="22"/>
          <w:vertAlign w:val="baseline"/>
        </w:rPr>
        <w:t> </w:t>
      </w:r>
      <w:r>
        <w:rPr>
          <w:color w:val="231F20"/>
          <w:sz w:val="22"/>
          <w:vertAlign w:val="baseline"/>
        </w:rPr>
        <w:t>World</w:t>
      </w:r>
      <w:r>
        <w:rPr>
          <w:color w:val="231F20"/>
          <w:spacing w:val="-5"/>
          <w:sz w:val="22"/>
          <w:vertAlign w:val="baseline"/>
        </w:rPr>
        <w:t> </w:t>
      </w:r>
      <w:r>
        <w:rPr>
          <w:color w:val="231F20"/>
          <w:sz w:val="22"/>
          <w:vertAlign w:val="baseline"/>
        </w:rPr>
        <w:t>Health</w:t>
      </w:r>
    </w:p>
    <w:p>
      <w:pPr>
        <w:pStyle w:val="BodyText"/>
        <w:spacing w:line="228" w:lineRule="auto"/>
        <w:ind w:left="520" w:right="409"/>
      </w:pPr>
      <w:r>
        <w:rPr>
          <w:color w:val="231F20"/>
          <w:spacing w:val="-1"/>
        </w:rPr>
        <w:t>Organization. </w:t>
      </w:r>
      <w:hyperlink r:id="rId187">
        <w:r>
          <w:rPr>
            <w:color w:val="3953A4"/>
            <w:u w:val="single" w:color="3953A4"/>
          </w:rPr>
          <w:t>https://apps.who.int/iris/bitstream/</w:t>
        </w:r>
      </w:hyperlink>
      <w:r>
        <w:rPr>
          <w:color w:val="3953A4"/>
          <w:spacing w:val="-52"/>
        </w:rPr>
        <w:t> </w:t>
      </w:r>
      <w:hyperlink r:id="rId187">
        <w:r>
          <w:rPr>
            <w:color w:val="3953A4"/>
            <w:u w:val="single" w:color="3953A4"/>
          </w:rPr>
          <w:t>handle/10665/43816/9789241596275_eng.</w:t>
        </w:r>
      </w:hyperlink>
      <w:r>
        <w:rPr>
          <w:color w:val="3953A4"/>
          <w:spacing w:val="1"/>
        </w:rPr>
        <w:t> </w:t>
      </w:r>
      <w:hyperlink r:id="rId187">
        <w:r>
          <w:rPr>
            <w:color w:val="3953A4"/>
            <w:u w:val="single" w:color="3953A4"/>
          </w:rPr>
          <w:t>pdf?sequence=1</w:t>
        </w:r>
      </w:hyperlink>
    </w:p>
    <w:p>
      <w:pPr>
        <w:tabs>
          <w:tab w:pos="519" w:val="left" w:leader="none"/>
        </w:tabs>
        <w:spacing w:line="228" w:lineRule="auto" w:before="88"/>
        <w:ind w:left="520" w:right="69" w:hanging="360"/>
        <w:jc w:val="left"/>
        <w:rPr>
          <w:sz w:val="22"/>
        </w:rPr>
      </w:pPr>
      <w:r>
        <w:rPr>
          <w:color w:val="010202"/>
          <w:sz w:val="22"/>
          <w:vertAlign w:val="superscript"/>
        </w:rPr>
        <w:t>41</w:t>
      </w:r>
      <w:r>
        <w:rPr>
          <w:color w:val="010202"/>
          <w:sz w:val="22"/>
          <w:vertAlign w:val="baseline"/>
        </w:rPr>
        <w:tab/>
      </w:r>
      <w:r>
        <w:rPr>
          <w:color w:val="010202"/>
          <w:spacing w:val="-2"/>
          <w:sz w:val="22"/>
          <w:vertAlign w:val="baseline"/>
        </w:rPr>
        <w:t>Ne</w:t>
      </w:r>
      <w:r>
        <w:rPr>
          <w:color w:val="231F20"/>
          <w:spacing w:val="-2"/>
          <w:sz w:val="22"/>
          <w:vertAlign w:val="baseline"/>
        </w:rPr>
        <w:t>w York State Department </w:t>
      </w:r>
      <w:r>
        <w:rPr>
          <w:color w:val="231F20"/>
          <w:spacing w:val="-1"/>
          <w:sz w:val="22"/>
          <w:vertAlign w:val="baseline"/>
        </w:rPr>
        <w:t>of Health AIDS</w:t>
      </w:r>
      <w:r>
        <w:rPr>
          <w:color w:val="231F20"/>
          <w:sz w:val="22"/>
          <w:vertAlign w:val="baseline"/>
        </w:rPr>
        <w:t> Institute. (2009, January). </w:t>
      </w:r>
      <w:r>
        <w:rPr>
          <w:i/>
          <w:color w:val="231F20"/>
          <w:sz w:val="22"/>
          <w:vertAlign w:val="baseline"/>
        </w:rPr>
        <w:t>Policies and procedures:</w:t>
      </w:r>
      <w:r>
        <w:rPr>
          <w:i/>
          <w:color w:val="231F20"/>
          <w:spacing w:val="1"/>
          <w:sz w:val="22"/>
          <w:vertAlign w:val="baseline"/>
        </w:rPr>
        <w:t> </w:t>
      </w:r>
      <w:r>
        <w:rPr>
          <w:i/>
          <w:color w:val="231F20"/>
          <w:sz w:val="22"/>
          <w:vertAlign w:val="baseline"/>
        </w:rPr>
        <w:t>Syringe exchange programs. </w:t>
      </w:r>
      <w:r>
        <w:rPr>
          <w:color w:val="231F20"/>
          <w:sz w:val="22"/>
          <w:vertAlign w:val="baseline"/>
        </w:rPr>
        <w:t>Harm Reduction</w:t>
      </w:r>
      <w:r>
        <w:rPr>
          <w:color w:val="231F20"/>
          <w:spacing w:val="1"/>
          <w:sz w:val="22"/>
          <w:vertAlign w:val="baseline"/>
        </w:rPr>
        <w:t> </w:t>
      </w:r>
      <w:r>
        <w:rPr>
          <w:color w:val="231F20"/>
          <w:spacing w:val="-1"/>
          <w:sz w:val="22"/>
          <w:vertAlign w:val="baseline"/>
        </w:rPr>
        <w:t>Coalition. </w:t>
      </w:r>
      <w:hyperlink r:id="rId188">
        <w:r>
          <w:rPr>
            <w:color w:val="3953A4"/>
            <w:sz w:val="22"/>
            <w:u w:val="single" w:color="3953A4"/>
            <w:vertAlign w:val="baseline"/>
          </w:rPr>
          <w:t>https://harmreduction.org/hrc/wp-content/</w:t>
        </w:r>
      </w:hyperlink>
      <w:r>
        <w:rPr>
          <w:color w:val="3953A4"/>
          <w:spacing w:val="-52"/>
          <w:sz w:val="22"/>
          <w:vertAlign w:val="baseline"/>
        </w:rPr>
        <w:t> </w:t>
      </w:r>
      <w:hyperlink r:id="rId188">
        <w:r>
          <w:rPr>
            <w:color w:val="3953A4"/>
            <w:sz w:val="22"/>
            <w:u w:val="single" w:color="3953A4"/>
            <w:vertAlign w:val="baseline"/>
          </w:rPr>
          <w:t>uploads/2012/01/NYSDOHAI-pp.pdf</w:t>
        </w:r>
      </w:hyperlink>
    </w:p>
    <w:p>
      <w:pPr>
        <w:pStyle w:val="BodyText"/>
        <w:tabs>
          <w:tab w:pos="519" w:val="left" w:leader="none"/>
        </w:tabs>
        <w:spacing w:line="228" w:lineRule="auto" w:before="88"/>
        <w:ind w:left="520" w:right="64" w:hanging="360"/>
      </w:pPr>
      <w:r>
        <w:rPr>
          <w:color w:val="010202"/>
          <w:vertAlign w:val="superscript"/>
        </w:rPr>
        <w:t>42</w:t>
      </w:r>
      <w:r>
        <w:rPr>
          <w:color w:val="010202"/>
          <w:vertAlign w:val="baseline"/>
        </w:rPr>
        <w:tab/>
        <w:t>Ghi</w:t>
      </w:r>
      <w:r>
        <w:rPr>
          <w:color w:val="231F20"/>
          <w:vertAlign w:val="baseline"/>
        </w:rPr>
        <w:t>tza, U. E., Epstein, D. H., &amp; Preston, K. L.</w:t>
      </w:r>
      <w:r>
        <w:rPr>
          <w:color w:val="231F20"/>
          <w:spacing w:val="1"/>
          <w:vertAlign w:val="baseline"/>
        </w:rPr>
        <w:t> </w:t>
      </w:r>
      <w:r>
        <w:rPr>
          <w:color w:val="231F20"/>
          <w:vertAlign w:val="baseline"/>
        </w:rPr>
        <w:t>(2008). Contingency management reduces injection-</w:t>
      </w:r>
      <w:r>
        <w:rPr>
          <w:color w:val="231F20"/>
          <w:spacing w:val="-52"/>
          <w:vertAlign w:val="baseline"/>
        </w:rPr>
        <w:t> </w:t>
      </w:r>
      <w:r>
        <w:rPr>
          <w:color w:val="231F20"/>
          <w:vertAlign w:val="baseline"/>
        </w:rPr>
        <w:t>related HIV risk behaviors in heroin and cocaine</w:t>
      </w:r>
      <w:r>
        <w:rPr>
          <w:color w:val="231F20"/>
          <w:spacing w:val="1"/>
          <w:vertAlign w:val="baseline"/>
        </w:rPr>
        <w:t> </w:t>
      </w:r>
      <w:r>
        <w:rPr>
          <w:color w:val="231F20"/>
          <w:vertAlign w:val="baseline"/>
        </w:rPr>
        <w:t>using outpatients. </w:t>
      </w:r>
      <w:r>
        <w:rPr>
          <w:i/>
          <w:color w:val="231F20"/>
          <w:vertAlign w:val="baseline"/>
        </w:rPr>
        <w:t>Addictive Behaviors, 33</w:t>
      </w:r>
      <w:r>
        <w:rPr>
          <w:color w:val="231F20"/>
          <w:vertAlign w:val="baseline"/>
        </w:rPr>
        <w:t>(4), 593-</w:t>
      </w:r>
      <w:r>
        <w:rPr>
          <w:color w:val="231F20"/>
          <w:spacing w:val="1"/>
          <w:vertAlign w:val="baseline"/>
        </w:rPr>
        <w:t> </w:t>
      </w:r>
      <w:r>
        <w:rPr>
          <w:color w:val="231F20"/>
          <w:vertAlign w:val="baseline"/>
        </w:rPr>
        <w:t>604.</w:t>
      </w:r>
      <w:r>
        <w:rPr>
          <w:color w:val="231F20"/>
          <w:spacing w:val="-3"/>
          <w:vertAlign w:val="baseline"/>
        </w:rPr>
        <w:t> </w:t>
      </w:r>
      <w:hyperlink r:id="rId189">
        <w:r>
          <w:rPr>
            <w:color w:val="3953A4"/>
            <w:u w:val="single" w:color="3953A4"/>
            <w:vertAlign w:val="baseline"/>
          </w:rPr>
          <w:t>https://doi.org/10.1016/j.addbeh.2007.11.009</w:t>
        </w:r>
      </w:hyperlink>
    </w:p>
    <w:p>
      <w:pPr>
        <w:pStyle w:val="BodyText"/>
        <w:tabs>
          <w:tab w:pos="519" w:val="left" w:leader="none"/>
        </w:tabs>
        <w:spacing w:line="228" w:lineRule="auto" w:before="101"/>
        <w:ind w:left="520" w:right="849" w:hanging="360"/>
      </w:pPr>
      <w:r>
        <w:rPr/>
        <w:br w:type="column"/>
      </w:r>
      <w:r>
        <w:rPr>
          <w:color w:val="010202"/>
          <w:vertAlign w:val="superscript"/>
        </w:rPr>
        <w:t>43</w:t>
      </w:r>
      <w:r>
        <w:rPr>
          <w:color w:val="010202"/>
          <w:vertAlign w:val="baseline"/>
        </w:rPr>
        <w:tab/>
      </w:r>
      <w:r>
        <w:rPr>
          <w:color w:val="010202"/>
          <w:spacing w:val="-2"/>
          <w:vertAlign w:val="baseline"/>
        </w:rPr>
        <w:t>Sh</w:t>
      </w:r>
      <w:r>
        <w:rPr>
          <w:color w:val="231F20"/>
          <w:spacing w:val="-2"/>
          <w:vertAlign w:val="baseline"/>
        </w:rPr>
        <w:t>optaw, S., Reback, </w:t>
      </w:r>
      <w:r>
        <w:rPr>
          <w:color w:val="231F20"/>
          <w:spacing w:val="-1"/>
          <w:vertAlign w:val="baseline"/>
        </w:rPr>
        <w:t>C. J., Peck, J. A., Yang, X.,</w:t>
      </w:r>
      <w:r>
        <w:rPr>
          <w:color w:val="231F20"/>
          <w:vertAlign w:val="baseline"/>
        </w:rPr>
        <w:t> Rotheram-Fuller, E., Larkins, S., Veniegas, R. C.,</w:t>
      </w:r>
      <w:r>
        <w:rPr>
          <w:color w:val="231F20"/>
          <w:spacing w:val="1"/>
          <w:vertAlign w:val="baseline"/>
        </w:rPr>
        <w:t> </w:t>
      </w:r>
      <w:r>
        <w:rPr>
          <w:color w:val="231F20"/>
          <w:vertAlign w:val="baseline"/>
        </w:rPr>
        <w:t>Freese,</w:t>
      </w:r>
      <w:r>
        <w:rPr>
          <w:color w:val="231F20"/>
          <w:spacing w:val="-10"/>
          <w:vertAlign w:val="baseline"/>
        </w:rPr>
        <w:t> </w:t>
      </w:r>
      <w:r>
        <w:rPr>
          <w:color w:val="231F20"/>
          <w:vertAlign w:val="baseline"/>
        </w:rPr>
        <w:t>T.</w:t>
      </w:r>
      <w:r>
        <w:rPr>
          <w:color w:val="231F20"/>
          <w:spacing w:val="-4"/>
          <w:vertAlign w:val="baseline"/>
        </w:rPr>
        <w:t> </w:t>
      </w:r>
      <w:r>
        <w:rPr>
          <w:color w:val="231F20"/>
          <w:vertAlign w:val="baseline"/>
        </w:rPr>
        <w:t>E.,</w:t>
      </w:r>
      <w:r>
        <w:rPr>
          <w:color w:val="231F20"/>
          <w:spacing w:val="-5"/>
          <w:vertAlign w:val="baseline"/>
        </w:rPr>
        <w:t> </w:t>
      </w:r>
      <w:r>
        <w:rPr>
          <w:color w:val="231F20"/>
          <w:vertAlign w:val="baseline"/>
        </w:rPr>
        <w:t>&amp;</w:t>
      </w:r>
      <w:r>
        <w:rPr>
          <w:color w:val="231F20"/>
          <w:spacing w:val="-5"/>
          <w:vertAlign w:val="baseline"/>
        </w:rPr>
        <w:t> </w:t>
      </w:r>
      <w:r>
        <w:rPr>
          <w:color w:val="231F20"/>
          <w:vertAlign w:val="baseline"/>
        </w:rPr>
        <w:t>Hucks-Ortiz,</w:t>
      </w:r>
      <w:r>
        <w:rPr>
          <w:color w:val="231F20"/>
          <w:spacing w:val="-5"/>
          <w:vertAlign w:val="baseline"/>
        </w:rPr>
        <w:t> </w:t>
      </w:r>
      <w:r>
        <w:rPr>
          <w:color w:val="231F20"/>
          <w:vertAlign w:val="baseline"/>
        </w:rPr>
        <w:t>C.</w:t>
      </w:r>
      <w:r>
        <w:rPr>
          <w:color w:val="231F20"/>
          <w:spacing w:val="-5"/>
          <w:vertAlign w:val="baseline"/>
        </w:rPr>
        <w:t> </w:t>
      </w:r>
      <w:r>
        <w:rPr>
          <w:color w:val="231F20"/>
          <w:vertAlign w:val="baseline"/>
        </w:rPr>
        <w:t>(2005).</w:t>
      </w:r>
      <w:r>
        <w:rPr>
          <w:color w:val="231F20"/>
          <w:spacing w:val="-5"/>
          <w:vertAlign w:val="baseline"/>
        </w:rPr>
        <w:t> </w:t>
      </w:r>
      <w:r>
        <w:rPr>
          <w:color w:val="231F20"/>
          <w:vertAlign w:val="baseline"/>
        </w:rPr>
        <w:t>Behavioral</w:t>
      </w:r>
      <w:r>
        <w:rPr>
          <w:color w:val="231F20"/>
          <w:spacing w:val="-52"/>
          <w:vertAlign w:val="baseline"/>
        </w:rPr>
        <w:t> </w:t>
      </w:r>
      <w:r>
        <w:rPr>
          <w:color w:val="231F20"/>
          <w:vertAlign w:val="baseline"/>
        </w:rPr>
        <w:t>treatment approaches for methamphetamine</w:t>
      </w:r>
      <w:r>
        <w:rPr>
          <w:color w:val="231F20"/>
          <w:spacing w:val="1"/>
          <w:vertAlign w:val="baseline"/>
        </w:rPr>
        <w:t> </w:t>
      </w:r>
      <w:r>
        <w:rPr>
          <w:color w:val="231F20"/>
          <w:vertAlign w:val="baseline"/>
        </w:rPr>
        <w:t>dependence and HIV-related sexual risk behaviors</w:t>
      </w:r>
      <w:r>
        <w:rPr>
          <w:color w:val="231F20"/>
          <w:spacing w:val="1"/>
          <w:vertAlign w:val="baseline"/>
        </w:rPr>
        <w:t> </w:t>
      </w:r>
      <w:r>
        <w:rPr>
          <w:color w:val="231F20"/>
          <w:vertAlign w:val="baseline"/>
        </w:rPr>
        <w:t>among urban gay and bisexual men. </w:t>
      </w:r>
      <w:r>
        <w:rPr>
          <w:i/>
          <w:color w:val="231F20"/>
          <w:vertAlign w:val="baseline"/>
        </w:rPr>
        <w:t>Drug and</w:t>
      </w:r>
      <w:r>
        <w:rPr>
          <w:i/>
          <w:color w:val="231F20"/>
          <w:spacing w:val="1"/>
          <w:vertAlign w:val="baseline"/>
        </w:rPr>
        <w:t> </w:t>
      </w:r>
      <w:r>
        <w:rPr>
          <w:i/>
          <w:color w:val="231F20"/>
          <w:vertAlign w:val="baseline"/>
        </w:rPr>
        <w:t>Alcohol Dependence, 78</w:t>
      </w:r>
      <w:r>
        <w:rPr>
          <w:color w:val="231F20"/>
          <w:vertAlign w:val="baseline"/>
        </w:rPr>
        <w:t>(2), 125-134. </w:t>
      </w:r>
      <w:hyperlink r:id="rId190">
        <w:r>
          <w:rPr>
            <w:color w:val="3953A4"/>
            <w:u w:val="single" w:color="3953A4"/>
            <w:vertAlign w:val="baseline"/>
          </w:rPr>
          <w:t>https://doi.</w:t>
        </w:r>
      </w:hyperlink>
      <w:r>
        <w:rPr>
          <w:color w:val="3953A4"/>
          <w:spacing w:val="1"/>
          <w:vertAlign w:val="baseline"/>
        </w:rPr>
        <w:t> </w:t>
      </w:r>
      <w:hyperlink r:id="rId190">
        <w:r>
          <w:rPr>
            <w:color w:val="3953A4"/>
            <w:u w:val="single" w:color="3953A4"/>
            <w:vertAlign w:val="baseline"/>
          </w:rPr>
          <w:t>org/10.1016/j.drugalcdep.2004.10.004</w:t>
        </w:r>
      </w:hyperlink>
    </w:p>
    <w:p>
      <w:pPr>
        <w:pStyle w:val="BodyText"/>
        <w:tabs>
          <w:tab w:pos="519" w:val="left" w:leader="none"/>
        </w:tabs>
        <w:spacing w:line="246" w:lineRule="exact" w:before="77"/>
        <w:ind w:left="160"/>
      </w:pPr>
      <w:r>
        <w:rPr>
          <w:color w:val="010202"/>
          <w:vertAlign w:val="superscript"/>
        </w:rPr>
        <w:t>44</w:t>
      </w:r>
      <w:r>
        <w:rPr>
          <w:color w:val="010202"/>
          <w:vertAlign w:val="baseline"/>
        </w:rPr>
        <w:tab/>
      </w:r>
      <w:r>
        <w:rPr>
          <w:color w:val="010202"/>
          <w:spacing w:val="-2"/>
          <w:vertAlign w:val="baseline"/>
        </w:rPr>
        <w:t>P</w:t>
      </w:r>
      <w:r>
        <w:rPr>
          <w:color w:val="231F20"/>
          <w:spacing w:val="-2"/>
          <w:vertAlign w:val="baseline"/>
        </w:rPr>
        <w:t>etry,</w:t>
      </w:r>
      <w:r>
        <w:rPr>
          <w:color w:val="231F20"/>
          <w:vertAlign w:val="baseline"/>
        </w:rPr>
        <w:t> </w:t>
      </w:r>
      <w:r>
        <w:rPr>
          <w:color w:val="231F20"/>
          <w:spacing w:val="-2"/>
          <w:vertAlign w:val="baseline"/>
        </w:rPr>
        <w:t>N.</w:t>
      </w:r>
      <w:r>
        <w:rPr>
          <w:color w:val="231F20"/>
          <w:spacing w:val="-1"/>
          <w:vertAlign w:val="baseline"/>
        </w:rPr>
        <w:t> M.,</w:t>
      </w:r>
      <w:r>
        <w:rPr>
          <w:color w:val="231F20"/>
          <w:spacing w:val="-4"/>
          <w:vertAlign w:val="baseline"/>
        </w:rPr>
        <w:t> </w:t>
      </w:r>
      <w:r>
        <w:rPr>
          <w:color w:val="231F20"/>
          <w:spacing w:val="-1"/>
          <w:vertAlign w:val="baseline"/>
        </w:rPr>
        <w:t>Weinstock,</w:t>
      </w:r>
      <w:r>
        <w:rPr>
          <w:color w:val="231F20"/>
          <w:vertAlign w:val="baseline"/>
        </w:rPr>
        <w:t> </w:t>
      </w:r>
      <w:r>
        <w:rPr>
          <w:color w:val="231F20"/>
          <w:spacing w:val="-1"/>
          <w:vertAlign w:val="baseline"/>
        </w:rPr>
        <w:t>J.,</w:t>
      </w:r>
      <w:r>
        <w:rPr>
          <w:color w:val="231F20"/>
          <w:spacing w:val="-12"/>
          <w:vertAlign w:val="baseline"/>
        </w:rPr>
        <w:t> </w:t>
      </w:r>
      <w:r>
        <w:rPr>
          <w:color w:val="231F20"/>
          <w:spacing w:val="-1"/>
          <w:vertAlign w:val="baseline"/>
        </w:rPr>
        <w:t>Alessi, S. M., Lewis,</w:t>
      </w:r>
    </w:p>
    <w:p>
      <w:pPr>
        <w:spacing w:line="228" w:lineRule="auto" w:before="4"/>
        <w:ind w:left="520" w:right="1018" w:firstLine="0"/>
        <w:jc w:val="left"/>
        <w:rPr>
          <w:sz w:val="22"/>
        </w:rPr>
      </w:pPr>
      <w:r>
        <w:rPr>
          <w:color w:val="231F20"/>
          <w:sz w:val="22"/>
        </w:rPr>
        <w:t>M. W., &amp; Dieckhaus, K. (2010). Group-based</w:t>
      </w:r>
      <w:r>
        <w:rPr>
          <w:color w:val="231F20"/>
          <w:spacing w:val="1"/>
          <w:sz w:val="22"/>
        </w:rPr>
        <w:t> </w:t>
      </w:r>
      <w:r>
        <w:rPr>
          <w:color w:val="231F20"/>
          <w:sz w:val="22"/>
        </w:rPr>
        <w:t>randomized trial of contingencies for health and</w:t>
      </w:r>
      <w:r>
        <w:rPr>
          <w:color w:val="231F20"/>
          <w:spacing w:val="1"/>
          <w:sz w:val="22"/>
        </w:rPr>
        <w:t> </w:t>
      </w:r>
      <w:r>
        <w:rPr>
          <w:color w:val="231F20"/>
          <w:sz w:val="22"/>
        </w:rPr>
        <w:t>abstinence</w:t>
      </w:r>
      <w:r>
        <w:rPr>
          <w:color w:val="231F20"/>
          <w:spacing w:val="-3"/>
          <w:sz w:val="22"/>
        </w:rPr>
        <w:t> </w:t>
      </w:r>
      <w:r>
        <w:rPr>
          <w:color w:val="231F20"/>
          <w:sz w:val="22"/>
        </w:rPr>
        <w:t>in</w:t>
      </w:r>
      <w:r>
        <w:rPr>
          <w:color w:val="231F20"/>
          <w:spacing w:val="-2"/>
          <w:sz w:val="22"/>
        </w:rPr>
        <w:t> </w:t>
      </w:r>
      <w:r>
        <w:rPr>
          <w:color w:val="231F20"/>
          <w:sz w:val="22"/>
        </w:rPr>
        <w:t>HIV</w:t>
      </w:r>
      <w:r>
        <w:rPr>
          <w:color w:val="231F20"/>
          <w:spacing w:val="-7"/>
          <w:sz w:val="22"/>
        </w:rPr>
        <w:t> </w:t>
      </w:r>
      <w:r>
        <w:rPr>
          <w:color w:val="231F20"/>
          <w:sz w:val="22"/>
        </w:rPr>
        <w:t>patients.</w:t>
      </w:r>
      <w:r>
        <w:rPr>
          <w:color w:val="231F20"/>
          <w:spacing w:val="-3"/>
          <w:sz w:val="22"/>
        </w:rPr>
        <w:t> </w:t>
      </w:r>
      <w:r>
        <w:rPr>
          <w:i/>
          <w:color w:val="231F20"/>
          <w:sz w:val="22"/>
        </w:rPr>
        <w:t>Journal</w:t>
      </w:r>
      <w:r>
        <w:rPr>
          <w:i/>
          <w:color w:val="231F20"/>
          <w:spacing w:val="-2"/>
          <w:sz w:val="22"/>
        </w:rPr>
        <w:t> </w:t>
      </w:r>
      <w:r>
        <w:rPr>
          <w:i/>
          <w:color w:val="231F20"/>
          <w:sz w:val="22"/>
        </w:rPr>
        <w:t>of</w:t>
      </w:r>
      <w:r>
        <w:rPr>
          <w:i/>
          <w:color w:val="231F20"/>
          <w:spacing w:val="-3"/>
          <w:sz w:val="22"/>
        </w:rPr>
        <w:t> </w:t>
      </w:r>
      <w:r>
        <w:rPr>
          <w:i/>
          <w:color w:val="231F20"/>
          <w:sz w:val="22"/>
        </w:rPr>
        <w:t>Consulting</w:t>
      </w:r>
      <w:r>
        <w:rPr>
          <w:i/>
          <w:color w:val="231F20"/>
          <w:spacing w:val="-52"/>
          <w:sz w:val="22"/>
        </w:rPr>
        <w:t> </w:t>
      </w:r>
      <w:r>
        <w:rPr>
          <w:i/>
          <w:color w:val="231F20"/>
          <w:sz w:val="22"/>
        </w:rPr>
        <w:t>and Clinical Psychology, 78</w:t>
      </w:r>
      <w:r>
        <w:rPr>
          <w:color w:val="231F20"/>
          <w:sz w:val="22"/>
        </w:rPr>
        <w:t>(1), 89-97.</w:t>
      </w:r>
      <w:r>
        <w:rPr>
          <w:color w:val="3953A4"/>
          <w:spacing w:val="1"/>
          <w:sz w:val="22"/>
        </w:rPr>
        <w:t> </w:t>
      </w:r>
      <w:hyperlink r:id="rId191">
        <w:r>
          <w:rPr>
            <w:color w:val="3953A4"/>
            <w:sz w:val="22"/>
            <w:u w:val="single" w:color="3953A4"/>
          </w:rPr>
          <w:t>https://doi.org/10.1037/a0016778</w:t>
        </w:r>
      </w:hyperlink>
    </w:p>
    <w:p>
      <w:pPr>
        <w:pStyle w:val="BodyText"/>
        <w:spacing w:line="228" w:lineRule="auto" w:before="88"/>
        <w:ind w:left="519" w:right="974" w:hanging="360"/>
        <w:jc w:val="both"/>
      </w:pPr>
      <w:r>
        <w:rPr>
          <w:color w:val="010202"/>
          <w:vertAlign w:val="superscript"/>
        </w:rPr>
        <w:t>45</w:t>
      </w:r>
      <w:r>
        <w:rPr>
          <w:color w:val="010202"/>
          <w:spacing w:val="1"/>
          <w:vertAlign w:val="baseline"/>
        </w:rPr>
        <w:t> </w:t>
      </w:r>
      <w:r>
        <w:rPr>
          <w:color w:val="231F20"/>
          <w:vertAlign w:val="baseline"/>
        </w:rPr>
        <w:t>Special advisory bulletin: Offering gifts and other</w:t>
      </w:r>
      <w:r>
        <w:rPr>
          <w:color w:val="231F20"/>
          <w:spacing w:val="-52"/>
          <w:vertAlign w:val="baseline"/>
        </w:rPr>
        <w:t> </w:t>
      </w:r>
      <w:r>
        <w:rPr>
          <w:color w:val="231F20"/>
          <w:vertAlign w:val="baseline"/>
        </w:rPr>
        <w:t>inducements</w:t>
      </w:r>
      <w:r>
        <w:rPr>
          <w:color w:val="231F20"/>
          <w:spacing w:val="-7"/>
          <w:vertAlign w:val="baseline"/>
        </w:rPr>
        <w:t> </w:t>
      </w:r>
      <w:r>
        <w:rPr>
          <w:color w:val="231F20"/>
          <w:vertAlign w:val="baseline"/>
        </w:rPr>
        <w:t>to</w:t>
      </w:r>
      <w:r>
        <w:rPr>
          <w:color w:val="231F20"/>
          <w:spacing w:val="-6"/>
          <w:vertAlign w:val="baseline"/>
        </w:rPr>
        <w:t> </w:t>
      </w:r>
      <w:r>
        <w:rPr>
          <w:color w:val="231F20"/>
          <w:vertAlign w:val="baseline"/>
        </w:rPr>
        <w:t>beneficiaries.</w:t>
      </w:r>
      <w:r>
        <w:rPr>
          <w:color w:val="231F20"/>
          <w:spacing w:val="-6"/>
          <w:vertAlign w:val="baseline"/>
        </w:rPr>
        <w:t> </w:t>
      </w:r>
      <w:r>
        <w:rPr>
          <w:color w:val="231F20"/>
          <w:vertAlign w:val="baseline"/>
        </w:rPr>
        <w:t>(2002).</w:t>
      </w:r>
      <w:r>
        <w:rPr>
          <w:color w:val="231F20"/>
          <w:spacing w:val="-6"/>
          <w:vertAlign w:val="baseline"/>
        </w:rPr>
        <w:t> </w:t>
      </w:r>
      <w:r>
        <w:rPr>
          <w:color w:val="231F20"/>
          <w:vertAlign w:val="baseline"/>
        </w:rPr>
        <w:t>Office</w:t>
      </w:r>
      <w:r>
        <w:rPr>
          <w:color w:val="231F20"/>
          <w:spacing w:val="-7"/>
          <w:vertAlign w:val="baseline"/>
        </w:rPr>
        <w:t> </w:t>
      </w:r>
      <w:r>
        <w:rPr>
          <w:color w:val="231F20"/>
          <w:vertAlign w:val="baseline"/>
        </w:rPr>
        <w:t>of</w:t>
      </w:r>
      <w:r>
        <w:rPr>
          <w:color w:val="231F20"/>
          <w:spacing w:val="-6"/>
          <w:vertAlign w:val="baseline"/>
        </w:rPr>
        <w:t> </w:t>
      </w:r>
      <w:r>
        <w:rPr>
          <w:color w:val="231F20"/>
          <w:vertAlign w:val="baseline"/>
        </w:rPr>
        <w:t>the</w:t>
      </w:r>
      <w:r>
        <w:rPr>
          <w:color w:val="231F20"/>
          <w:spacing w:val="-53"/>
          <w:vertAlign w:val="baseline"/>
        </w:rPr>
        <w:t> </w:t>
      </w:r>
      <w:r>
        <w:rPr>
          <w:color w:val="231F20"/>
          <w:vertAlign w:val="baseline"/>
        </w:rPr>
        <w:t>Inspector General. </w:t>
      </w:r>
      <w:hyperlink r:id="rId192">
        <w:r>
          <w:rPr>
            <w:color w:val="3953A4"/>
            <w:u w:val="single" w:color="3953A4"/>
            <w:vertAlign w:val="baseline"/>
          </w:rPr>
          <w:t>https://oig.hhs.gov/fraud/docs/</w:t>
        </w:r>
      </w:hyperlink>
      <w:r>
        <w:rPr>
          <w:color w:val="3953A4"/>
          <w:spacing w:val="1"/>
          <w:vertAlign w:val="baseline"/>
        </w:rPr>
        <w:t> </w:t>
      </w:r>
      <w:hyperlink r:id="rId192">
        <w:r>
          <w:rPr>
            <w:color w:val="3953A4"/>
            <w:u w:val="single" w:color="3953A4"/>
            <w:vertAlign w:val="baseline"/>
          </w:rPr>
          <w:t>alertsandbulletins/SABGiftsandInducements.pdf</w:t>
        </w:r>
      </w:hyperlink>
    </w:p>
    <w:p>
      <w:pPr>
        <w:pStyle w:val="BodyText"/>
        <w:tabs>
          <w:tab w:pos="519" w:val="left" w:leader="none"/>
        </w:tabs>
        <w:spacing w:line="228" w:lineRule="auto" w:before="89"/>
        <w:ind w:left="520" w:right="784" w:hanging="360"/>
      </w:pPr>
      <w:r>
        <w:rPr>
          <w:color w:val="010202"/>
          <w:vertAlign w:val="superscript"/>
        </w:rPr>
        <w:t>46</w:t>
      </w:r>
      <w:r>
        <w:rPr>
          <w:color w:val="010202"/>
          <w:vertAlign w:val="baseline"/>
        </w:rPr>
        <w:tab/>
      </w:r>
      <w:r>
        <w:rPr>
          <w:color w:val="231F20"/>
          <w:vertAlign w:val="baseline"/>
        </w:rPr>
        <w:t>Health Care Programs: Fraud and abuse; Revised</w:t>
      </w:r>
      <w:r>
        <w:rPr>
          <w:color w:val="231F20"/>
          <w:spacing w:val="1"/>
          <w:vertAlign w:val="baseline"/>
        </w:rPr>
        <w:t> </w:t>
      </w:r>
      <w:r>
        <w:rPr>
          <w:color w:val="231F20"/>
          <w:vertAlign w:val="baseline"/>
        </w:rPr>
        <w:t>OIG civil money penalties resulting from public law</w:t>
      </w:r>
      <w:r>
        <w:rPr>
          <w:color w:val="231F20"/>
          <w:spacing w:val="-52"/>
          <w:vertAlign w:val="baseline"/>
        </w:rPr>
        <w:t> </w:t>
      </w:r>
      <w:r>
        <w:rPr>
          <w:color w:val="231F20"/>
          <w:vertAlign w:val="baseline"/>
        </w:rPr>
        <w:t>104–191. (2000). Office of the Inspector General.</w:t>
      </w:r>
      <w:r>
        <w:rPr>
          <w:color w:val="231F20"/>
          <w:spacing w:val="1"/>
          <w:vertAlign w:val="baseline"/>
        </w:rPr>
        <w:t> </w:t>
      </w:r>
      <w:hyperlink r:id="rId193">
        <w:r>
          <w:rPr>
            <w:color w:val="3953A4"/>
            <w:u w:val="single" w:color="3953A4"/>
            <w:vertAlign w:val="baseline"/>
          </w:rPr>
          <w:t>https://oig.hhs.gov/authorities/docs/cmpfinal.pdf</w:t>
        </w:r>
      </w:hyperlink>
    </w:p>
    <w:p>
      <w:pPr>
        <w:pStyle w:val="BodyText"/>
        <w:tabs>
          <w:tab w:pos="519" w:val="left" w:leader="none"/>
        </w:tabs>
        <w:spacing w:line="228" w:lineRule="auto" w:before="89"/>
        <w:ind w:left="520" w:right="1133" w:hanging="360"/>
      </w:pPr>
      <w:r>
        <w:rPr>
          <w:color w:val="231F20"/>
          <w:vertAlign w:val="superscript"/>
        </w:rPr>
        <w:t>47</w:t>
      </w:r>
      <w:r>
        <w:rPr>
          <w:color w:val="231F20"/>
          <w:vertAlign w:val="baseline"/>
        </w:rPr>
        <w:tab/>
        <w:t>Office of Inspector General policy statement</w:t>
      </w:r>
      <w:r>
        <w:rPr>
          <w:color w:val="231F20"/>
          <w:spacing w:val="1"/>
          <w:vertAlign w:val="baseline"/>
        </w:rPr>
        <w:t> </w:t>
      </w:r>
      <w:r>
        <w:rPr>
          <w:color w:val="231F20"/>
          <w:vertAlign w:val="baseline"/>
        </w:rPr>
        <w:t>regarding</w:t>
      </w:r>
      <w:r>
        <w:rPr>
          <w:color w:val="231F20"/>
          <w:spacing w:val="4"/>
          <w:vertAlign w:val="baseline"/>
        </w:rPr>
        <w:t> </w:t>
      </w:r>
      <w:r>
        <w:rPr>
          <w:color w:val="231F20"/>
          <w:vertAlign w:val="baseline"/>
        </w:rPr>
        <w:t>gifts</w:t>
      </w:r>
      <w:r>
        <w:rPr>
          <w:color w:val="231F20"/>
          <w:spacing w:val="5"/>
          <w:vertAlign w:val="baseline"/>
        </w:rPr>
        <w:t> </w:t>
      </w:r>
      <w:r>
        <w:rPr>
          <w:color w:val="231F20"/>
          <w:vertAlign w:val="baseline"/>
        </w:rPr>
        <w:t>of</w:t>
      </w:r>
      <w:r>
        <w:rPr>
          <w:color w:val="231F20"/>
          <w:spacing w:val="4"/>
          <w:vertAlign w:val="baseline"/>
        </w:rPr>
        <w:t> </w:t>
      </w:r>
      <w:r>
        <w:rPr>
          <w:color w:val="231F20"/>
          <w:vertAlign w:val="baseline"/>
        </w:rPr>
        <w:t>nominal</w:t>
      </w:r>
      <w:r>
        <w:rPr>
          <w:color w:val="231F20"/>
          <w:spacing w:val="5"/>
          <w:vertAlign w:val="baseline"/>
        </w:rPr>
        <w:t> </w:t>
      </w:r>
      <w:r>
        <w:rPr>
          <w:color w:val="231F20"/>
          <w:vertAlign w:val="baseline"/>
        </w:rPr>
        <w:t>value</w:t>
      </w:r>
      <w:r>
        <w:rPr>
          <w:color w:val="231F20"/>
          <w:spacing w:val="4"/>
          <w:vertAlign w:val="baseline"/>
        </w:rPr>
        <w:t> </w:t>
      </w:r>
      <w:r>
        <w:rPr>
          <w:color w:val="231F20"/>
          <w:vertAlign w:val="baseline"/>
        </w:rPr>
        <w:t>to</w:t>
      </w:r>
      <w:r>
        <w:rPr>
          <w:color w:val="231F20"/>
          <w:spacing w:val="5"/>
          <w:vertAlign w:val="baseline"/>
        </w:rPr>
        <w:t> </w:t>
      </w:r>
      <w:r>
        <w:rPr>
          <w:color w:val="231F20"/>
          <w:vertAlign w:val="baseline"/>
        </w:rPr>
        <w:t>medicare</w:t>
      </w:r>
      <w:r>
        <w:rPr>
          <w:color w:val="231F20"/>
          <w:spacing w:val="1"/>
          <w:vertAlign w:val="baseline"/>
        </w:rPr>
        <w:t> </w:t>
      </w:r>
      <w:r>
        <w:rPr>
          <w:color w:val="231F20"/>
          <w:vertAlign w:val="baseline"/>
        </w:rPr>
        <w:t>and</w:t>
      </w:r>
      <w:r>
        <w:rPr>
          <w:color w:val="231F20"/>
          <w:spacing w:val="-7"/>
          <w:vertAlign w:val="baseline"/>
        </w:rPr>
        <w:t> </w:t>
      </w:r>
      <w:r>
        <w:rPr>
          <w:color w:val="231F20"/>
          <w:vertAlign w:val="baseline"/>
        </w:rPr>
        <w:t>medicaid</w:t>
      </w:r>
      <w:r>
        <w:rPr>
          <w:color w:val="231F20"/>
          <w:spacing w:val="-7"/>
          <w:vertAlign w:val="baseline"/>
        </w:rPr>
        <w:t> </w:t>
      </w:r>
      <w:r>
        <w:rPr>
          <w:color w:val="231F20"/>
          <w:vertAlign w:val="baseline"/>
        </w:rPr>
        <w:t>beneficiaries.</w:t>
      </w:r>
      <w:r>
        <w:rPr>
          <w:color w:val="231F20"/>
          <w:spacing w:val="-7"/>
          <w:vertAlign w:val="baseline"/>
        </w:rPr>
        <w:t> </w:t>
      </w:r>
      <w:r>
        <w:rPr>
          <w:color w:val="231F20"/>
          <w:vertAlign w:val="baseline"/>
        </w:rPr>
        <w:t>(2016).</w:t>
      </w:r>
      <w:r>
        <w:rPr>
          <w:color w:val="231F20"/>
          <w:spacing w:val="-6"/>
          <w:vertAlign w:val="baseline"/>
        </w:rPr>
        <w:t> </w:t>
      </w:r>
      <w:r>
        <w:rPr>
          <w:color w:val="231F20"/>
          <w:vertAlign w:val="baseline"/>
        </w:rPr>
        <w:t>Office</w:t>
      </w:r>
      <w:r>
        <w:rPr>
          <w:color w:val="231F20"/>
          <w:spacing w:val="-8"/>
          <w:vertAlign w:val="baseline"/>
        </w:rPr>
        <w:t> </w:t>
      </w:r>
      <w:r>
        <w:rPr>
          <w:color w:val="231F20"/>
          <w:vertAlign w:val="baseline"/>
        </w:rPr>
        <w:t>of</w:t>
      </w:r>
      <w:r>
        <w:rPr>
          <w:color w:val="231F20"/>
          <w:spacing w:val="-7"/>
          <w:vertAlign w:val="baseline"/>
        </w:rPr>
        <w:t> </w:t>
      </w:r>
      <w:r>
        <w:rPr>
          <w:color w:val="231F20"/>
          <w:vertAlign w:val="baseline"/>
        </w:rPr>
        <w:t>the</w:t>
      </w:r>
    </w:p>
    <w:p>
      <w:pPr>
        <w:pStyle w:val="BodyText"/>
        <w:spacing w:line="228" w:lineRule="auto"/>
        <w:ind w:left="520" w:right="960"/>
      </w:pPr>
      <w:r>
        <w:rPr>
          <w:color w:val="231F20"/>
        </w:rPr>
        <w:t>Inspector General. </w:t>
      </w:r>
      <w:hyperlink r:id="rId194">
        <w:r>
          <w:rPr>
            <w:color w:val="3953A4"/>
            <w:u w:val="single" w:color="3953A4"/>
          </w:rPr>
          <w:t>https://oig.hhs.gov/fraud/docs/</w:t>
        </w:r>
      </w:hyperlink>
      <w:r>
        <w:rPr>
          <w:color w:val="3953A4"/>
          <w:spacing w:val="1"/>
        </w:rPr>
        <w:t> </w:t>
      </w:r>
      <w:hyperlink r:id="rId194">
        <w:r>
          <w:rPr>
            <w:color w:val="3953A4"/>
            <w:u w:val="single" w:color="3953A4"/>
          </w:rPr>
          <w:t>alertsandbulletins/OIG-Policy-Statement-Gifts-of-</w:t>
        </w:r>
      </w:hyperlink>
      <w:r>
        <w:rPr>
          <w:color w:val="3953A4"/>
          <w:spacing w:val="-52"/>
        </w:rPr>
        <w:t> </w:t>
      </w:r>
      <w:hyperlink r:id="rId194">
        <w:r>
          <w:rPr>
            <w:color w:val="3953A4"/>
            <w:u w:val="single" w:color="3953A4"/>
          </w:rPr>
          <w:t>Nominal-Value.pdf</w:t>
        </w:r>
      </w:hyperlink>
    </w:p>
    <w:p>
      <w:pPr>
        <w:tabs>
          <w:tab w:pos="519" w:val="left" w:leader="none"/>
        </w:tabs>
        <w:spacing w:line="228" w:lineRule="auto" w:before="88"/>
        <w:ind w:left="519" w:right="717" w:hanging="360"/>
        <w:jc w:val="left"/>
        <w:rPr>
          <w:sz w:val="22"/>
        </w:rPr>
      </w:pPr>
      <w:r>
        <w:rPr>
          <w:color w:val="010202"/>
          <w:sz w:val="22"/>
          <w:vertAlign w:val="superscript"/>
        </w:rPr>
        <w:t>48</w:t>
      </w:r>
      <w:r>
        <w:rPr>
          <w:color w:val="010202"/>
          <w:sz w:val="22"/>
          <w:vertAlign w:val="baseline"/>
        </w:rPr>
        <w:tab/>
      </w:r>
      <w:r>
        <w:rPr>
          <w:color w:val="010202"/>
          <w:spacing w:val="-2"/>
          <w:sz w:val="22"/>
          <w:vertAlign w:val="baseline"/>
        </w:rPr>
        <w:t>P</w:t>
      </w:r>
      <w:r>
        <w:rPr>
          <w:color w:val="231F20"/>
          <w:spacing w:val="-2"/>
          <w:sz w:val="22"/>
          <w:vertAlign w:val="baseline"/>
        </w:rPr>
        <w:t>etry,</w:t>
      </w:r>
      <w:r>
        <w:rPr>
          <w:color w:val="231F20"/>
          <w:spacing w:val="4"/>
          <w:sz w:val="22"/>
          <w:vertAlign w:val="baseline"/>
        </w:rPr>
        <w:t> </w:t>
      </w:r>
      <w:r>
        <w:rPr>
          <w:color w:val="231F20"/>
          <w:spacing w:val="-2"/>
          <w:sz w:val="22"/>
          <w:vertAlign w:val="baseline"/>
        </w:rPr>
        <w:t>N.</w:t>
      </w:r>
      <w:r>
        <w:rPr>
          <w:color w:val="231F20"/>
          <w:spacing w:val="3"/>
          <w:sz w:val="22"/>
          <w:vertAlign w:val="baseline"/>
        </w:rPr>
        <w:t> </w:t>
      </w:r>
      <w:r>
        <w:rPr>
          <w:color w:val="231F20"/>
          <w:spacing w:val="-2"/>
          <w:sz w:val="22"/>
          <w:vertAlign w:val="baseline"/>
        </w:rPr>
        <w:t>M.,</w:t>
      </w:r>
      <w:r>
        <w:rPr>
          <w:color w:val="231F20"/>
          <w:spacing w:val="1"/>
          <w:sz w:val="22"/>
          <w:vertAlign w:val="baseline"/>
        </w:rPr>
        <w:t> </w:t>
      </w:r>
      <w:r>
        <w:rPr>
          <w:color w:val="231F20"/>
          <w:spacing w:val="-2"/>
          <w:sz w:val="22"/>
          <w:vertAlign w:val="baseline"/>
        </w:rPr>
        <w:t>Weinstock,</w:t>
      </w:r>
      <w:r>
        <w:rPr>
          <w:color w:val="231F20"/>
          <w:spacing w:val="4"/>
          <w:sz w:val="22"/>
          <w:vertAlign w:val="baseline"/>
        </w:rPr>
        <w:t> </w:t>
      </w:r>
      <w:r>
        <w:rPr>
          <w:color w:val="231F20"/>
          <w:spacing w:val="-1"/>
          <w:sz w:val="22"/>
          <w:vertAlign w:val="baseline"/>
        </w:rPr>
        <w:t>J.,</w:t>
      </w:r>
      <w:r>
        <w:rPr>
          <w:color w:val="231F20"/>
          <w:spacing w:val="4"/>
          <w:sz w:val="22"/>
          <w:vertAlign w:val="baseline"/>
        </w:rPr>
        <w:t> </w:t>
      </w:r>
      <w:r>
        <w:rPr>
          <w:color w:val="231F20"/>
          <w:spacing w:val="-1"/>
          <w:sz w:val="22"/>
          <w:vertAlign w:val="baseline"/>
        </w:rPr>
        <w:t>&amp;</w:t>
      </w:r>
      <w:r>
        <w:rPr>
          <w:color w:val="231F20"/>
          <w:spacing w:val="-9"/>
          <w:sz w:val="22"/>
          <w:vertAlign w:val="baseline"/>
        </w:rPr>
        <w:t> </w:t>
      </w:r>
      <w:r>
        <w:rPr>
          <w:color w:val="231F20"/>
          <w:spacing w:val="-1"/>
          <w:sz w:val="22"/>
          <w:vertAlign w:val="baseline"/>
        </w:rPr>
        <w:t>Alessi,</w:t>
      </w:r>
      <w:r>
        <w:rPr>
          <w:color w:val="231F20"/>
          <w:spacing w:val="4"/>
          <w:sz w:val="22"/>
          <w:vertAlign w:val="baseline"/>
        </w:rPr>
        <w:t> </w:t>
      </w:r>
      <w:r>
        <w:rPr>
          <w:color w:val="231F20"/>
          <w:spacing w:val="-1"/>
          <w:sz w:val="22"/>
          <w:vertAlign w:val="baseline"/>
        </w:rPr>
        <w:t>S.</w:t>
      </w:r>
      <w:r>
        <w:rPr>
          <w:color w:val="231F20"/>
          <w:spacing w:val="3"/>
          <w:sz w:val="22"/>
          <w:vertAlign w:val="baseline"/>
        </w:rPr>
        <w:t> </w:t>
      </w:r>
      <w:r>
        <w:rPr>
          <w:color w:val="231F20"/>
          <w:spacing w:val="-1"/>
          <w:sz w:val="22"/>
          <w:vertAlign w:val="baseline"/>
        </w:rPr>
        <w:t>M.</w:t>
      </w:r>
      <w:r>
        <w:rPr>
          <w:color w:val="231F20"/>
          <w:spacing w:val="4"/>
          <w:sz w:val="22"/>
          <w:vertAlign w:val="baseline"/>
        </w:rPr>
        <w:t> </w:t>
      </w:r>
      <w:r>
        <w:rPr>
          <w:color w:val="231F20"/>
          <w:spacing w:val="-1"/>
          <w:sz w:val="22"/>
          <w:vertAlign w:val="baseline"/>
        </w:rPr>
        <w:t>(2011).</w:t>
      </w:r>
      <w:r>
        <w:rPr>
          <w:color w:val="231F20"/>
          <w:sz w:val="22"/>
          <w:vertAlign w:val="baseline"/>
        </w:rPr>
        <w:t> A randomized trial of contingency management</w:t>
      </w:r>
      <w:r>
        <w:rPr>
          <w:color w:val="231F20"/>
          <w:spacing w:val="1"/>
          <w:sz w:val="22"/>
          <w:vertAlign w:val="baseline"/>
        </w:rPr>
        <w:t> </w:t>
      </w:r>
      <w:r>
        <w:rPr>
          <w:color w:val="231F20"/>
          <w:sz w:val="22"/>
          <w:vertAlign w:val="baseline"/>
        </w:rPr>
        <w:t>delivered in the context of group counseling. </w:t>
      </w:r>
      <w:r>
        <w:rPr>
          <w:i/>
          <w:color w:val="231F20"/>
          <w:sz w:val="22"/>
          <w:vertAlign w:val="baseline"/>
        </w:rPr>
        <w:t>Journal</w:t>
      </w:r>
      <w:r>
        <w:rPr>
          <w:i/>
          <w:color w:val="231F20"/>
          <w:spacing w:val="-52"/>
          <w:sz w:val="22"/>
          <w:vertAlign w:val="baseline"/>
        </w:rPr>
        <w:t> </w:t>
      </w:r>
      <w:r>
        <w:rPr>
          <w:i/>
          <w:color w:val="231F20"/>
          <w:sz w:val="22"/>
          <w:vertAlign w:val="baseline"/>
        </w:rPr>
        <w:t>of Consulting and Clinical Psychology, 79</w:t>
      </w:r>
      <w:r>
        <w:rPr>
          <w:color w:val="231F20"/>
          <w:sz w:val="22"/>
          <w:vertAlign w:val="baseline"/>
        </w:rPr>
        <w:t>(5), 686-</w:t>
      </w:r>
      <w:r>
        <w:rPr>
          <w:color w:val="231F20"/>
          <w:spacing w:val="1"/>
          <w:sz w:val="22"/>
          <w:vertAlign w:val="baseline"/>
        </w:rPr>
        <w:t> </w:t>
      </w:r>
      <w:r>
        <w:rPr>
          <w:color w:val="231F20"/>
          <w:sz w:val="22"/>
          <w:vertAlign w:val="baseline"/>
        </w:rPr>
        <w:t>696.</w:t>
      </w:r>
      <w:r>
        <w:rPr>
          <w:color w:val="231F20"/>
          <w:spacing w:val="-1"/>
          <w:sz w:val="22"/>
          <w:vertAlign w:val="baseline"/>
        </w:rPr>
        <w:t> </w:t>
      </w:r>
      <w:hyperlink r:id="rId189">
        <w:r>
          <w:rPr>
            <w:color w:val="3953A4"/>
            <w:sz w:val="22"/>
            <w:u w:val="single" w:color="3953A4"/>
            <w:vertAlign w:val="baseline"/>
          </w:rPr>
          <w:t>https://doi.org/10.1037/a0024813</w:t>
        </w:r>
      </w:hyperlink>
    </w:p>
    <w:p>
      <w:pPr>
        <w:pStyle w:val="BodyText"/>
        <w:tabs>
          <w:tab w:pos="519" w:val="left" w:leader="none"/>
        </w:tabs>
        <w:spacing w:line="228" w:lineRule="auto" w:before="88"/>
        <w:ind w:left="520" w:right="976" w:hanging="360"/>
      </w:pPr>
      <w:r>
        <w:rPr>
          <w:color w:val="010202"/>
          <w:vertAlign w:val="superscript"/>
        </w:rPr>
        <w:t>49</w:t>
      </w:r>
      <w:r>
        <w:rPr>
          <w:color w:val="010202"/>
          <w:vertAlign w:val="baseline"/>
        </w:rPr>
        <w:tab/>
      </w:r>
      <w:r>
        <w:rPr>
          <w:color w:val="010202"/>
          <w:spacing w:val="-2"/>
          <w:vertAlign w:val="baseline"/>
        </w:rPr>
        <w:t>Ha</w:t>
      </w:r>
      <w:r>
        <w:rPr>
          <w:color w:val="231F20"/>
          <w:spacing w:val="-2"/>
          <w:vertAlign w:val="baseline"/>
        </w:rPr>
        <w:t>nson, T., </w:t>
      </w:r>
      <w:r>
        <w:rPr>
          <w:color w:val="231F20"/>
          <w:spacing w:val="-1"/>
          <w:vertAlign w:val="baseline"/>
        </w:rPr>
        <w:t>Alessi, S. M., &amp; Petry, N. M. (2008).</w:t>
      </w:r>
      <w:r>
        <w:rPr>
          <w:color w:val="231F20"/>
          <w:vertAlign w:val="baseline"/>
        </w:rPr>
        <w:t> Contingency management reduces drug-related</w:t>
      </w:r>
      <w:r>
        <w:rPr>
          <w:color w:val="231F20"/>
          <w:spacing w:val="1"/>
          <w:vertAlign w:val="baseline"/>
        </w:rPr>
        <w:t> </w:t>
      </w:r>
      <w:r>
        <w:rPr>
          <w:color w:val="231F20"/>
          <w:vertAlign w:val="baseline"/>
        </w:rPr>
        <w:t>human immunodeficiency virus risk behaviors in</w:t>
      </w:r>
      <w:r>
        <w:rPr>
          <w:color w:val="231F20"/>
          <w:spacing w:val="1"/>
          <w:vertAlign w:val="baseline"/>
        </w:rPr>
        <w:t> </w:t>
      </w:r>
      <w:r>
        <w:rPr>
          <w:color w:val="231F20"/>
          <w:vertAlign w:val="baseline"/>
        </w:rPr>
        <w:t>cocaine-abusing methadone patients. </w:t>
      </w:r>
      <w:r>
        <w:rPr>
          <w:i/>
          <w:color w:val="231F20"/>
          <w:vertAlign w:val="baseline"/>
        </w:rPr>
        <w:t>Addiction,</w:t>
      </w:r>
      <w:r>
        <w:rPr>
          <w:i/>
          <w:color w:val="231F20"/>
          <w:spacing w:val="1"/>
          <w:vertAlign w:val="baseline"/>
        </w:rPr>
        <w:t> </w:t>
      </w:r>
      <w:r>
        <w:rPr>
          <w:i/>
          <w:color w:val="231F20"/>
          <w:spacing w:val="-1"/>
          <w:vertAlign w:val="baseline"/>
        </w:rPr>
        <w:t>103</w:t>
      </w:r>
      <w:r>
        <w:rPr>
          <w:color w:val="231F20"/>
          <w:spacing w:val="-1"/>
          <w:vertAlign w:val="baseline"/>
        </w:rPr>
        <w:t>(7), 1187-1197. </w:t>
      </w:r>
      <w:hyperlink r:id="rId195">
        <w:r>
          <w:rPr>
            <w:color w:val="3953A4"/>
            <w:spacing w:val="-1"/>
            <w:u w:val="single" w:color="3953A4"/>
            <w:vertAlign w:val="baseline"/>
          </w:rPr>
          <w:t>https://doi.org/10.1111/j.1360-</w:t>
        </w:r>
      </w:hyperlink>
      <w:r>
        <w:rPr>
          <w:color w:val="3953A4"/>
          <w:spacing w:val="-52"/>
          <w:vertAlign w:val="baseline"/>
        </w:rPr>
        <w:t> </w:t>
      </w:r>
      <w:hyperlink r:id="rId195">
        <w:r>
          <w:rPr>
            <w:color w:val="3953A4"/>
            <w:u w:val="single" w:color="3953A4"/>
            <w:vertAlign w:val="baseline"/>
          </w:rPr>
          <w:t>0443.2008.02216.x</w:t>
        </w:r>
      </w:hyperlink>
    </w:p>
    <w:p>
      <w:pPr>
        <w:pStyle w:val="BodyText"/>
        <w:tabs>
          <w:tab w:pos="519" w:val="left" w:leader="none"/>
        </w:tabs>
        <w:spacing w:line="228" w:lineRule="auto" w:before="88"/>
        <w:ind w:left="519" w:right="828" w:hanging="360"/>
      </w:pPr>
      <w:r>
        <w:rPr>
          <w:color w:val="010202"/>
          <w:vertAlign w:val="superscript"/>
        </w:rPr>
        <w:t>50</w:t>
      </w:r>
      <w:r>
        <w:rPr>
          <w:color w:val="010202"/>
          <w:vertAlign w:val="baseline"/>
        </w:rPr>
        <w:tab/>
      </w:r>
      <w:r>
        <w:rPr>
          <w:color w:val="010202"/>
          <w:spacing w:val="-1"/>
          <w:vertAlign w:val="baseline"/>
        </w:rPr>
        <w:t>Hau</w:t>
      </w:r>
      <w:r>
        <w:rPr>
          <w:color w:val="231F20"/>
          <w:spacing w:val="-1"/>
          <w:vertAlign w:val="baseline"/>
        </w:rPr>
        <w:t>g, N. A., &amp; Sorensen, </w:t>
      </w:r>
      <w:r>
        <w:rPr>
          <w:color w:val="231F20"/>
          <w:vertAlign w:val="baseline"/>
        </w:rPr>
        <w:t>J. L. (2006). Contingency</w:t>
      </w:r>
      <w:r>
        <w:rPr>
          <w:color w:val="231F20"/>
          <w:spacing w:val="-52"/>
          <w:vertAlign w:val="baseline"/>
        </w:rPr>
        <w:t> </w:t>
      </w:r>
      <w:r>
        <w:rPr>
          <w:color w:val="231F20"/>
          <w:vertAlign w:val="baseline"/>
        </w:rPr>
        <w:t>management interventions for HIV-related</w:t>
      </w:r>
      <w:r>
        <w:rPr>
          <w:color w:val="231F20"/>
          <w:spacing w:val="1"/>
          <w:vertAlign w:val="baseline"/>
        </w:rPr>
        <w:t> </w:t>
      </w:r>
      <w:r>
        <w:rPr>
          <w:color w:val="231F20"/>
          <w:vertAlign w:val="baseline"/>
        </w:rPr>
        <w:t>behaviors. </w:t>
      </w:r>
      <w:r>
        <w:rPr>
          <w:i/>
          <w:color w:val="231F20"/>
          <w:vertAlign w:val="baseline"/>
        </w:rPr>
        <w:t>Current HIV/AIDS Reports, 3</w:t>
      </w:r>
      <w:r>
        <w:rPr>
          <w:color w:val="231F20"/>
          <w:vertAlign w:val="baseline"/>
        </w:rPr>
        <w:t>(4), 154-</w:t>
      </w:r>
      <w:r>
        <w:rPr>
          <w:color w:val="231F20"/>
          <w:spacing w:val="1"/>
          <w:vertAlign w:val="baseline"/>
        </w:rPr>
        <w:t> </w:t>
      </w:r>
      <w:r>
        <w:rPr>
          <w:color w:val="231F20"/>
          <w:vertAlign w:val="baseline"/>
        </w:rPr>
        <w:t>159.</w:t>
      </w:r>
      <w:r>
        <w:rPr>
          <w:color w:val="231F20"/>
          <w:spacing w:val="-2"/>
          <w:vertAlign w:val="baseline"/>
        </w:rPr>
        <w:t> </w:t>
      </w:r>
      <w:hyperlink r:id="rId196">
        <w:r>
          <w:rPr>
            <w:color w:val="3953A4"/>
            <w:u w:val="single" w:color="3953A4"/>
            <w:vertAlign w:val="baseline"/>
          </w:rPr>
          <w:t>https://doi.org/10.1007/s11904-006-0010-5</w:t>
        </w:r>
      </w:hyperlink>
    </w:p>
    <w:p>
      <w:pPr>
        <w:pStyle w:val="BodyText"/>
        <w:spacing w:line="228" w:lineRule="auto" w:before="89"/>
        <w:ind w:left="520" w:right="1325" w:hanging="360"/>
        <w:jc w:val="both"/>
        <w:rPr>
          <w:i/>
        </w:rPr>
      </w:pPr>
      <w:r>
        <w:rPr>
          <w:color w:val="010202"/>
          <w:w w:val="95"/>
          <w:vertAlign w:val="superscript"/>
        </w:rPr>
        <w:t>51</w:t>
      </w:r>
      <w:r>
        <w:rPr>
          <w:color w:val="010202"/>
          <w:spacing w:val="75"/>
          <w:vertAlign w:val="baseline"/>
        </w:rPr>
        <w:t> </w:t>
      </w:r>
      <w:r>
        <w:rPr>
          <w:color w:val="010202"/>
          <w:spacing w:val="75"/>
          <w:vertAlign w:val="baseline"/>
        </w:rPr>
        <w:t> </w:t>
      </w:r>
      <w:r>
        <w:rPr>
          <w:color w:val="010202"/>
          <w:w w:val="95"/>
          <w:vertAlign w:val="baseline"/>
        </w:rPr>
        <w:t>S</w:t>
      </w:r>
      <w:r>
        <w:rPr>
          <w:color w:val="231F20"/>
          <w:w w:val="95"/>
          <w:vertAlign w:val="baseline"/>
        </w:rPr>
        <w:t>chroeder, J. R., Epstein, D. H., Umbricht, A.,</w:t>
      </w:r>
      <w:r>
        <w:rPr>
          <w:color w:val="231F20"/>
          <w:spacing w:val="1"/>
          <w:w w:val="95"/>
          <w:vertAlign w:val="baseline"/>
        </w:rPr>
        <w:t> </w:t>
      </w:r>
      <w:r>
        <w:rPr>
          <w:color w:val="231F20"/>
          <w:vertAlign w:val="baseline"/>
        </w:rPr>
        <w:t>&amp; Preston, K. L. (2006). Changes in HIV risk</w:t>
      </w:r>
      <w:r>
        <w:rPr>
          <w:color w:val="231F20"/>
          <w:spacing w:val="-52"/>
          <w:vertAlign w:val="baseline"/>
        </w:rPr>
        <w:t> </w:t>
      </w:r>
      <w:r>
        <w:rPr>
          <w:color w:val="231F20"/>
          <w:vertAlign w:val="baseline"/>
        </w:rPr>
        <w:t>behaviors among patients receiving combined</w:t>
      </w:r>
      <w:r>
        <w:rPr>
          <w:color w:val="231F20"/>
          <w:spacing w:val="-52"/>
          <w:vertAlign w:val="baseline"/>
        </w:rPr>
        <w:t> </w:t>
      </w:r>
      <w:r>
        <w:rPr>
          <w:color w:val="231F20"/>
          <w:vertAlign w:val="baseline"/>
        </w:rPr>
        <w:t>pharmacological and behavioral interventions</w:t>
      </w:r>
      <w:r>
        <w:rPr>
          <w:color w:val="231F20"/>
          <w:spacing w:val="-52"/>
          <w:vertAlign w:val="baseline"/>
        </w:rPr>
        <w:t> </w:t>
      </w:r>
      <w:r>
        <w:rPr>
          <w:color w:val="231F20"/>
          <w:vertAlign w:val="baseline"/>
        </w:rPr>
        <w:t>for heroin and cocaine dependence.</w:t>
      </w:r>
      <w:r>
        <w:rPr>
          <w:color w:val="231F20"/>
          <w:spacing w:val="-1"/>
          <w:vertAlign w:val="baseline"/>
        </w:rPr>
        <w:t> </w:t>
      </w:r>
      <w:r>
        <w:rPr>
          <w:i/>
          <w:color w:val="231F20"/>
          <w:vertAlign w:val="baseline"/>
        </w:rPr>
        <w:t>Addictive</w:t>
      </w:r>
    </w:p>
    <w:p>
      <w:pPr>
        <w:spacing w:line="235" w:lineRule="exact" w:before="0"/>
        <w:ind w:left="520" w:right="0" w:firstLine="0"/>
        <w:jc w:val="left"/>
        <w:rPr>
          <w:sz w:val="22"/>
        </w:rPr>
      </w:pPr>
      <w:r>
        <w:rPr>
          <w:i/>
          <w:color w:val="231F20"/>
          <w:sz w:val="22"/>
        </w:rPr>
        <w:t>Behaviors,</w:t>
      </w:r>
      <w:r>
        <w:rPr>
          <w:i/>
          <w:color w:val="231F20"/>
          <w:spacing w:val="-2"/>
          <w:sz w:val="22"/>
        </w:rPr>
        <w:t> </w:t>
      </w:r>
      <w:r>
        <w:rPr>
          <w:i/>
          <w:color w:val="231F20"/>
          <w:sz w:val="22"/>
        </w:rPr>
        <w:t>31</w:t>
      </w:r>
      <w:r>
        <w:rPr>
          <w:color w:val="231F20"/>
          <w:sz w:val="22"/>
        </w:rPr>
        <w:t>(5),</w:t>
      </w:r>
      <w:r>
        <w:rPr>
          <w:color w:val="231F20"/>
          <w:spacing w:val="-1"/>
          <w:sz w:val="22"/>
        </w:rPr>
        <w:t> </w:t>
      </w:r>
      <w:r>
        <w:rPr>
          <w:color w:val="231F20"/>
          <w:sz w:val="22"/>
        </w:rPr>
        <w:t>868-879.</w:t>
      </w:r>
      <w:r>
        <w:rPr>
          <w:color w:val="231F20"/>
          <w:spacing w:val="-1"/>
          <w:sz w:val="22"/>
        </w:rPr>
        <w:t> </w:t>
      </w:r>
      <w:hyperlink r:id="rId197">
        <w:r>
          <w:rPr>
            <w:color w:val="3953A4"/>
            <w:sz w:val="22"/>
            <w:u w:val="single" w:color="3953A4"/>
          </w:rPr>
          <w:t>https://doi.org/10.1016/j.</w:t>
        </w:r>
      </w:hyperlink>
    </w:p>
    <w:p>
      <w:pPr>
        <w:pStyle w:val="BodyText"/>
        <w:spacing w:line="246" w:lineRule="exact"/>
        <w:ind w:left="520"/>
      </w:pPr>
      <w:hyperlink r:id="rId197">
        <w:r>
          <w:rPr>
            <w:color w:val="3953A4"/>
            <w:u w:val="single" w:color="3953A4"/>
          </w:rPr>
          <w:t>addbeh.2005.07.009</w:t>
        </w:r>
      </w:hyperlink>
    </w:p>
    <w:p>
      <w:pPr>
        <w:spacing w:after="0" w:line="246" w:lineRule="exact"/>
        <w:sectPr>
          <w:type w:val="continuous"/>
          <w:pgSz w:w="12240" w:h="15840"/>
          <w:pgMar w:header="0" w:footer="666" w:top="1500" w:bottom="0" w:left="560" w:right="0"/>
          <w:cols w:num="2" w:equalWidth="0">
            <w:col w:w="5213" w:space="547"/>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BodyText"/>
        <w:tabs>
          <w:tab w:pos="519" w:val="left" w:leader="none"/>
        </w:tabs>
        <w:spacing w:line="228" w:lineRule="auto" w:before="101"/>
        <w:ind w:left="520" w:right="164" w:hanging="360"/>
      </w:pPr>
      <w:r>
        <w:rPr>
          <w:color w:val="010202"/>
          <w:vertAlign w:val="superscript"/>
        </w:rPr>
        <w:t>52</w:t>
      </w:r>
      <w:r>
        <w:rPr>
          <w:color w:val="010202"/>
          <w:vertAlign w:val="baseline"/>
        </w:rPr>
        <w:tab/>
        <w:t>R</w:t>
      </w:r>
      <w:r>
        <w:rPr>
          <w:color w:val="231F20"/>
          <w:vertAlign w:val="baseline"/>
        </w:rPr>
        <w:t>osen, M. I., Dieckhaus, K., McMahon, T. J.,</w:t>
      </w:r>
      <w:r>
        <w:rPr>
          <w:color w:val="231F20"/>
          <w:spacing w:val="1"/>
          <w:vertAlign w:val="baseline"/>
        </w:rPr>
        <w:t> </w:t>
      </w:r>
      <w:r>
        <w:rPr>
          <w:color w:val="231F20"/>
          <w:vertAlign w:val="baseline"/>
        </w:rPr>
        <w:t>Valdes,</w:t>
      </w:r>
      <w:r>
        <w:rPr>
          <w:color w:val="231F20"/>
          <w:spacing w:val="-8"/>
          <w:vertAlign w:val="baseline"/>
        </w:rPr>
        <w:t> </w:t>
      </w:r>
      <w:r>
        <w:rPr>
          <w:color w:val="231F20"/>
          <w:vertAlign w:val="baseline"/>
        </w:rPr>
        <w:t>B.,</w:t>
      </w:r>
      <w:r>
        <w:rPr>
          <w:color w:val="231F20"/>
          <w:spacing w:val="-7"/>
          <w:vertAlign w:val="baseline"/>
        </w:rPr>
        <w:t> </w:t>
      </w:r>
      <w:r>
        <w:rPr>
          <w:color w:val="231F20"/>
          <w:vertAlign w:val="baseline"/>
        </w:rPr>
        <w:t>Petry,</w:t>
      </w:r>
      <w:r>
        <w:rPr>
          <w:color w:val="231F20"/>
          <w:spacing w:val="-7"/>
          <w:vertAlign w:val="baseline"/>
        </w:rPr>
        <w:t> </w:t>
      </w:r>
      <w:r>
        <w:rPr>
          <w:color w:val="231F20"/>
          <w:vertAlign w:val="baseline"/>
        </w:rPr>
        <w:t>N.</w:t>
      </w:r>
      <w:r>
        <w:rPr>
          <w:color w:val="231F20"/>
          <w:spacing w:val="-8"/>
          <w:vertAlign w:val="baseline"/>
        </w:rPr>
        <w:t> </w:t>
      </w:r>
      <w:r>
        <w:rPr>
          <w:color w:val="231F20"/>
          <w:vertAlign w:val="baseline"/>
        </w:rPr>
        <w:t>M.,</w:t>
      </w:r>
      <w:r>
        <w:rPr>
          <w:color w:val="231F20"/>
          <w:spacing w:val="-7"/>
          <w:vertAlign w:val="baseline"/>
        </w:rPr>
        <w:t> </w:t>
      </w:r>
      <w:r>
        <w:rPr>
          <w:color w:val="231F20"/>
          <w:vertAlign w:val="baseline"/>
        </w:rPr>
        <w:t>Cramer,</w:t>
      </w:r>
      <w:r>
        <w:rPr>
          <w:color w:val="231F20"/>
          <w:spacing w:val="-7"/>
          <w:vertAlign w:val="baseline"/>
        </w:rPr>
        <w:t> </w:t>
      </w:r>
      <w:r>
        <w:rPr>
          <w:color w:val="231F20"/>
          <w:vertAlign w:val="baseline"/>
        </w:rPr>
        <w:t>J.,</w:t>
      </w:r>
      <w:r>
        <w:rPr>
          <w:color w:val="231F20"/>
          <w:spacing w:val="-8"/>
          <w:vertAlign w:val="baseline"/>
        </w:rPr>
        <w:t> </w:t>
      </w:r>
      <w:r>
        <w:rPr>
          <w:color w:val="231F20"/>
          <w:vertAlign w:val="baseline"/>
        </w:rPr>
        <w:t>&amp;</w:t>
      </w:r>
      <w:r>
        <w:rPr>
          <w:color w:val="231F20"/>
          <w:spacing w:val="-7"/>
          <w:vertAlign w:val="baseline"/>
        </w:rPr>
        <w:t> </w:t>
      </w:r>
      <w:r>
        <w:rPr>
          <w:color w:val="231F20"/>
          <w:vertAlign w:val="baseline"/>
        </w:rPr>
        <w:t>Rounsaville,</w:t>
      </w:r>
    </w:p>
    <w:p>
      <w:pPr>
        <w:spacing w:line="228" w:lineRule="auto" w:before="0"/>
        <w:ind w:left="520" w:right="68" w:firstLine="0"/>
        <w:jc w:val="left"/>
        <w:rPr>
          <w:sz w:val="22"/>
        </w:rPr>
      </w:pPr>
      <w:r>
        <w:rPr>
          <w:color w:val="231F20"/>
          <w:sz w:val="22"/>
        </w:rPr>
        <w:t>B. (2007). Improved adherence with contingency</w:t>
      </w:r>
      <w:r>
        <w:rPr>
          <w:color w:val="231F20"/>
          <w:spacing w:val="1"/>
          <w:sz w:val="22"/>
        </w:rPr>
        <w:t> </w:t>
      </w:r>
      <w:r>
        <w:rPr>
          <w:color w:val="231F20"/>
          <w:sz w:val="22"/>
        </w:rPr>
        <w:t>management.</w:t>
      </w:r>
      <w:r>
        <w:rPr>
          <w:color w:val="231F20"/>
          <w:spacing w:val="-5"/>
          <w:sz w:val="22"/>
        </w:rPr>
        <w:t> </w:t>
      </w:r>
      <w:r>
        <w:rPr>
          <w:i/>
          <w:color w:val="231F20"/>
          <w:sz w:val="22"/>
        </w:rPr>
        <w:t>AIDS</w:t>
      </w:r>
      <w:r>
        <w:rPr>
          <w:i/>
          <w:color w:val="231F20"/>
          <w:spacing w:val="-3"/>
          <w:sz w:val="22"/>
        </w:rPr>
        <w:t> </w:t>
      </w:r>
      <w:r>
        <w:rPr>
          <w:i/>
          <w:color w:val="231F20"/>
          <w:sz w:val="22"/>
        </w:rPr>
        <w:t>Patient</w:t>
      </w:r>
      <w:r>
        <w:rPr>
          <w:i/>
          <w:color w:val="231F20"/>
          <w:spacing w:val="-3"/>
          <w:sz w:val="22"/>
        </w:rPr>
        <w:t> </w:t>
      </w:r>
      <w:r>
        <w:rPr>
          <w:i/>
          <w:color w:val="231F20"/>
          <w:sz w:val="22"/>
        </w:rPr>
        <w:t>Care</w:t>
      </w:r>
      <w:r>
        <w:rPr>
          <w:i/>
          <w:color w:val="231F20"/>
          <w:spacing w:val="-4"/>
          <w:sz w:val="22"/>
        </w:rPr>
        <w:t> </w:t>
      </w:r>
      <w:r>
        <w:rPr>
          <w:i/>
          <w:color w:val="231F20"/>
          <w:sz w:val="22"/>
        </w:rPr>
        <w:t>&amp;</w:t>
      </w:r>
      <w:r>
        <w:rPr>
          <w:i/>
          <w:color w:val="231F20"/>
          <w:spacing w:val="-3"/>
          <w:sz w:val="22"/>
        </w:rPr>
        <w:t> </w:t>
      </w:r>
      <w:r>
        <w:rPr>
          <w:i/>
          <w:color w:val="231F20"/>
          <w:sz w:val="22"/>
        </w:rPr>
        <w:t>STDs,</w:t>
      </w:r>
      <w:r>
        <w:rPr>
          <w:i/>
          <w:color w:val="231F20"/>
          <w:spacing w:val="-3"/>
          <w:sz w:val="22"/>
        </w:rPr>
        <w:t> </w:t>
      </w:r>
      <w:r>
        <w:rPr>
          <w:i/>
          <w:color w:val="231F20"/>
          <w:sz w:val="22"/>
        </w:rPr>
        <w:t>21</w:t>
      </w:r>
      <w:r>
        <w:rPr>
          <w:color w:val="231F20"/>
          <w:sz w:val="22"/>
        </w:rPr>
        <w:t>(1),</w:t>
      </w:r>
      <w:r>
        <w:rPr>
          <w:color w:val="231F20"/>
          <w:spacing w:val="-3"/>
          <w:sz w:val="22"/>
        </w:rPr>
        <w:t> </w:t>
      </w:r>
      <w:r>
        <w:rPr>
          <w:color w:val="231F20"/>
          <w:sz w:val="22"/>
        </w:rPr>
        <w:t>30-</w:t>
      </w:r>
      <w:r>
        <w:rPr>
          <w:color w:val="231F20"/>
          <w:spacing w:val="-52"/>
          <w:sz w:val="22"/>
        </w:rPr>
        <w:t> </w:t>
      </w:r>
      <w:r>
        <w:rPr>
          <w:color w:val="231F20"/>
          <w:sz w:val="22"/>
        </w:rPr>
        <w:t>40.</w:t>
      </w:r>
      <w:r>
        <w:rPr>
          <w:color w:val="3953A4"/>
          <w:spacing w:val="-1"/>
          <w:sz w:val="22"/>
        </w:rPr>
        <w:t> </w:t>
      </w:r>
      <w:hyperlink r:id="rId198">
        <w:r>
          <w:rPr>
            <w:color w:val="3953A4"/>
            <w:sz w:val="22"/>
            <w:u w:val="single" w:color="3953A4"/>
          </w:rPr>
          <w:t>https://doi.org/10.1089/apc.2006.0028</w:t>
        </w:r>
      </w:hyperlink>
    </w:p>
    <w:p>
      <w:pPr>
        <w:pStyle w:val="BodyText"/>
        <w:tabs>
          <w:tab w:pos="519" w:val="left" w:leader="none"/>
        </w:tabs>
        <w:spacing w:line="228" w:lineRule="auto" w:before="88"/>
        <w:ind w:left="520" w:right="109" w:hanging="360"/>
      </w:pPr>
      <w:r>
        <w:rPr>
          <w:color w:val="010202"/>
          <w:vertAlign w:val="superscript"/>
        </w:rPr>
        <w:t>53</w:t>
      </w:r>
      <w:r>
        <w:rPr>
          <w:color w:val="010202"/>
          <w:vertAlign w:val="baseline"/>
        </w:rPr>
        <w:tab/>
      </w:r>
      <w:r>
        <w:rPr>
          <w:color w:val="231F20"/>
          <w:vertAlign w:val="baseline"/>
        </w:rPr>
        <w:t>Metsch,</w:t>
      </w:r>
      <w:r>
        <w:rPr>
          <w:color w:val="231F20"/>
          <w:spacing w:val="-6"/>
          <w:vertAlign w:val="baseline"/>
        </w:rPr>
        <w:t> </w:t>
      </w:r>
      <w:r>
        <w:rPr>
          <w:color w:val="231F20"/>
          <w:vertAlign w:val="baseline"/>
        </w:rPr>
        <w:t>L.</w:t>
      </w:r>
      <w:r>
        <w:rPr>
          <w:color w:val="231F20"/>
          <w:spacing w:val="-4"/>
          <w:vertAlign w:val="baseline"/>
        </w:rPr>
        <w:t> </w:t>
      </w:r>
      <w:r>
        <w:rPr>
          <w:color w:val="231F20"/>
          <w:vertAlign w:val="baseline"/>
        </w:rPr>
        <w:t>R.,</w:t>
      </w:r>
      <w:r>
        <w:rPr>
          <w:color w:val="231F20"/>
          <w:spacing w:val="-5"/>
          <w:vertAlign w:val="baseline"/>
        </w:rPr>
        <w:t> </w:t>
      </w:r>
      <w:r>
        <w:rPr>
          <w:color w:val="231F20"/>
          <w:vertAlign w:val="baseline"/>
        </w:rPr>
        <w:t>Feaster,</w:t>
      </w:r>
      <w:r>
        <w:rPr>
          <w:color w:val="231F20"/>
          <w:spacing w:val="-5"/>
          <w:vertAlign w:val="baseline"/>
        </w:rPr>
        <w:t> </w:t>
      </w:r>
      <w:r>
        <w:rPr>
          <w:color w:val="231F20"/>
          <w:vertAlign w:val="baseline"/>
        </w:rPr>
        <w:t>D.</w:t>
      </w:r>
      <w:r>
        <w:rPr>
          <w:color w:val="231F20"/>
          <w:spacing w:val="-5"/>
          <w:vertAlign w:val="baseline"/>
        </w:rPr>
        <w:t> </w:t>
      </w:r>
      <w:r>
        <w:rPr>
          <w:color w:val="231F20"/>
          <w:vertAlign w:val="baseline"/>
        </w:rPr>
        <w:t>J.,</w:t>
      </w:r>
      <w:r>
        <w:rPr>
          <w:color w:val="231F20"/>
          <w:spacing w:val="-6"/>
          <w:vertAlign w:val="baseline"/>
        </w:rPr>
        <w:t> </w:t>
      </w:r>
      <w:r>
        <w:rPr>
          <w:color w:val="231F20"/>
          <w:vertAlign w:val="baseline"/>
        </w:rPr>
        <w:t>Gooden,</w:t>
      </w:r>
      <w:r>
        <w:rPr>
          <w:color w:val="231F20"/>
          <w:spacing w:val="-5"/>
          <w:vertAlign w:val="baseline"/>
        </w:rPr>
        <w:t> </w:t>
      </w:r>
      <w:r>
        <w:rPr>
          <w:color w:val="231F20"/>
          <w:vertAlign w:val="baseline"/>
        </w:rPr>
        <w:t>L.,</w:t>
      </w:r>
      <w:r>
        <w:rPr>
          <w:color w:val="231F20"/>
          <w:spacing w:val="-5"/>
          <w:vertAlign w:val="baseline"/>
        </w:rPr>
        <w:t> </w:t>
      </w:r>
      <w:r>
        <w:rPr>
          <w:color w:val="231F20"/>
          <w:vertAlign w:val="baseline"/>
        </w:rPr>
        <w:t>Matheson,</w:t>
      </w:r>
      <w:r>
        <w:rPr>
          <w:color w:val="231F20"/>
          <w:spacing w:val="-52"/>
          <w:vertAlign w:val="baseline"/>
        </w:rPr>
        <w:t> </w:t>
      </w:r>
      <w:r>
        <w:rPr>
          <w:color w:val="231F20"/>
          <w:spacing w:val="-2"/>
          <w:vertAlign w:val="baseline"/>
        </w:rPr>
        <w:t>T., Stitzer, </w:t>
      </w:r>
      <w:r>
        <w:rPr>
          <w:color w:val="231F20"/>
          <w:spacing w:val="-1"/>
          <w:vertAlign w:val="baseline"/>
        </w:rPr>
        <w:t>M., Das, M., Jain, M. K., Rodriguez, A.</w:t>
      </w:r>
      <w:r>
        <w:rPr>
          <w:color w:val="231F20"/>
          <w:vertAlign w:val="baseline"/>
        </w:rPr>
        <w:t> </w:t>
      </w:r>
      <w:r>
        <w:rPr>
          <w:color w:val="231F20"/>
          <w:spacing w:val="-2"/>
          <w:vertAlign w:val="baseline"/>
        </w:rPr>
        <w:t>E.,</w:t>
      </w:r>
      <w:r>
        <w:rPr>
          <w:color w:val="231F20"/>
          <w:spacing w:val="-10"/>
          <w:vertAlign w:val="baseline"/>
        </w:rPr>
        <w:t> </w:t>
      </w:r>
      <w:r>
        <w:rPr>
          <w:color w:val="231F20"/>
          <w:spacing w:val="-2"/>
          <w:vertAlign w:val="baseline"/>
        </w:rPr>
        <w:t>Armstrong,</w:t>
      </w:r>
      <w:r>
        <w:rPr>
          <w:color w:val="231F20"/>
          <w:spacing w:val="-1"/>
          <w:vertAlign w:val="baseline"/>
        </w:rPr>
        <w:t> W.</w:t>
      </w:r>
      <w:r>
        <w:rPr>
          <w:color w:val="231F20"/>
          <w:spacing w:val="4"/>
          <w:vertAlign w:val="baseline"/>
        </w:rPr>
        <w:t> </w:t>
      </w:r>
      <w:r>
        <w:rPr>
          <w:color w:val="231F20"/>
          <w:spacing w:val="-1"/>
          <w:vertAlign w:val="baseline"/>
        </w:rPr>
        <w:t>S.,</w:t>
      </w:r>
      <w:r>
        <w:rPr>
          <w:color w:val="231F20"/>
          <w:spacing w:val="2"/>
          <w:vertAlign w:val="baseline"/>
        </w:rPr>
        <w:t> </w:t>
      </w:r>
      <w:r>
        <w:rPr>
          <w:color w:val="231F20"/>
          <w:spacing w:val="-1"/>
          <w:vertAlign w:val="baseline"/>
        </w:rPr>
        <w:t>Lucas,</w:t>
      </w:r>
      <w:r>
        <w:rPr>
          <w:color w:val="231F20"/>
          <w:spacing w:val="4"/>
          <w:vertAlign w:val="baseline"/>
        </w:rPr>
        <w:t> </w:t>
      </w:r>
      <w:r>
        <w:rPr>
          <w:color w:val="231F20"/>
          <w:spacing w:val="-1"/>
          <w:vertAlign w:val="baseline"/>
        </w:rPr>
        <w:t>G.</w:t>
      </w:r>
      <w:r>
        <w:rPr>
          <w:color w:val="231F20"/>
          <w:spacing w:val="3"/>
          <w:vertAlign w:val="baseline"/>
        </w:rPr>
        <w:t> </w:t>
      </w:r>
      <w:r>
        <w:rPr>
          <w:color w:val="231F20"/>
          <w:spacing w:val="-1"/>
          <w:vertAlign w:val="baseline"/>
        </w:rPr>
        <w:t>M.,</w:t>
      </w:r>
      <w:r>
        <w:rPr>
          <w:color w:val="231F20"/>
          <w:spacing w:val="3"/>
          <w:vertAlign w:val="baseline"/>
        </w:rPr>
        <w:t> </w:t>
      </w:r>
      <w:r>
        <w:rPr>
          <w:color w:val="231F20"/>
          <w:spacing w:val="-1"/>
          <w:vertAlign w:val="baseline"/>
        </w:rPr>
        <w:t>Nijhawan,</w:t>
      </w:r>
      <w:r>
        <w:rPr>
          <w:color w:val="231F20"/>
          <w:spacing w:val="-9"/>
          <w:vertAlign w:val="baseline"/>
        </w:rPr>
        <w:t> </w:t>
      </w:r>
      <w:r>
        <w:rPr>
          <w:color w:val="231F20"/>
          <w:spacing w:val="-1"/>
          <w:vertAlign w:val="baseline"/>
        </w:rPr>
        <w:t>A.</w:t>
      </w:r>
      <w:r>
        <w:rPr>
          <w:color w:val="231F20"/>
          <w:vertAlign w:val="baseline"/>
        </w:rPr>
        <w:t> E.,</w:t>
      </w:r>
      <w:r>
        <w:rPr>
          <w:color w:val="231F20"/>
          <w:spacing w:val="-7"/>
          <w:vertAlign w:val="baseline"/>
        </w:rPr>
        <w:t> </w:t>
      </w:r>
      <w:r>
        <w:rPr>
          <w:color w:val="231F20"/>
          <w:vertAlign w:val="baseline"/>
        </w:rPr>
        <w:t>Drainoni,</w:t>
      </w:r>
      <w:r>
        <w:rPr>
          <w:color w:val="231F20"/>
          <w:spacing w:val="-8"/>
          <w:vertAlign w:val="baseline"/>
        </w:rPr>
        <w:t> </w:t>
      </w:r>
      <w:r>
        <w:rPr>
          <w:color w:val="231F20"/>
          <w:vertAlign w:val="baseline"/>
        </w:rPr>
        <w:t>M.,</w:t>
      </w:r>
      <w:r>
        <w:rPr>
          <w:color w:val="231F20"/>
          <w:spacing w:val="-8"/>
          <w:vertAlign w:val="baseline"/>
        </w:rPr>
        <w:t> </w:t>
      </w:r>
      <w:r>
        <w:rPr>
          <w:color w:val="231F20"/>
          <w:vertAlign w:val="baseline"/>
        </w:rPr>
        <w:t>Herrera,</w:t>
      </w:r>
      <w:r>
        <w:rPr>
          <w:color w:val="231F20"/>
          <w:spacing w:val="-7"/>
          <w:vertAlign w:val="baseline"/>
        </w:rPr>
        <w:t> </w:t>
      </w:r>
      <w:r>
        <w:rPr>
          <w:color w:val="231F20"/>
          <w:vertAlign w:val="baseline"/>
        </w:rPr>
        <w:t>P.,</w:t>
      </w:r>
      <w:r>
        <w:rPr>
          <w:color w:val="231F20"/>
          <w:spacing w:val="-11"/>
          <w:vertAlign w:val="baseline"/>
        </w:rPr>
        <w:t> </w:t>
      </w:r>
      <w:r>
        <w:rPr>
          <w:color w:val="231F20"/>
          <w:vertAlign w:val="baseline"/>
        </w:rPr>
        <w:t>Vergara-Rodriguez,</w:t>
      </w:r>
    </w:p>
    <w:p>
      <w:pPr>
        <w:pStyle w:val="BodyText"/>
        <w:spacing w:line="235" w:lineRule="exact"/>
        <w:ind w:left="520"/>
      </w:pPr>
      <w:r>
        <w:rPr>
          <w:color w:val="231F20"/>
        </w:rPr>
        <w:t>P.,</w:t>
      </w:r>
      <w:r>
        <w:rPr>
          <w:color w:val="231F20"/>
          <w:spacing w:val="-7"/>
        </w:rPr>
        <w:t> </w:t>
      </w:r>
      <w:r>
        <w:rPr>
          <w:color w:val="231F20"/>
        </w:rPr>
        <w:t>Jacobson,</w:t>
      </w:r>
      <w:r>
        <w:rPr>
          <w:color w:val="231F20"/>
          <w:spacing w:val="-7"/>
        </w:rPr>
        <w:t> </w:t>
      </w:r>
      <w:r>
        <w:rPr>
          <w:color w:val="231F20"/>
        </w:rPr>
        <w:t>J.</w:t>
      </w:r>
      <w:r>
        <w:rPr>
          <w:color w:val="231F20"/>
          <w:spacing w:val="-7"/>
        </w:rPr>
        <w:t> </w:t>
      </w:r>
      <w:r>
        <w:rPr>
          <w:color w:val="231F20"/>
        </w:rPr>
        <w:t>M.,</w:t>
      </w:r>
      <w:r>
        <w:rPr>
          <w:color w:val="231F20"/>
          <w:spacing w:val="-7"/>
        </w:rPr>
        <w:t> </w:t>
      </w:r>
      <w:r>
        <w:rPr>
          <w:color w:val="231F20"/>
        </w:rPr>
        <w:t>Mugavero,</w:t>
      </w:r>
      <w:r>
        <w:rPr>
          <w:color w:val="231F20"/>
          <w:spacing w:val="-8"/>
        </w:rPr>
        <w:t> </w:t>
      </w:r>
      <w:r>
        <w:rPr>
          <w:color w:val="231F20"/>
        </w:rPr>
        <w:t>M.</w:t>
      </w:r>
      <w:r>
        <w:rPr>
          <w:color w:val="231F20"/>
          <w:spacing w:val="-7"/>
        </w:rPr>
        <w:t> </w:t>
      </w:r>
      <w:r>
        <w:rPr>
          <w:color w:val="231F20"/>
        </w:rPr>
        <w:t>J.,</w:t>
      </w:r>
      <w:r>
        <w:rPr>
          <w:color w:val="231F20"/>
          <w:spacing w:val="-7"/>
        </w:rPr>
        <w:t> </w:t>
      </w:r>
      <w:r>
        <w:rPr>
          <w:color w:val="231F20"/>
        </w:rPr>
        <w:t>Sullivan,</w:t>
      </w:r>
      <w:r>
        <w:rPr>
          <w:color w:val="231F20"/>
          <w:spacing w:val="-7"/>
        </w:rPr>
        <w:t> </w:t>
      </w:r>
      <w:r>
        <w:rPr>
          <w:color w:val="231F20"/>
        </w:rPr>
        <w:t>M.,</w:t>
      </w:r>
    </w:p>
    <w:p>
      <w:pPr>
        <w:pStyle w:val="BodyText"/>
        <w:spacing w:line="228" w:lineRule="auto" w:before="4"/>
        <w:ind w:left="519" w:right="68"/>
      </w:pPr>
      <w:r>
        <w:rPr>
          <w:color w:val="231F20"/>
        </w:rPr>
        <w:t>Daar, E. S., McMahon, D. K.,… Del Rio, C. (2016).</w:t>
      </w:r>
      <w:r>
        <w:rPr>
          <w:color w:val="231F20"/>
          <w:spacing w:val="-52"/>
        </w:rPr>
        <w:t> </w:t>
      </w:r>
      <w:r>
        <w:rPr>
          <w:color w:val="231F20"/>
        </w:rPr>
        <w:t>Effect</w:t>
      </w:r>
      <w:r>
        <w:rPr>
          <w:color w:val="231F20"/>
          <w:spacing w:val="-5"/>
        </w:rPr>
        <w:t> </w:t>
      </w:r>
      <w:r>
        <w:rPr>
          <w:color w:val="231F20"/>
        </w:rPr>
        <w:t>of</w:t>
      </w:r>
      <w:r>
        <w:rPr>
          <w:color w:val="231F20"/>
          <w:spacing w:val="-5"/>
        </w:rPr>
        <w:t> </w:t>
      </w:r>
      <w:r>
        <w:rPr>
          <w:color w:val="231F20"/>
        </w:rPr>
        <w:t>patient</w:t>
      </w:r>
      <w:r>
        <w:rPr>
          <w:color w:val="231F20"/>
          <w:spacing w:val="-4"/>
        </w:rPr>
        <w:t> </w:t>
      </w:r>
      <w:r>
        <w:rPr>
          <w:color w:val="231F20"/>
        </w:rPr>
        <w:t>navigation</w:t>
      </w:r>
      <w:r>
        <w:rPr>
          <w:color w:val="231F20"/>
          <w:spacing w:val="-5"/>
        </w:rPr>
        <w:t> </w:t>
      </w:r>
      <w:r>
        <w:rPr>
          <w:color w:val="231F20"/>
        </w:rPr>
        <w:t>with</w:t>
      </w:r>
      <w:r>
        <w:rPr>
          <w:color w:val="231F20"/>
          <w:spacing w:val="-5"/>
        </w:rPr>
        <w:t> </w:t>
      </w:r>
      <w:r>
        <w:rPr>
          <w:color w:val="231F20"/>
        </w:rPr>
        <w:t>or</w:t>
      </w:r>
      <w:r>
        <w:rPr>
          <w:color w:val="231F20"/>
          <w:spacing w:val="-5"/>
        </w:rPr>
        <w:t> </w:t>
      </w:r>
      <w:r>
        <w:rPr>
          <w:color w:val="231F20"/>
        </w:rPr>
        <w:t>without</w:t>
      </w:r>
      <w:r>
        <w:rPr>
          <w:color w:val="231F20"/>
          <w:spacing w:val="-6"/>
        </w:rPr>
        <w:t> </w:t>
      </w:r>
      <w:r>
        <w:rPr>
          <w:color w:val="231F20"/>
        </w:rPr>
        <w:t>financial</w:t>
      </w:r>
      <w:r>
        <w:rPr>
          <w:color w:val="231F20"/>
          <w:spacing w:val="-52"/>
        </w:rPr>
        <w:t> </w:t>
      </w:r>
      <w:r>
        <w:rPr>
          <w:color w:val="231F20"/>
        </w:rPr>
        <w:t>incentives on viral suppression among hospitalized</w:t>
      </w:r>
      <w:r>
        <w:rPr>
          <w:color w:val="231F20"/>
          <w:spacing w:val="1"/>
        </w:rPr>
        <w:t> </w:t>
      </w:r>
      <w:r>
        <w:rPr>
          <w:color w:val="231F20"/>
          <w:spacing w:val="-1"/>
        </w:rPr>
        <w:t>patients </w:t>
      </w:r>
      <w:r>
        <w:rPr>
          <w:color w:val="231F20"/>
        </w:rPr>
        <w:t>with HIV infection and substance use: A</w:t>
      </w:r>
      <w:r>
        <w:rPr>
          <w:color w:val="231F20"/>
          <w:spacing w:val="1"/>
        </w:rPr>
        <w:t> </w:t>
      </w:r>
      <w:r>
        <w:rPr>
          <w:color w:val="231F20"/>
        </w:rPr>
        <w:t>randomized clinical trial</w:t>
      </w:r>
      <w:r>
        <w:rPr>
          <w:i/>
          <w:color w:val="231F20"/>
        </w:rPr>
        <w:t>. Journal of the American</w:t>
      </w:r>
      <w:r>
        <w:rPr>
          <w:i/>
          <w:color w:val="231F20"/>
          <w:spacing w:val="1"/>
        </w:rPr>
        <w:t> </w:t>
      </w:r>
      <w:r>
        <w:rPr>
          <w:i/>
          <w:color w:val="231F20"/>
        </w:rPr>
        <w:t>Medical Association (JAMA), 316</w:t>
      </w:r>
      <w:r>
        <w:rPr>
          <w:color w:val="231F20"/>
        </w:rPr>
        <w:t>(2), 156-170.</w:t>
      </w:r>
      <w:r>
        <w:rPr>
          <w:color w:val="231F20"/>
          <w:spacing w:val="1"/>
        </w:rPr>
        <w:t> </w:t>
      </w:r>
      <w:hyperlink r:id="rId199">
        <w:r>
          <w:rPr>
            <w:color w:val="3953A4"/>
            <w:u w:val="single" w:color="3953A4"/>
          </w:rPr>
          <w:t>https://doi.org/10.1001/jama.2016.8914</w:t>
        </w:r>
      </w:hyperlink>
    </w:p>
    <w:p>
      <w:pPr>
        <w:pStyle w:val="BodyText"/>
        <w:tabs>
          <w:tab w:pos="519" w:val="left" w:leader="none"/>
        </w:tabs>
        <w:spacing w:line="228" w:lineRule="auto" w:before="88"/>
        <w:ind w:left="520" w:right="440" w:hanging="361"/>
        <w:rPr>
          <w:i/>
        </w:rPr>
      </w:pPr>
      <w:r>
        <w:rPr>
          <w:color w:val="231F20"/>
          <w:vertAlign w:val="superscript"/>
        </w:rPr>
        <w:t>54</w:t>
      </w:r>
      <w:r>
        <w:rPr>
          <w:color w:val="231F20"/>
          <w:vertAlign w:val="baseline"/>
        </w:rPr>
        <w:tab/>
        <w:t>Seeman,</w:t>
      </w:r>
      <w:r>
        <w:rPr>
          <w:color w:val="231F20"/>
          <w:spacing w:val="-6"/>
          <w:vertAlign w:val="baseline"/>
        </w:rPr>
        <w:t> </w:t>
      </w:r>
      <w:r>
        <w:rPr>
          <w:color w:val="231F20"/>
          <w:vertAlign w:val="baseline"/>
        </w:rPr>
        <w:t>M.</w:t>
      </w:r>
      <w:r>
        <w:rPr>
          <w:color w:val="231F20"/>
          <w:spacing w:val="-9"/>
          <w:vertAlign w:val="baseline"/>
        </w:rPr>
        <w:t> </w:t>
      </w:r>
      <w:r>
        <w:rPr>
          <w:color w:val="231F20"/>
          <w:vertAlign w:val="baseline"/>
        </w:rPr>
        <w:t>V.</w:t>
      </w:r>
      <w:r>
        <w:rPr>
          <w:color w:val="231F20"/>
          <w:spacing w:val="-4"/>
          <w:vertAlign w:val="baseline"/>
        </w:rPr>
        <w:t> </w:t>
      </w:r>
      <w:r>
        <w:rPr>
          <w:color w:val="231F20"/>
          <w:vertAlign w:val="baseline"/>
        </w:rPr>
        <w:t>(2015).</w:t>
      </w:r>
      <w:r>
        <w:rPr>
          <w:color w:val="231F20"/>
          <w:spacing w:val="-9"/>
          <w:vertAlign w:val="baseline"/>
        </w:rPr>
        <w:t> </w:t>
      </w:r>
      <w:r>
        <w:rPr>
          <w:color w:val="231F20"/>
          <w:vertAlign w:val="baseline"/>
        </w:rPr>
        <w:t>The</w:t>
      </w:r>
      <w:r>
        <w:rPr>
          <w:color w:val="231F20"/>
          <w:spacing w:val="-4"/>
          <w:vertAlign w:val="baseline"/>
        </w:rPr>
        <w:t> </w:t>
      </w:r>
      <w:r>
        <w:rPr>
          <w:color w:val="231F20"/>
          <w:vertAlign w:val="baseline"/>
        </w:rPr>
        <w:t>role</w:t>
      </w:r>
      <w:r>
        <w:rPr>
          <w:color w:val="231F20"/>
          <w:spacing w:val="-4"/>
          <w:vertAlign w:val="baseline"/>
        </w:rPr>
        <w:t> </w:t>
      </w:r>
      <w:r>
        <w:rPr>
          <w:color w:val="231F20"/>
          <w:vertAlign w:val="baseline"/>
        </w:rPr>
        <w:t>of</w:t>
      </w:r>
      <w:r>
        <w:rPr>
          <w:color w:val="231F20"/>
          <w:spacing w:val="-5"/>
          <w:vertAlign w:val="baseline"/>
        </w:rPr>
        <w:t> </w:t>
      </w:r>
      <w:r>
        <w:rPr>
          <w:color w:val="231F20"/>
          <w:vertAlign w:val="baseline"/>
        </w:rPr>
        <w:t>mental</w:t>
      </w:r>
      <w:r>
        <w:rPr>
          <w:color w:val="231F20"/>
          <w:spacing w:val="-4"/>
          <w:vertAlign w:val="baseline"/>
        </w:rPr>
        <w:t> </w:t>
      </w:r>
      <w:r>
        <w:rPr>
          <w:color w:val="231F20"/>
          <w:vertAlign w:val="baseline"/>
        </w:rPr>
        <w:t>health</w:t>
      </w:r>
      <w:r>
        <w:rPr>
          <w:color w:val="231F20"/>
          <w:spacing w:val="-52"/>
          <w:vertAlign w:val="baseline"/>
        </w:rPr>
        <w:t> </w:t>
      </w:r>
      <w:r>
        <w:rPr>
          <w:color w:val="231F20"/>
          <w:vertAlign w:val="baseline"/>
        </w:rPr>
        <w:t>services in addressing HIV infection among</w:t>
      </w:r>
      <w:r>
        <w:rPr>
          <w:color w:val="231F20"/>
          <w:spacing w:val="1"/>
          <w:vertAlign w:val="baseline"/>
        </w:rPr>
        <w:t> </w:t>
      </w:r>
      <w:r>
        <w:rPr>
          <w:color w:val="231F20"/>
          <w:vertAlign w:val="baseline"/>
        </w:rPr>
        <w:t>women</w:t>
      </w:r>
      <w:r>
        <w:rPr>
          <w:color w:val="231F20"/>
          <w:spacing w:val="-3"/>
          <w:vertAlign w:val="baseline"/>
        </w:rPr>
        <w:t> </w:t>
      </w:r>
      <w:r>
        <w:rPr>
          <w:color w:val="231F20"/>
          <w:vertAlign w:val="baseline"/>
        </w:rPr>
        <w:t>with</w:t>
      </w:r>
      <w:r>
        <w:rPr>
          <w:color w:val="231F20"/>
          <w:spacing w:val="-3"/>
          <w:vertAlign w:val="baseline"/>
        </w:rPr>
        <w:t> </w:t>
      </w:r>
      <w:r>
        <w:rPr>
          <w:color w:val="231F20"/>
          <w:vertAlign w:val="baseline"/>
        </w:rPr>
        <w:t>serious</w:t>
      </w:r>
      <w:r>
        <w:rPr>
          <w:color w:val="231F20"/>
          <w:spacing w:val="-3"/>
          <w:vertAlign w:val="baseline"/>
        </w:rPr>
        <w:t> </w:t>
      </w:r>
      <w:r>
        <w:rPr>
          <w:color w:val="231F20"/>
          <w:vertAlign w:val="baseline"/>
        </w:rPr>
        <w:t>mental</w:t>
      </w:r>
      <w:r>
        <w:rPr>
          <w:color w:val="231F20"/>
          <w:spacing w:val="-2"/>
          <w:vertAlign w:val="baseline"/>
        </w:rPr>
        <w:t> </w:t>
      </w:r>
      <w:r>
        <w:rPr>
          <w:color w:val="231F20"/>
          <w:vertAlign w:val="baseline"/>
        </w:rPr>
        <w:t>illness.</w:t>
      </w:r>
      <w:r>
        <w:rPr>
          <w:color w:val="231F20"/>
          <w:spacing w:val="-1"/>
          <w:vertAlign w:val="baseline"/>
        </w:rPr>
        <w:t> </w:t>
      </w:r>
      <w:r>
        <w:rPr>
          <w:i/>
          <w:color w:val="231F20"/>
          <w:vertAlign w:val="baseline"/>
        </w:rPr>
        <w:t>Psychiatric</w:t>
      </w:r>
    </w:p>
    <w:p>
      <w:pPr>
        <w:pStyle w:val="BodyText"/>
        <w:spacing w:line="228" w:lineRule="auto"/>
        <w:ind w:left="520" w:right="32"/>
      </w:pPr>
      <w:r>
        <w:rPr>
          <w:i/>
          <w:color w:val="231F20"/>
        </w:rPr>
        <w:t>Services</w:t>
      </w:r>
      <w:r>
        <w:rPr>
          <w:color w:val="231F20"/>
        </w:rPr>
        <w:t>, </w:t>
      </w:r>
      <w:r>
        <w:rPr>
          <w:i/>
          <w:color w:val="231F20"/>
        </w:rPr>
        <w:t>66</w:t>
      </w:r>
      <w:r>
        <w:rPr>
          <w:color w:val="231F20"/>
        </w:rPr>
        <w:t>(9), 966-974. </w:t>
      </w:r>
      <w:hyperlink r:id="rId200">
        <w:r>
          <w:rPr>
            <w:color w:val="3953A4"/>
            <w:u w:val="single" w:color="3953A4"/>
          </w:rPr>
          <w:t>https://ps.psychiatryonline.</w:t>
        </w:r>
      </w:hyperlink>
      <w:r>
        <w:rPr>
          <w:color w:val="3953A4"/>
          <w:spacing w:val="-52"/>
        </w:rPr>
        <w:t> </w:t>
      </w:r>
      <w:hyperlink r:id="rId200">
        <w:r>
          <w:rPr>
            <w:color w:val="3953A4"/>
            <w:u w:val="single" w:color="3953A4"/>
          </w:rPr>
          <w:t>org/doi/10.1176/appi.ps.201400411</w:t>
        </w:r>
      </w:hyperlink>
    </w:p>
    <w:p>
      <w:pPr>
        <w:tabs>
          <w:tab w:pos="519" w:val="left" w:leader="none"/>
        </w:tabs>
        <w:spacing w:line="228" w:lineRule="auto" w:before="88"/>
        <w:ind w:left="520" w:right="534" w:hanging="360"/>
        <w:jc w:val="left"/>
        <w:rPr>
          <w:sz w:val="22"/>
        </w:rPr>
      </w:pPr>
      <w:r>
        <w:rPr>
          <w:color w:val="231F20"/>
          <w:sz w:val="22"/>
          <w:vertAlign w:val="superscript"/>
        </w:rPr>
        <w:t>55</w:t>
      </w:r>
      <w:r>
        <w:rPr>
          <w:color w:val="231F20"/>
          <w:sz w:val="22"/>
          <w:vertAlign w:val="baseline"/>
        </w:rPr>
        <w:tab/>
        <w:t>Beck,</w:t>
      </w:r>
      <w:r>
        <w:rPr>
          <w:color w:val="231F20"/>
          <w:spacing w:val="-4"/>
          <w:sz w:val="22"/>
          <w:vertAlign w:val="baseline"/>
        </w:rPr>
        <w:t> </w:t>
      </w:r>
      <w:r>
        <w:rPr>
          <w:color w:val="231F20"/>
          <w:sz w:val="22"/>
          <w:vertAlign w:val="baseline"/>
        </w:rPr>
        <w:t>J.</w:t>
      </w:r>
      <w:r>
        <w:rPr>
          <w:color w:val="231F20"/>
          <w:spacing w:val="-5"/>
          <w:sz w:val="22"/>
          <w:vertAlign w:val="baseline"/>
        </w:rPr>
        <w:t> </w:t>
      </w:r>
      <w:r>
        <w:rPr>
          <w:color w:val="231F20"/>
          <w:sz w:val="22"/>
          <w:vertAlign w:val="baseline"/>
        </w:rPr>
        <w:t>S.</w:t>
      </w:r>
      <w:r>
        <w:rPr>
          <w:color w:val="231F20"/>
          <w:spacing w:val="-4"/>
          <w:sz w:val="22"/>
          <w:vertAlign w:val="baseline"/>
        </w:rPr>
        <w:t> </w:t>
      </w:r>
      <w:r>
        <w:rPr>
          <w:color w:val="231F20"/>
          <w:sz w:val="22"/>
          <w:vertAlign w:val="baseline"/>
        </w:rPr>
        <w:t>(2011).</w:t>
      </w:r>
      <w:r>
        <w:rPr>
          <w:color w:val="231F20"/>
          <w:spacing w:val="-4"/>
          <w:sz w:val="22"/>
          <w:vertAlign w:val="baseline"/>
        </w:rPr>
        <w:t> </w:t>
      </w:r>
      <w:r>
        <w:rPr>
          <w:i/>
          <w:color w:val="231F20"/>
          <w:sz w:val="22"/>
          <w:vertAlign w:val="baseline"/>
        </w:rPr>
        <w:t>Cognitive</w:t>
      </w:r>
      <w:r>
        <w:rPr>
          <w:i/>
          <w:color w:val="231F20"/>
          <w:spacing w:val="-3"/>
          <w:sz w:val="22"/>
          <w:vertAlign w:val="baseline"/>
        </w:rPr>
        <w:t> </w:t>
      </w:r>
      <w:r>
        <w:rPr>
          <w:i/>
          <w:color w:val="231F20"/>
          <w:sz w:val="22"/>
          <w:vertAlign w:val="baseline"/>
        </w:rPr>
        <w:t>behavior</w:t>
      </w:r>
      <w:r>
        <w:rPr>
          <w:i/>
          <w:color w:val="231F20"/>
          <w:spacing w:val="-4"/>
          <w:sz w:val="22"/>
          <w:vertAlign w:val="baseline"/>
        </w:rPr>
        <w:t> </w:t>
      </w:r>
      <w:r>
        <w:rPr>
          <w:i/>
          <w:color w:val="231F20"/>
          <w:sz w:val="22"/>
          <w:vertAlign w:val="baseline"/>
        </w:rPr>
        <w:t>therapy:</w:t>
      </w:r>
      <w:r>
        <w:rPr>
          <w:i/>
          <w:color w:val="231F20"/>
          <w:spacing w:val="-52"/>
          <w:sz w:val="22"/>
          <w:vertAlign w:val="baseline"/>
        </w:rPr>
        <w:t> </w:t>
      </w:r>
      <w:r>
        <w:rPr>
          <w:i/>
          <w:color w:val="231F20"/>
          <w:sz w:val="22"/>
          <w:vertAlign w:val="baseline"/>
        </w:rPr>
        <w:t>Basics</w:t>
      </w:r>
      <w:r>
        <w:rPr>
          <w:i/>
          <w:color w:val="231F20"/>
          <w:spacing w:val="-2"/>
          <w:sz w:val="22"/>
          <w:vertAlign w:val="baseline"/>
        </w:rPr>
        <w:t> </w:t>
      </w:r>
      <w:r>
        <w:rPr>
          <w:i/>
          <w:color w:val="231F20"/>
          <w:sz w:val="22"/>
          <w:vertAlign w:val="baseline"/>
        </w:rPr>
        <w:t>and</w:t>
      </w:r>
      <w:r>
        <w:rPr>
          <w:i/>
          <w:color w:val="231F20"/>
          <w:spacing w:val="-1"/>
          <w:sz w:val="22"/>
          <w:vertAlign w:val="baseline"/>
        </w:rPr>
        <w:t> </w:t>
      </w:r>
      <w:r>
        <w:rPr>
          <w:i/>
          <w:color w:val="231F20"/>
          <w:sz w:val="22"/>
          <w:vertAlign w:val="baseline"/>
        </w:rPr>
        <w:t>beyond</w:t>
      </w:r>
      <w:r>
        <w:rPr>
          <w:i/>
          <w:color w:val="231F20"/>
          <w:spacing w:val="-1"/>
          <w:sz w:val="22"/>
          <w:vertAlign w:val="baseline"/>
        </w:rPr>
        <w:t> </w:t>
      </w:r>
      <w:r>
        <w:rPr>
          <w:color w:val="231F20"/>
          <w:sz w:val="22"/>
          <w:vertAlign w:val="baseline"/>
        </w:rPr>
        <w:t>(2nd</w:t>
      </w:r>
      <w:r>
        <w:rPr>
          <w:color w:val="231F20"/>
          <w:spacing w:val="-1"/>
          <w:sz w:val="22"/>
          <w:vertAlign w:val="baseline"/>
        </w:rPr>
        <w:t> </w:t>
      </w:r>
      <w:r>
        <w:rPr>
          <w:color w:val="231F20"/>
          <w:sz w:val="22"/>
          <w:vertAlign w:val="baseline"/>
        </w:rPr>
        <w:t>ed.).</w:t>
      </w:r>
      <w:r>
        <w:rPr>
          <w:color w:val="231F20"/>
          <w:spacing w:val="-2"/>
          <w:sz w:val="22"/>
          <w:vertAlign w:val="baseline"/>
        </w:rPr>
        <w:t> </w:t>
      </w:r>
      <w:r>
        <w:rPr>
          <w:color w:val="231F20"/>
          <w:sz w:val="22"/>
          <w:vertAlign w:val="baseline"/>
        </w:rPr>
        <w:t>Guilford</w:t>
      </w:r>
      <w:r>
        <w:rPr>
          <w:color w:val="231F20"/>
          <w:spacing w:val="-2"/>
          <w:sz w:val="22"/>
          <w:vertAlign w:val="baseline"/>
        </w:rPr>
        <w:t> </w:t>
      </w:r>
      <w:r>
        <w:rPr>
          <w:color w:val="231F20"/>
          <w:sz w:val="22"/>
          <w:vertAlign w:val="baseline"/>
        </w:rPr>
        <w:t>Press.</w:t>
      </w:r>
    </w:p>
    <w:p>
      <w:pPr>
        <w:pStyle w:val="BodyText"/>
        <w:tabs>
          <w:tab w:pos="519" w:val="left" w:leader="none"/>
        </w:tabs>
        <w:spacing w:line="228" w:lineRule="auto" w:before="89"/>
        <w:ind w:left="520" w:right="84" w:hanging="360"/>
      </w:pPr>
      <w:r>
        <w:rPr>
          <w:color w:val="010202"/>
          <w:vertAlign w:val="superscript"/>
        </w:rPr>
        <w:t>56</w:t>
      </w:r>
      <w:r>
        <w:rPr>
          <w:color w:val="010202"/>
          <w:vertAlign w:val="baseline"/>
        </w:rPr>
        <w:tab/>
        <w:t>Fenn</w:t>
      </w:r>
      <w:r>
        <w:rPr>
          <w:color w:val="231F20"/>
          <w:vertAlign w:val="baseline"/>
        </w:rPr>
        <w:t>,</w:t>
      </w:r>
      <w:r>
        <w:rPr>
          <w:color w:val="231F20"/>
          <w:spacing w:val="-1"/>
          <w:vertAlign w:val="baseline"/>
        </w:rPr>
        <w:t> </w:t>
      </w:r>
      <w:r>
        <w:rPr>
          <w:color w:val="231F20"/>
          <w:vertAlign w:val="baseline"/>
        </w:rPr>
        <w:t>K.,</w:t>
      </w:r>
      <w:r>
        <w:rPr>
          <w:color w:val="231F20"/>
          <w:spacing w:val="-2"/>
          <w:vertAlign w:val="baseline"/>
        </w:rPr>
        <w:t> </w:t>
      </w:r>
      <w:r>
        <w:rPr>
          <w:color w:val="231F20"/>
          <w:vertAlign w:val="baseline"/>
        </w:rPr>
        <w:t>&amp;</w:t>
      </w:r>
      <w:r>
        <w:rPr>
          <w:color w:val="231F20"/>
          <w:spacing w:val="-1"/>
          <w:vertAlign w:val="baseline"/>
        </w:rPr>
        <w:t> </w:t>
      </w:r>
      <w:r>
        <w:rPr>
          <w:color w:val="231F20"/>
          <w:vertAlign w:val="baseline"/>
        </w:rPr>
        <w:t>Byrne,</w:t>
      </w:r>
      <w:r>
        <w:rPr>
          <w:color w:val="231F20"/>
          <w:spacing w:val="-1"/>
          <w:vertAlign w:val="baseline"/>
        </w:rPr>
        <w:t> </w:t>
      </w:r>
      <w:r>
        <w:rPr>
          <w:color w:val="231F20"/>
          <w:vertAlign w:val="baseline"/>
        </w:rPr>
        <w:t>M.</w:t>
      </w:r>
      <w:r>
        <w:rPr>
          <w:color w:val="231F20"/>
          <w:spacing w:val="-1"/>
          <w:vertAlign w:val="baseline"/>
        </w:rPr>
        <w:t> </w:t>
      </w:r>
      <w:r>
        <w:rPr>
          <w:color w:val="231F20"/>
          <w:vertAlign w:val="baseline"/>
        </w:rPr>
        <w:t>(2013).</w:t>
      </w:r>
      <w:r>
        <w:rPr>
          <w:color w:val="231F20"/>
          <w:spacing w:val="-5"/>
          <w:vertAlign w:val="baseline"/>
        </w:rPr>
        <w:t> </w:t>
      </w:r>
      <w:r>
        <w:rPr>
          <w:color w:val="231F20"/>
          <w:vertAlign w:val="baseline"/>
        </w:rPr>
        <w:t>The</w:t>
      </w:r>
      <w:r>
        <w:rPr>
          <w:color w:val="231F20"/>
          <w:spacing w:val="-1"/>
          <w:vertAlign w:val="baseline"/>
        </w:rPr>
        <w:t> </w:t>
      </w:r>
      <w:r>
        <w:rPr>
          <w:color w:val="231F20"/>
          <w:vertAlign w:val="baseline"/>
        </w:rPr>
        <w:t>key</w:t>
      </w:r>
      <w:r>
        <w:rPr>
          <w:color w:val="231F20"/>
          <w:spacing w:val="-1"/>
          <w:vertAlign w:val="baseline"/>
        </w:rPr>
        <w:t> </w:t>
      </w:r>
      <w:r>
        <w:rPr>
          <w:color w:val="231F20"/>
          <w:vertAlign w:val="baseline"/>
        </w:rPr>
        <w:t>principles of</w:t>
      </w:r>
      <w:r>
        <w:rPr>
          <w:color w:val="231F20"/>
          <w:spacing w:val="-52"/>
          <w:vertAlign w:val="baseline"/>
        </w:rPr>
        <w:t> </w:t>
      </w:r>
      <w:r>
        <w:rPr>
          <w:color w:val="231F20"/>
          <w:vertAlign w:val="baseline"/>
        </w:rPr>
        <w:t>cognitive behavioural therapy. </w:t>
      </w:r>
      <w:r>
        <w:rPr>
          <w:i/>
          <w:color w:val="231F20"/>
          <w:vertAlign w:val="baseline"/>
        </w:rPr>
        <w:t>InnovAiT, 6</w:t>
      </w:r>
      <w:r>
        <w:rPr>
          <w:color w:val="231F20"/>
          <w:vertAlign w:val="baseline"/>
        </w:rPr>
        <w:t>(9), 579-</w:t>
      </w:r>
      <w:r>
        <w:rPr>
          <w:color w:val="231F20"/>
          <w:spacing w:val="1"/>
          <w:vertAlign w:val="baseline"/>
        </w:rPr>
        <w:t> </w:t>
      </w:r>
      <w:r>
        <w:rPr>
          <w:color w:val="231F20"/>
          <w:vertAlign w:val="baseline"/>
        </w:rPr>
        <w:t>585.</w:t>
      </w:r>
      <w:r>
        <w:rPr>
          <w:color w:val="231F20"/>
          <w:spacing w:val="-2"/>
          <w:vertAlign w:val="baseline"/>
        </w:rPr>
        <w:t> </w:t>
      </w:r>
      <w:hyperlink r:id="rId201">
        <w:r>
          <w:rPr>
            <w:color w:val="3953A4"/>
            <w:u w:val="single" w:color="3953A4"/>
            <w:vertAlign w:val="baseline"/>
          </w:rPr>
          <w:t>https://doi.org/10.1177/1755738012471029</w:t>
        </w:r>
      </w:hyperlink>
    </w:p>
    <w:p>
      <w:pPr>
        <w:pStyle w:val="BodyText"/>
        <w:tabs>
          <w:tab w:pos="519" w:val="left" w:leader="none"/>
        </w:tabs>
        <w:spacing w:line="228" w:lineRule="auto" w:before="90"/>
        <w:ind w:left="520" w:right="48" w:hanging="360"/>
      </w:pPr>
      <w:r>
        <w:rPr>
          <w:color w:val="010202"/>
          <w:vertAlign w:val="superscript"/>
        </w:rPr>
        <w:t>57</w:t>
      </w:r>
      <w:r>
        <w:rPr>
          <w:color w:val="010202"/>
          <w:vertAlign w:val="baseline"/>
        </w:rPr>
        <w:tab/>
      </w:r>
      <w:r>
        <w:rPr>
          <w:color w:val="231F20"/>
          <w:vertAlign w:val="baseline"/>
        </w:rPr>
        <w:t>Malow, R. M., McMahon, R. C., Dévieux, J.,</w:t>
      </w:r>
      <w:r>
        <w:rPr>
          <w:color w:val="231F20"/>
          <w:spacing w:val="1"/>
          <w:vertAlign w:val="baseline"/>
        </w:rPr>
        <w:t> </w:t>
      </w:r>
      <w:r>
        <w:rPr>
          <w:color w:val="231F20"/>
          <w:spacing w:val="-2"/>
          <w:vertAlign w:val="baseline"/>
        </w:rPr>
        <w:t>Rosenberg, </w:t>
      </w:r>
      <w:r>
        <w:rPr>
          <w:color w:val="231F20"/>
          <w:spacing w:val="-1"/>
          <w:vertAlign w:val="baseline"/>
        </w:rPr>
        <w:t>R., Frankel, A., Bryant, V., Lerner, B., &amp;</w:t>
      </w:r>
      <w:r>
        <w:rPr>
          <w:color w:val="231F20"/>
          <w:spacing w:val="-52"/>
          <w:vertAlign w:val="baseline"/>
        </w:rPr>
        <w:t> </w:t>
      </w:r>
      <w:r>
        <w:rPr>
          <w:color w:val="231F20"/>
          <w:vertAlign w:val="baseline"/>
        </w:rPr>
        <w:t>Miguez,</w:t>
      </w:r>
      <w:r>
        <w:rPr>
          <w:color w:val="231F20"/>
          <w:spacing w:val="-3"/>
          <w:vertAlign w:val="baseline"/>
        </w:rPr>
        <w:t> </w:t>
      </w:r>
      <w:r>
        <w:rPr>
          <w:color w:val="231F20"/>
          <w:vertAlign w:val="baseline"/>
        </w:rPr>
        <w:t>M.</w:t>
      </w:r>
      <w:r>
        <w:rPr>
          <w:color w:val="231F20"/>
          <w:spacing w:val="-2"/>
          <w:vertAlign w:val="baseline"/>
        </w:rPr>
        <w:t> </w:t>
      </w:r>
      <w:r>
        <w:rPr>
          <w:color w:val="231F20"/>
          <w:vertAlign w:val="baseline"/>
        </w:rPr>
        <w:t>J.</w:t>
      </w:r>
      <w:r>
        <w:rPr>
          <w:color w:val="231F20"/>
          <w:spacing w:val="-3"/>
          <w:vertAlign w:val="baseline"/>
        </w:rPr>
        <w:t> </w:t>
      </w:r>
      <w:r>
        <w:rPr>
          <w:color w:val="231F20"/>
          <w:vertAlign w:val="baseline"/>
        </w:rPr>
        <w:t>(2012).</w:t>
      </w:r>
      <w:r>
        <w:rPr>
          <w:color w:val="231F20"/>
          <w:spacing w:val="-1"/>
          <w:vertAlign w:val="baseline"/>
        </w:rPr>
        <w:t> </w:t>
      </w:r>
      <w:r>
        <w:rPr>
          <w:color w:val="231F20"/>
          <w:vertAlign w:val="baseline"/>
        </w:rPr>
        <w:t>Cognitive</w:t>
      </w:r>
      <w:r>
        <w:rPr>
          <w:color w:val="231F20"/>
          <w:spacing w:val="-1"/>
          <w:vertAlign w:val="baseline"/>
        </w:rPr>
        <w:t> </w:t>
      </w:r>
      <w:r>
        <w:rPr>
          <w:color w:val="231F20"/>
          <w:vertAlign w:val="baseline"/>
        </w:rPr>
        <w:t>behavioral</w:t>
      </w:r>
      <w:r>
        <w:rPr>
          <w:color w:val="231F20"/>
          <w:spacing w:val="-2"/>
          <w:vertAlign w:val="baseline"/>
        </w:rPr>
        <w:t> </w:t>
      </w:r>
      <w:r>
        <w:rPr>
          <w:color w:val="231F20"/>
          <w:vertAlign w:val="baseline"/>
        </w:rPr>
        <w:t>HIV</w:t>
      </w:r>
      <w:r>
        <w:rPr>
          <w:color w:val="231F20"/>
          <w:spacing w:val="-6"/>
          <w:vertAlign w:val="baseline"/>
        </w:rPr>
        <w:t> </w:t>
      </w:r>
      <w:r>
        <w:rPr>
          <w:color w:val="231F20"/>
          <w:vertAlign w:val="baseline"/>
        </w:rPr>
        <w:t>risk</w:t>
      </w:r>
      <w:r>
        <w:rPr>
          <w:color w:val="231F20"/>
          <w:spacing w:val="-52"/>
          <w:vertAlign w:val="baseline"/>
        </w:rPr>
        <w:t> </w:t>
      </w:r>
      <w:r>
        <w:rPr>
          <w:color w:val="231F20"/>
          <w:vertAlign w:val="baseline"/>
        </w:rPr>
        <w:t>reduction in those receiving psychiatric treatment: A</w:t>
      </w:r>
      <w:r>
        <w:rPr>
          <w:color w:val="231F20"/>
          <w:spacing w:val="-52"/>
          <w:vertAlign w:val="baseline"/>
        </w:rPr>
        <w:t> </w:t>
      </w:r>
      <w:r>
        <w:rPr>
          <w:color w:val="231F20"/>
          <w:vertAlign w:val="baseline"/>
        </w:rPr>
        <w:t>clinical trial. </w:t>
      </w:r>
      <w:r>
        <w:rPr>
          <w:i/>
          <w:color w:val="231F20"/>
          <w:vertAlign w:val="baseline"/>
        </w:rPr>
        <w:t>AIDS and Behavior, 16</w:t>
      </w:r>
      <w:r>
        <w:rPr>
          <w:color w:val="231F20"/>
          <w:vertAlign w:val="baseline"/>
        </w:rPr>
        <w:t>(5), 1192-1202.</w:t>
      </w:r>
      <w:r>
        <w:rPr>
          <w:color w:val="231F20"/>
          <w:spacing w:val="1"/>
          <w:vertAlign w:val="baseline"/>
        </w:rPr>
        <w:t> </w:t>
      </w:r>
      <w:hyperlink r:id="rId202">
        <w:r>
          <w:rPr>
            <w:color w:val="3953A4"/>
            <w:u w:val="single" w:color="3953A4"/>
            <w:vertAlign w:val="baseline"/>
          </w:rPr>
          <w:t>https://doi.org/10.1007/s10461-011-0104-y</w:t>
        </w:r>
      </w:hyperlink>
    </w:p>
    <w:p>
      <w:pPr>
        <w:pStyle w:val="BodyText"/>
        <w:tabs>
          <w:tab w:pos="519" w:val="left" w:leader="none"/>
        </w:tabs>
        <w:spacing w:line="246" w:lineRule="exact" w:before="77"/>
        <w:ind w:left="160"/>
      </w:pPr>
      <w:r>
        <w:rPr>
          <w:color w:val="010202"/>
          <w:vertAlign w:val="superscript"/>
        </w:rPr>
        <w:t>58</w:t>
      </w:r>
      <w:r>
        <w:rPr>
          <w:color w:val="010202"/>
          <w:vertAlign w:val="baseline"/>
        </w:rPr>
        <w:tab/>
      </w:r>
      <w:r>
        <w:rPr>
          <w:color w:val="010202"/>
          <w:spacing w:val="-2"/>
          <w:vertAlign w:val="baseline"/>
        </w:rPr>
        <w:t>O</w:t>
      </w:r>
      <w:r>
        <w:rPr>
          <w:color w:val="231F20"/>
          <w:spacing w:val="-2"/>
          <w:vertAlign w:val="baseline"/>
        </w:rPr>
        <w:t>’Cleirigh,</w:t>
      </w:r>
      <w:r>
        <w:rPr>
          <w:color w:val="231F20"/>
          <w:vertAlign w:val="baseline"/>
        </w:rPr>
        <w:t> </w:t>
      </w:r>
      <w:r>
        <w:rPr>
          <w:color w:val="231F20"/>
          <w:spacing w:val="-2"/>
          <w:vertAlign w:val="baseline"/>
        </w:rPr>
        <w:t>C.,</w:t>
      </w:r>
      <w:r>
        <w:rPr>
          <w:color w:val="231F20"/>
          <w:vertAlign w:val="baseline"/>
        </w:rPr>
        <w:t> </w:t>
      </w:r>
      <w:r>
        <w:rPr>
          <w:color w:val="231F20"/>
          <w:spacing w:val="-2"/>
          <w:vertAlign w:val="baseline"/>
        </w:rPr>
        <w:t>Safren,</w:t>
      </w:r>
      <w:r>
        <w:rPr>
          <w:color w:val="231F20"/>
          <w:spacing w:val="-1"/>
          <w:vertAlign w:val="baseline"/>
        </w:rPr>
        <w:t> S.</w:t>
      </w:r>
      <w:r>
        <w:rPr>
          <w:color w:val="231F20"/>
          <w:spacing w:val="-13"/>
          <w:vertAlign w:val="baseline"/>
        </w:rPr>
        <w:t> </w:t>
      </w:r>
      <w:r>
        <w:rPr>
          <w:color w:val="231F20"/>
          <w:spacing w:val="-1"/>
          <w:vertAlign w:val="baseline"/>
        </w:rPr>
        <w:t>A.,</w:t>
      </w:r>
      <w:r>
        <w:rPr>
          <w:color w:val="231F20"/>
          <w:spacing w:val="-4"/>
          <w:vertAlign w:val="baseline"/>
        </w:rPr>
        <w:t> </w:t>
      </w:r>
      <w:r>
        <w:rPr>
          <w:color w:val="231F20"/>
          <w:spacing w:val="-1"/>
          <w:vertAlign w:val="baseline"/>
        </w:rPr>
        <w:t>Taylor,</w:t>
      </w:r>
      <w:r>
        <w:rPr>
          <w:color w:val="231F20"/>
          <w:vertAlign w:val="baseline"/>
        </w:rPr>
        <w:t> </w:t>
      </w:r>
      <w:r>
        <w:rPr>
          <w:color w:val="231F20"/>
          <w:spacing w:val="-1"/>
          <w:vertAlign w:val="baseline"/>
        </w:rPr>
        <w:t>S.</w:t>
      </w:r>
      <w:r>
        <w:rPr>
          <w:color w:val="231F20"/>
          <w:spacing w:val="-4"/>
          <w:vertAlign w:val="baseline"/>
        </w:rPr>
        <w:t> </w:t>
      </w:r>
      <w:r>
        <w:rPr>
          <w:color w:val="231F20"/>
          <w:spacing w:val="-1"/>
          <w:vertAlign w:val="baseline"/>
        </w:rPr>
        <w:t>W.,</w:t>
      </w:r>
      <w:r>
        <w:rPr>
          <w:color w:val="231F20"/>
          <w:vertAlign w:val="baseline"/>
        </w:rPr>
        <w:t> </w:t>
      </w:r>
      <w:r>
        <w:rPr>
          <w:color w:val="231F20"/>
          <w:spacing w:val="-1"/>
          <w:vertAlign w:val="baseline"/>
        </w:rPr>
        <w:t>Goshe,</w:t>
      </w:r>
    </w:p>
    <w:p>
      <w:pPr>
        <w:pStyle w:val="BodyText"/>
        <w:spacing w:line="228" w:lineRule="auto" w:before="4"/>
        <w:ind w:left="520" w:right="38"/>
      </w:pPr>
      <w:r>
        <w:rPr>
          <w:color w:val="231F20"/>
          <w:spacing w:val="-1"/>
        </w:rPr>
        <w:t>B. M., Bedoya, </w:t>
      </w:r>
      <w:r>
        <w:rPr>
          <w:color w:val="231F20"/>
        </w:rPr>
        <w:t>C. A., Marquez, S. M., Boroughs, M.</w:t>
      </w:r>
      <w:r>
        <w:rPr>
          <w:color w:val="231F20"/>
          <w:spacing w:val="-52"/>
        </w:rPr>
        <w:t> </w:t>
      </w:r>
      <w:r>
        <w:rPr>
          <w:color w:val="231F20"/>
        </w:rPr>
        <w:t>S., &amp; Shipherd, J. C. (2019). Cognitive behavioral</w:t>
      </w:r>
      <w:r>
        <w:rPr>
          <w:color w:val="231F20"/>
          <w:spacing w:val="1"/>
        </w:rPr>
        <w:t> </w:t>
      </w:r>
      <w:r>
        <w:rPr>
          <w:color w:val="231F20"/>
        </w:rPr>
        <w:t>therapy for trauma and self-care (CBT-tsc) in men</w:t>
      </w:r>
      <w:r>
        <w:rPr>
          <w:color w:val="231F20"/>
          <w:spacing w:val="1"/>
        </w:rPr>
        <w:t> </w:t>
      </w:r>
      <w:r>
        <w:rPr>
          <w:color w:val="231F20"/>
        </w:rPr>
        <w:t>who have sex with men with a history of childhood</w:t>
      </w:r>
      <w:r>
        <w:rPr>
          <w:color w:val="231F20"/>
          <w:spacing w:val="1"/>
        </w:rPr>
        <w:t> </w:t>
      </w:r>
      <w:r>
        <w:rPr>
          <w:color w:val="231F20"/>
        </w:rPr>
        <w:t>sexual abuse: A randomized controlled trial. </w:t>
      </w:r>
      <w:r>
        <w:rPr>
          <w:i/>
          <w:color w:val="231F20"/>
        </w:rPr>
        <w:t>AIDS</w:t>
      </w:r>
      <w:r>
        <w:rPr>
          <w:i/>
          <w:color w:val="231F20"/>
          <w:spacing w:val="1"/>
        </w:rPr>
        <w:t> </w:t>
      </w:r>
      <w:r>
        <w:rPr>
          <w:i/>
          <w:color w:val="231F20"/>
        </w:rPr>
        <w:t>and Behavior, 23</w:t>
      </w:r>
      <w:r>
        <w:rPr>
          <w:color w:val="231F20"/>
        </w:rPr>
        <w:t>(9), 2421-2431.</w:t>
      </w:r>
      <w:r>
        <w:rPr>
          <w:color w:val="3953A4"/>
        </w:rPr>
        <w:t> </w:t>
      </w:r>
      <w:hyperlink r:id="rId203">
        <w:r>
          <w:rPr>
            <w:color w:val="3953A4"/>
            <w:u w:val="single" w:color="3953A4"/>
          </w:rPr>
          <w:t>https://doi.</w:t>
        </w:r>
      </w:hyperlink>
      <w:r>
        <w:rPr>
          <w:color w:val="3953A4"/>
          <w:spacing w:val="1"/>
        </w:rPr>
        <w:t> </w:t>
      </w:r>
      <w:hyperlink r:id="rId203">
        <w:r>
          <w:rPr>
            <w:color w:val="3953A4"/>
            <w:u w:val="single" w:color="3953A4"/>
          </w:rPr>
          <w:t>org/10.1007/s10461-019-02482-z</w:t>
        </w:r>
      </w:hyperlink>
    </w:p>
    <w:p>
      <w:pPr>
        <w:pStyle w:val="BodyText"/>
        <w:tabs>
          <w:tab w:pos="519" w:val="left" w:leader="none"/>
        </w:tabs>
        <w:spacing w:line="228" w:lineRule="auto" w:before="88"/>
        <w:ind w:left="520" w:right="129" w:hanging="360"/>
      </w:pPr>
      <w:r>
        <w:rPr>
          <w:color w:val="010202"/>
          <w:vertAlign w:val="superscript"/>
        </w:rPr>
        <w:t>59</w:t>
      </w:r>
      <w:r>
        <w:rPr>
          <w:color w:val="010202"/>
          <w:vertAlign w:val="baseline"/>
        </w:rPr>
        <w:tab/>
        <w:t>Tay</w:t>
      </w:r>
      <w:r>
        <w:rPr>
          <w:color w:val="231F20"/>
          <w:vertAlign w:val="baseline"/>
        </w:rPr>
        <w:t>lor, S. W., Goshe, B. M., Marquez, S. M.,</w:t>
      </w:r>
      <w:r>
        <w:rPr>
          <w:color w:val="231F20"/>
          <w:spacing w:val="1"/>
          <w:vertAlign w:val="baseline"/>
        </w:rPr>
        <w:t> </w:t>
      </w:r>
      <w:r>
        <w:rPr>
          <w:color w:val="231F20"/>
          <w:spacing w:val="-1"/>
          <w:vertAlign w:val="baseline"/>
        </w:rPr>
        <w:t>Safren, S. A., &amp; O’Cleirigh, </w:t>
      </w:r>
      <w:r>
        <w:rPr>
          <w:color w:val="231F20"/>
          <w:vertAlign w:val="baseline"/>
        </w:rPr>
        <w:t>C. (2018). Evaluating a</w:t>
      </w:r>
      <w:r>
        <w:rPr>
          <w:color w:val="231F20"/>
          <w:spacing w:val="-52"/>
          <w:vertAlign w:val="baseline"/>
        </w:rPr>
        <w:t> </w:t>
      </w:r>
      <w:r>
        <w:rPr>
          <w:color w:val="231F20"/>
          <w:vertAlign w:val="baseline"/>
        </w:rPr>
        <w:t>novel intervention to reduce trauma symptoms and</w:t>
      </w:r>
      <w:r>
        <w:rPr>
          <w:color w:val="231F20"/>
          <w:spacing w:val="1"/>
          <w:vertAlign w:val="baseline"/>
        </w:rPr>
        <w:t> </w:t>
      </w:r>
      <w:r>
        <w:rPr>
          <w:color w:val="231F20"/>
          <w:vertAlign w:val="baseline"/>
        </w:rPr>
        <w:t>sexual risk taking: Qualitative exit interviews with</w:t>
      </w:r>
      <w:r>
        <w:rPr>
          <w:color w:val="231F20"/>
          <w:spacing w:val="1"/>
          <w:vertAlign w:val="baseline"/>
        </w:rPr>
        <w:t> </w:t>
      </w:r>
      <w:r>
        <w:rPr>
          <w:color w:val="231F20"/>
          <w:vertAlign w:val="baseline"/>
        </w:rPr>
        <w:t>sexual minority men with childhood sexual abuse.</w:t>
      </w:r>
      <w:r>
        <w:rPr>
          <w:color w:val="231F20"/>
          <w:spacing w:val="1"/>
          <w:vertAlign w:val="baseline"/>
        </w:rPr>
        <w:t> </w:t>
      </w:r>
      <w:r>
        <w:rPr>
          <w:i/>
          <w:color w:val="231F20"/>
          <w:vertAlign w:val="baseline"/>
        </w:rPr>
        <w:t>Psychology, Health &amp; Medicine, 23</w:t>
      </w:r>
      <w:r>
        <w:rPr>
          <w:color w:val="231F20"/>
          <w:vertAlign w:val="baseline"/>
        </w:rPr>
        <w:t>(4), 454-464.</w:t>
      </w:r>
      <w:r>
        <w:rPr>
          <w:color w:val="231F20"/>
          <w:spacing w:val="1"/>
          <w:vertAlign w:val="baseline"/>
        </w:rPr>
        <w:t> </w:t>
      </w:r>
      <w:hyperlink r:id="rId204">
        <w:r>
          <w:rPr>
            <w:color w:val="3953A4"/>
            <w:u w:val="single" w:color="3953A4"/>
            <w:vertAlign w:val="baseline"/>
          </w:rPr>
          <w:t>https://doi.org/10.1080/13548506.2017.134860</w:t>
        </w:r>
      </w:hyperlink>
      <w:r>
        <w:rPr>
          <w:color w:val="3953A4"/>
          <w:u w:val="single" w:color="3953A4"/>
          <w:vertAlign w:val="baseline"/>
        </w:rPr>
        <w:t>9 </w:t>
      </w:r>
    </w:p>
    <w:p>
      <w:pPr>
        <w:pStyle w:val="BodyText"/>
        <w:tabs>
          <w:tab w:pos="519" w:val="left" w:leader="none"/>
        </w:tabs>
        <w:spacing w:line="246" w:lineRule="exact" w:before="91"/>
        <w:ind w:left="160"/>
      </w:pPr>
      <w:r>
        <w:rPr/>
        <w:br w:type="column"/>
      </w:r>
      <w:r>
        <w:rPr>
          <w:color w:val="010202"/>
          <w:vertAlign w:val="superscript"/>
        </w:rPr>
        <w:t>60</w:t>
      </w:r>
      <w:r>
        <w:rPr>
          <w:color w:val="010202"/>
          <w:vertAlign w:val="baseline"/>
        </w:rPr>
        <w:tab/>
        <w:t>M</w:t>
      </w:r>
      <w:r>
        <w:rPr>
          <w:color w:val="231F20"/>
          <w:vertAlign w:val="baseline"/>
        </w:rPr>
        <w:t>imiaga,</w:t>
      </w:r>
      <w:r>
        <w:rPr>
          <w:color w:val="231F20"/>
          <w:spacing w:val="-5"/>
          <w:vertAlign w:val="baseline"/>
        </w:rPr>
        <w:t> </w:t>
      </w:r>
      <w:r>
        <w:rPr>
          <w:color w:val="231F20"/>
          <w:vertAlign w:val="baseline"/>
        </w:rPr>
        <w:t>M.</w:t>
      </w:r>
      <w:r>
        <w:rPr>
          <w:color w:val="231F20"/>
          <w:spacing w:val="-6"/>
          <w:vertAlign w:val="baseline"/>
        </w:rPr>
        <w:t> </w:t>
      </w:r>
      <w:r>
        <w:rPr>
          <w:color w:val="231F20"/>
          <w:vertAlign w:val="baseline"/>
        </w:rPr>
        <w:t>J.,</w:t>
      </w:r>
      <w:r>
        <w:rPr>
          <w:color w:val="231F20"/>
          <w:spacing w:val="-5"/>
          <w:vertAlign w:val="baseline"/>
        </w:rPr>
        <w:t> </w:t>
      </w:r>
      <w:r>
        <w:rPr>
          <w:color w:val="231F20"/>
          <w:vertAlign w:val="baseline"/>
        </w:rPr>
        <w:t>Pantalone,</w:t>
      </w:r>
      <w:r>
        <w:rPr>
          <w:color w:val="231F20"/>
          <w:spacing w:val="-6"/>
          <w:vertAlign w:val="baseline"/>
        </w:rPr>
        <w:t> </w:t>
      </w:r>
      <w:r>
        <w:rPr>
          <w:color w:val="231F20"/>
          <w:vertAlign w:val="baseline"/>
        </w:rPr>
        <w:t>D.</w:t>
      </w:r>
      <w:r>
        <w:rPr>
          <w:color w:val="231F20"/>
          <w:spacing w:val="-9"/>
          <w:vertAlign w:val="baseline"/>
        </w:rPr>
        <w:t> </w:t>
      </w:r>
      <w:r>
        <w:rPr>
          <w:color w:val="231F20"/>
          <w:vertAlign w:val="baseline"/>
        </w:rPr>
        <w:t>W.,</w:t>
      </w:r>
      <w:r>
        <w:rPr>
          <w:color w:val="231F20"/>
          <w:spacing w:val="-4"/>
          <w:vertAlign w:val="baseline"/>
        </w:rPr>
        <w:t> </w:t>
      </w:r>
      <w:r>
        <w:rPr>
          <w:color w:val="231F20"/>
          <w:vertAlign w:val="baseline"/>
        </w:rPr>
        <w:t>Biello,</w:t>
      </w:r>
      <w:r>
        <w:rPr>
          <w:color w:val="231F20"/>
          <w:spacing w:val="-5"/>
          <w:vertAlign w:val="baseline"/>
        </w:rPr>
        <w:t> </w:t>
      </w:r>
      <w:r>
        <w:rPr>
          <w:color w:val="231F20"/>
          <w:vertAlign w:val="baseline"/>
        </w:rPr>
        <w:t>K.</w:t>
      </w:r>
      <w:r>
        <w:rPr>
          <w:color w:val="231F20"/>
          <w:spacing w:val="-5"/>
          <w:vertAlign w:val="baseline"/>
        </w:rPr>
        <w:t> </w:t>
      </w:r>
      <w:r>
        <w:rPr>
          <w:color w:val="231F20"/>
          <w:vertAlign w:val="baseline"/>
        </w:rPr>
        <w:t>B.,</w:t>
      </w:r>
    </w:p>
    <w:p>
      <w:pPr>
        <w:pStyle w:val="BodyText"/>
        <w:spacing w:line="240" w:lineRule="exact"/>
        <w:ind w:left="520"/>
      </w:pPr>
      <w:r>
        <w:rPr>
          <w:color w:val="231F20"/>
        </w:rPr>
        <w:t>Hughto,</w:t>
      </w:r>
      <w:r>
        <w:rPr>
          <w:color w:val="231F20"/>
          <w:spacing w:val="-7"/>
        </w:rPr>
        <w:t> </w:t>
      </w:r>
      <w:r>
        <w:rPr>
          <w:color w:val="231F20"/>
        </w:rPr>
        <w:t>J.</w:t>
      </w:r>
      <w:r>
        <w:rPr>
          <w:color w:val="231F20"/>
          <w:spacing w:val="-7"/>
        </w:rPr>
        <w:t> </w:t>
      </w:r>
      <w:r>
        <w:rPr>
          <w:color w:val="231F20"/>
        </w:rPr>
        <w:t>M.</w:t>
      </w:r>
      <w:r>
        <w:rPr>
          <w:color w:val="231F20"/>
          <w:spacing w:val="-11"/>
        </w:rPr>
        <w:t> </w:t>
      </w:r>
      <w:r>
        <w:rPr>
          <w:color w:val="231F20"/>
        </w:rPr>
        <w:t>W.,</w:t>
      </w:r>
      <w:r>
        <w:rPr>
          <w:color w:val="231F20"/>
          <w:spacing w:val="-6"/>
        </w:rPr>
        <w:t> </w:t>
      </w:r>
      <w:r>
        <w:rPr>
          <w:color w:val="231F20"/>
        </w:rPr>
        <w:t>Frank,</w:t>
      </w:r>
      <w:r>
        <w:rPr>
          <w:color w:val="231F20"/>
          <w:spacing w:val="-7"/>
        </w:rPr>
        <w:t> </w:t>
      </w:r>
      <w:r>
        <w:rPr>
          <w:color w:val="231F20"/>
        </w:rPr>
        <w:t>J.,</w:t>
      </w:r>
      <w:r>
        <w:rPr>
          <w:color w:val="231F20"/>
          <w:spacing w:val="-7"/>
        </w:rPr>
        <w:t> </w:t>
      </w:r>
      <w:r>
        <w:rPr>
          <w:color w:val="231F20"/>
        </w:rPr>
        <w:t>O’Cleirigh,</w:t>
      </w:r>
      <w:r>
        <w:rPr>
          <w:color w:val="231F20"/>
          <w:spacing w:val="-6"/>
        </w:rPr>
        <w:t> </w:t>
      </w:r>
      <w:r>
        <w:rPr>
          <w:color w:val="231F20"/>
        </w:rPr>
        <w:t>C.,</w:t>
      </w:r>
      <w:r>
        <w:rPr>
          <w:color w:val="231F20"/>
          <w:spacing w:val="-6"/>
        </w:rPr>
        <w:t> </w:t>
      </w:r>
      <w:r>
        <w:rPr>
          <w:color w:val="231F20"/>
        </w:rPr>
        <w:t>Reisner,</w:t>
      </w:r>
    </w:p>
    <w:p>
      <w:pPr>
        <w:pStyle w:val="BodyText"/>
        <w:spacing w:line="228" w:lineRule="auto" w:before="4"/>
        <w:ind w:left="520" w:right="791"/>
      </w:pPr>
      <w:r>
        <w:rPr>
          <w:color w:val="231F20"/>
          <w:spacing w:val="-1"/>
        </w:rPr>
        <w:t>S. L., Restar, A., Mayer, K. H., &amp; Safren, S. A.</w:t>
      </w:r>
      <w:r>
        <w:rPr>
          <w:color w:val="231F20"/>
        </w:rPr>
        <w:t> (2019). An initial randomized controlled trial of</w:t>
      </w:r>
      <w:r>
        <w:rPr>
          <w:color w:val="231F20"/>
          <w:spacing w:val="1"/>
        </w:rPr>
        <w:t> </w:t>
      </w:r>
      <w:r>
        <w:rPr>
          <w:color w:val="231F20"/>
        </w:rPr>
        <w:t>behavioral activation for treatment of concurrent</w:t>
      </w:r>
      <w:r>
        <w:rPr>
          <w:color w:val="231F20"/>
          <w:spacing w:val="1"/>
        </w:rPr>
        <w:t> </w:t>
      </w:r>
      <w:r>
        <w:rPr>
          <w:color w:val="231F20"/>
        </w:rPr>
        <w:t>crystal methamphetamine dependence and sexual</w:t>
      </w:r>
      <w:r>
        <w:rPr>
          <w:color w:val="231F20"/>
          <w:spacing w:val="1"/>
        </w:rPr>
        <w:t> </w:t>
      </w:r>
      <w:r>
        <w:rPr>
          <w:color w:val="231F20"/>
        </w:rPr>
        <w:t>risk for HIV acquisition among men who have sex</w:t>
      </w:r>
      <w:r>
        <w:rPr>
          <w:color w:val="231F20"/>
          <w:spacing w:val="1"/>
        </w:rPr>
        <w:t> </w:t>
      </w:r>
      <w:r>
        <w:rPr>
          <w:color w:val="231F20"/>
        </w:rPr>
        <w:t>with</w:t>
      </w:r>
      <w:r>
        <w:rPr>
          <w:color w:val="231F20"/>
          <w:spacing w:val="-5"/>
        </w:rPr>
        <w:t> </w:t>
      </w:r>
      <w:r>
        <w:rPr>
          <w:color w:val="231F20"/>
        </w:rPr>
        <w:t>men.</w:t>
      </w:r>
      <w:r>
        <w:rPr>
          <w:color w:val="231F20"/>
          <w:spacing w:val="-4"/>
        </w:rPr>
        <w:t> </w:t>
      </w:r>
      <w:r>
        <w:rPr>
          <w:i/>
          <w:color w:val="231F20"/>
        </w:rPr>
        <w:t>AIDS</w:t>
      </w:r>
      <w:r>
        <w:rPr>
          <w:i/>
          <w:color w:val="231F20"/>
          <w:spacing w:val="-4"/>
        </w:rPr>
        <w:t> </w:t>
      </w:r>
      <w:r>
        <w:rPr>
          <w:i/>
          <w:color w:val="231F20"/>
        </w:rPr>
        <w:t>Care,</w:t>
      </w:r>
      <w:r>
        <w:rPr>
          <w:i/>
          <w:color w:val="231F20"/>
          <w:spacing w:val="-4"/>
        </w:rPr>
        <w:t> </w:t>
      </w:r>
      <w:r>
        <w:rPr>
          <w:i/>
          <w:color w:val="231F20"/>
        </w:rPr>
        <w:t>31</w:t>
      </w:r>
      <w:r>
        <w:rPr>
          <w:color w:val="231F20"/>
        </w:rPr>
        <w:t>(9),</w:t>
      </w:r>
      <w:r>
        <w:rPr>
          <w:color w:val="231F20"/>
          <w:spacing w:val="-4"/>
        </w:rPr>
        <w:t> </w:t>
      </w:r>
      <w:r>
        <w:rPr>
          <w:color w:val="231F20"/>
        </w:rPr>
        <w:t>1083-1095.</w:t>
      </w:r>
      <w:r>
        <w:rPr>
          <w:color w:val="3953A4"/>
          <w:spacing w:val="-4"/>
        </w:rPr>
        <w:t> </w:t>
      </w:r>
      <w:hyperlink r:id="rId205">
        <w:r>
          <w:rPr>
            <w:color w:val="3953A4"/>
            <w:u w:val="single" w:color="3953A4"/>
          </w:rPr>
          <w:t>https://doi.</w:t>
        </w:r>
      </w:hyperlink>
      <w:r>
        <w:rPr>
          <w:color w:val="3953A4"/>
          <w:spacing w:val="-52"/>
        </w:rPr>
        <w:t> </w:t>
      </w:r>
      <w:hyperlink r:id="rId205">
        <w:r>
          <w:rPr>
            <w:color w:val="3953A4"/>
            <w:u w:val="single" w:color="3953A4"/>
          </w:rPr>
          <w:t>org/10.1080/09540121.2019.159551</w:t>
        </w:r>
      </w:hyperlink>
      <w:r>
        <w:rPr>
          <w:color w:val="3953A4"/>
          <w:u w:val="single" w:color="3953A4"/>
        </w:rPr>
        <w:t>8 </w:t>
      </w:r>
    </w:p>
    <w:p>
      <w:pPr>
        <w:pStyle w:val="BodyText"/>
        <w:tabs>
          <w:tab w:pos="519" w:val="left" w:leader="none"/>
        </w:tabs>
        <w:spacing w:line="228" w:lineRule="auto" w:before="87"/>
        <w:ind w:left="520" w:right="736" w:hanging="360"/>
      </w:pPr>
      <w:r>
        <w:rPr>
          <w:color w:val="010202"/>
          <w:vertAlign w:val="superscript"/>
        </w:rPr>
        <w:t>61</w:t>
      </w:r>
      <w:r>
        <w:rPr>
          <w:color w:val="010202"/>
          <w:vertAlign w:val="baseline"/>
        </w:rPr>
        <w:tab/>
      </w:r>
      <w:r>
        <w:rPr>
          <w:color w:val="231F20"/>
          <w:spacing w:val="-2"/>
          <w:vertAlign w:val="baseline"/>
        </w:rPr>
        <w:t>Hart, T. A., Tulloch, </w:t>
      </w:r>
      <w:r>
        <w:rPr>
          <w:color w:val="231F20"/>
          <w:spacing w:val="-1"/>
          <w:vertAlign w:val="baseline"/>
        </w:rPr>
        <w:t>T. G., &amp; O’Cleirigh, C. (2014).</w:t>
      </w:r>
      <w:r>
        <w:rPr>
          <w:color w:val="231F20"/>
          <w:vertAlign w:val="baseline"/>
        </w:rPr>
        <w:t> Integrated cognitive behavioral therapy for social</w:t>
      </w:r>
      <w:r>
        <w:rPr>
          <w:color w:val="231F20"/>
          <w:spacing w:val="1"/>
          <w:vertAlign w:val="baseline"/>
        </w:rPr>
        <w:t> </w:t>
      </w:r>
      <w:r>
        <w:rPr>
          <w:color w:val="231F20"/>
          <w:vertAlign w:val="baseline"/>
        </w:rPr>
        <w:t>anxiety and HIV prevention for gay and bisexual</w:t>
      </w:r>
      <w:r>
        <w:rPr>
          <w:color w:val="231F20"/>
          <w:spacing w:val="1"/>
          <w:vertAlign w:val="baseline"/>
        </w:rPr>
        <w:t> </w:t>
      </w:r>
      <w:r>
        <w:rPr>
          <w:color w:val="231F20"/>
          <w:vertAlign w:val="baseline"/>
        </w:rPr>
        <w:t>men. </w:t>
      </w:r>
      <w:r>
        <w:rPr>
          <w:i/>
          <w:color w:val="231F20"/>
          <w:vertAlign w:val="baseline"/>
        </w:rPr>
        <w:t>Cognitive and Behavioral Practice, 21</w:t>
      </w:r>
      <w:r>
        <w:rPr>
          <w:color w:val="231F20"/>
          <w:vertAlign w:val="baseline"/>
        </w:rPr>
        <w:t>(2), 149-</w:t>
      </w:r>
      <w:r>
        <w:rPr>
          <w:color w:val="231F20"/>
          <w:spacing w:val="-53"/>
          <w:vertAlign w:val="baseline"/>
        </w:rPr>
        <w:t> </w:t>
      </w:r>
      <w:r>
        <w:rPr>
          <w:color w:val="231F20"/>
          <w:vertAlign w:val="baseline"/>
        </w:rPr>
        <w:t>160.</w:t>
      </w:r>
      <w:r>
        <w:rPr>
          <w:color w:val="231F20"/>
          <w:spacing w:val="-1"/>
          <w:vertAlign w:val="baseline"/>
        </w:rPr>
        <w:t> </w:t>
      </w:r>
      <w:hyperlink r:id="rId206">
        <w:r>
          <w:rPr>
            <w:color w:val="3953A4"/>
            <w:u w:val="single" w:color="3953A4"/>
            <w:vertAlign w:val="baseline"/>
          </w:rPr>
          <w:t>https://doi.org/10.1016/j.cbpra.2013.07.001</w:t>
        </w:r>
      </w:hyperlink>
    </w:p>
    <w:p>
      <w:pPr>
        <w:pStyle w:val="BodyText"/>
        <w:tabs>
          <w:tab w:pos="519" w:val="left" w:leader="none"/>
        </w:tabs>
        <w:spacing w:line="228" w:lineRule="auto" w:before="89"/>
        <w:ind w:left="520" w:right="795" w:hanging="360"/>
      </w:pPr>
      <w:r>
        <w:rPr>
          <w:color w:val="010202"/>
          <w:vertAlign w:val="superscript"/>
        </w:rPr>
        <w:t>62</w:t>
      </w:r>
      <w:r>
        <w:rPr>
          <w:color w:val="010202"/>
          <w:vertAlign w:val="baseline"/>
        </w:rPr>
        <w:tab/>
      </w:r>
      <w:r>
        <w:rPr>
          <w:color w:val="010202"/>
          <w:spacing w:val="-3"/>
          <w:vertAlign w:val="baseline"/>
        </w:rPr>
        <w:t>H</w:t>
      </w:r>
      <w:r>
        <w:rPr>
          <w:color w:val="231F20"/>
          <w:spacing w:val="-3"/>
          <w:vertAlign w:val="baseline"/>
        </w:rPr>
        <w:t>art, T. A., Noor, S. W., </w:t>
      </w:r>
      <w:r>
        <w:rPr>
          <w:color w:val="231F20"/>
          <w:spacing w:val="-2"/>
          <w:vertAlign w:val="baseline"/>
        </w:rPr>
        <w:t>Vernon, J. R., Antony, M.</w:t>
      </w:r>
      <w:r>
        <w:rPr>
          <w:color w:val="231F20"/>
          <w:spacing w:val="-1"/>
          <w:vertAlign w:val="baseline"/>
        </w:rPr>
        <w:t> </w:t>
      </w:r>
      <w:r>
        <w:rPr>
          <w:color w:val="231F20"/>
          <w:vertAlign w:val="baseline"/>
        </w:rPr>
        <w:t>M.,</w:t>
      </w:r>
      <w:r>
        <w:rPr>
          <w:color w:val="231F20"/>
          <w:spacing w:val="-5"/>
          <w:vertAlign w:val="baseline"/>
        </w:rPr>
        <w:t> </w:t>
      </w:r>
      <w:r>
        <w:rPr>
          <w:color w:val="231F20"/>
          <w:vertAlign w:val="baseline"/>
        </w:rPr>
        <w:t>Gardner,</w:t>
      </w:r>
      <w:r>
        <w:rPr>
          <w:color w:val="231F20"/>
          <w:spacing w:val="-4"/>
          <w:vertAlign w:val="baseline"/>
        </w:rPr>
        <w:t> </w:t>
      </w:r>
      <w:r>
        <w:rPr>
          <w:color w:val="231F20"/>
          <w:vertAlign w:val="baseline"/>
        </w:rPr>
        <w:t>S.,</w:t>
      </w:r>
      <w:r>
        <w:rPr>
          <w:color w:val="231F20"/>
          <w:spacing w:val="-5"/>
          <w:vertAlign w:val="baseline"/>
        </w:rPr>
        <w:t> </w:t>
      </w:r>
      <w:r>
        <w:rPr>
          <w:color w:val="231F20"/>
          <w:vertAlign w:val="baseline"/>
        </w:rPr>
        <w:t>&amp;</w:t>
      </w:r>
      <w:r>
        <w:rPr>
          <w:color w:val="231F20"/>
          <w:spacing w:val="-4"/>
          <w:vertAlign w:val="baseline"/>
        </w:rPr>
        <w:t> </w:t>
      </w:r>
      <w:r>
        <w:rPr>
          <w:color w:val="231F20"/>
          <w:vertAlign w:val="baseline"/>
        </w:rPr>
        <w:t>O’Cleirigh,</w:t>
      </w:r>
      <w:r>
        <w:rPr>
          <w:color w:val="231F20"/>
          <w:spacing w:val="-5"/>
          <w:vertAlign w:val="baseline"/>
        </w:rPr>
        <w:t> </w:t>
      </w:r>
      <w:r>
        <w:rPr>
          <w:color w:val="231F20"/>
          <w:vertAlign w:val="baseline"/>
        </w:rPr>
        <w:t>C.</w:t>
      </w:r>
      <w:r>
        <w:rPr>
          <w:color w:val="231F20"/>
          <w:spacing w:val="-4"/>
          <w:vertAlign w:val="baseline"/>
        </w:rPr>
        <w:t> </w:t>
      </w:r>
      <w:r>
        <w:rPr>
          <w:color w:val="231F20"/>
          <w:vertAlign w:val="baseline"/>
        </w:rPr>
        <w:t>(2020).</w:t>
      </w:r>
      <w:r>
        <w:rPr>
          <w:color w:val="231F20"/>
          <w:spacing w:val="-4"/>
          <w:vertAlign w:val="baseline"/>
        </w:rPr>
        <w:t> </w:t>
      </w:r>
      <w:r>
        <w:rPr>
          <w:color w:val="231F20"/>
          <w:vertAlign w:val="baseline"/>
        </w:rPr>
        <w:t>Integrated</w:t>
      </w:r>
      <w:r>
        <w:rPr>
          <w:color w:val="231F20"/>
          <w:spacing w:val="-52"/>
          <w:vertAlign w:val="baseline"/>
        </w:rPr>
        <w:t> </w:t>
      </w:r>
      <w:r>
        <w:rPr>
          <w:color w:val="231F20"/>
          <w:vertAlign w:val="baseline"/>
        </w:rPr>
        <w:t>cognitive-behavioral therapy for social anxiety and</w:t>
      </w:r>
      <w:r>
        <w:rPr>
          <w:color w:val="231F20"/>
          <w:spacing w:val="1"/>
          <w:vertAlign w:val="baseline"/>
        </w:rPr>
        <w:t> </w:t>
      </w:r>
      <w:r>
        <w:rPr>
          <w:color w:val="231F20"/>
          <w:vertAlign w:val="baseline"/>
        </w:rPr>
        <w:t>HIV/STI prevention for gay and bisexual men: A</w:t>
      </w:r>
      <w:r>
        <w:rPr>
          <w:color w:val="231F20"/>
          <w:spacing w:val="1"/>
          <w:vertAlign w:val="baseline"/>
        </w:rPr>
        <w:t> </w:t>
      </w:r>
      <w:r>
        <w:rPr>
          <w:color w:val="231F20"/>
          <w:vertAlign w:val="baseline"/>
        </w:rPr>
        <w:t>pilot intervention trial. </w:t>
      </w:r>
      <w:r>
        <w:rPr>
          <w:i/>
          <w:color w:val="231F20"/>
          <w:vertAlign w:val="baseline"/>
        </w:rPr>
        <w:t>Behavior Therapy, 51</w:t>
      </w:r>
      <w:r>
        <w:rPr>
          <w:color w:val="231F20"/>
          <w:vertAlign w:val="baseline"/>
        </w:rPr>
        <w:t>(3),</w:t>
      </w:r>
      <w:r>
        <w:rPr>
          <w:color w:val="231F20"/>
          <w:spacing w:val="1"/>
          <w:vertAlign w:val="baseline"/>
        </w:rPr>
        <w:t> </w:t>
      </w:r>
      <w:r>
        <w:rPr>
          <w:color w:val="231F20"/>
          <w:vertAlign w:val="baseline"/>
        </w:rPr>
        <w:t>503-517.</w:t>
      </w:r>
      <w:r>
        <w:rPr>
          <w:color w:val="231F20"/>
          <w:spacing w:val="-3"/>
          <w:vertAlign w:val="baseline"/>
        </w:rPr>
        <w:t> </w:t>
      </w:r>
      <w:hyperlink r:id="rId207">
        <w:r>
          <w:rPr>
            <w:color w:val="3953A4"/>
            <w:u w:val="single" w:color="3953A4"/>
            <w:vertAlign w:val="baseline"/>
          </w:rPr>
          <w:t>https://doi.org/10.1016/j.beth.2019.09.001</w:t>
        </w:r>
      </w:hyperlink>
    </w:p>
    <w:p>
      <w:pPr>
        <w:pStyle w:val="BodyText"/>
        <w:tabs>
          <w:tab w:pos="519" w:val="left" w:leader="none"/>
        </w:tabs>
        <w:spacing w:line="246" w:lineRule="exact" w:before="77"/>
        <w:ind w:left="160"/>
      </w:pPr>
      <w:r>
        <w:rPr>
          <w:color w:val="010202"/>
          <w:vertAlign w:val="superscript"/>
        </w:rPr>
        <w:t>63</w:t>
      </w:r>
      <w:r>
        <w:rPr>
          <w:color w:val="010202"/>
          <w:vertAlign w:val="baseline"/>
        </w:rPr>
        <w:tab/>
      </w:r>
      <w:r>
        <w:rPr>
          <w:color w:val="010202"/>
          <w:spacing w:val="-1"/>
          <w:vertAlign w:val="baseline"/>
        </w:rPr>
        <w:t>S</w:t>
      </w:r>
      <w:r>
        <w:rPr>
          <w:color w:val="231F20"/>
          <w:spacing w:val="-1"/>
          <w:vertAlign w:val="baseline"/>
        </w:rPr>
        <w:t>afren,</w:t>
      </w:r>
      <w:r>
        <w:rPr>
          <w:color w:val="231F20"/>
          <w:vertAlign w:val="baseline"/>
        </w:rPr>
        <w:t> </w:t>
      </w:r>
      <w:r>
        <w:rPr>
          <w:color w:val="231F20"/>
          <w:spacing w:val="-1"/>
          <w:vertAlign w:val="baseline"/>
        </w:rPr>
        <w:t>S.</w:t>
      </w:r>
      <w:r>
        <w:rPr>
          <w:color w:val="231F20"/>
          <w:spacing w:val="-13"/>
          <w:vertAlign w:val="baseline"/>
        </w:rPr>
        <w:t> </w:t>
      </w:r>
      <w:r>
        <w:rPr>
          <w:color w:val="231F20"/>
          <w:spacing w:val="-1"/>
          <w:vertAlign w:val="baseline"/>
        </w:rPr>
        <w:t>A., O’Cleirigh, </w:t>
      </w:r>
      <w:r>
        <w:rPr>
          <w:color w:val="231F20"/>
          <w:vertAlign w:val="baseline"/>
        </w:rPr>
        <w:t>C. M.,</w:t>
      </w:r>
      <w:r>
        <w:rPr>
          <w:color w:val="231F20"/>
          <w:spacing w:val="-1"/>
          <w:vertAlign w:val="baseline"/>
        </w:rPr>
        <w:t> </w:t>
      </w:r>
      <w:r>
        <w:rPr>
          <w:color w:val="231F20"/>
          <w:vertAlign w:val="baseline"/>
        </w:rPr>
        <w:t>Bullis, J.</w:t>
      </w:r>
      <w:r>
        <w:rPr>
          <w:color w:val="231F20"/>
          <w:spacing w:val="-1"/>
          <w:vertAlign w:val="baseline"/>
        </w:rPr>
        <w:t> </w:t>
      </w:r>
      <w:r>
        <w:rPr>
          <w:color w:val="231F20"/>
          <w:vertAlign w:val="baseline"/>
        </w:rPr>
        <w:t>R., Otto,</w:t>
      </w:r>
    </w:p>
    <w:p>
      <w:pPr>
        <w:pStyle w:val="BodyText"/>
        <w:spacing w:line="228" w:lineRule="auto" w:before="4"/>
        <w:ind w:left="520" w:right="739"/>
      </w:pPr>
      <w:r>
        <w:rPr>
          <w:color w:val="231F20"/>
        </w:rPr>
        <w:t>M. W., Stein, M. D., &amp; Pollack, M. H. (2012).</w:t>
      </w:r>
      <w:r>
        <w:rPr>
          <w:color w:val="231F20"/>
          <w:spacing w:val="1"/>
        </w:rPr>
        <w:t> </w:t>
      </w:r>
      <w:r>
        <w:rPr>
          <w:color w:val="231F20"/>
        </w:rPr>
        <w:t>Cognitive behavioral therapy for adherence and</w:t>
      </w:r>
      <w:r>
        <w:rPr>
          <w:color w:val="231F20"/>
          <w:spacing w:val="1"/>
        </w:rPr>
        <w:t> </w:t>
      </w:r>
      <w:r>
        <w:rPr>
          <w:color w:val="231F20"/>
        </w:rPr>
        <w:t>depression (CBT-ad) in HIV-infected injection drug</w:t>
      </w:r>
      <w:r>
        <w:rPr>
          <w:color w:val="231F20"/>
          <w:spacing w:val="1"/>
        </w:rPr>
        <w:t> </w:t>
      </w:r>
      <w:r>
        <w:rPr>
          <w:color w:val="231F20"/>
        </w:rPr>
        <w:t>users: A randomized controlled trial. </w:t>
      </w:r>
      <w:r>
        <w:rPr>
          <w:i/>
          <w:color w:val="231F20"/>
        </w:rPr>
        <w:t>Journal of</w:t>
      </w:r>
      <w:r>
        <w:rPr>
          <w:i/>
          <w:color w:val="231F20"/>
          <w:spacing w:val="1"/>
        </w:rPr>
        <w:t> </w:t>
      </w:r>
      <w:r>
        <w:rPr>
          <w:i/>
          <w:color w:val="231F20"/>
        </w:rPr>
        <w:t>Consulting</w:t>
      </w:r>
      <w:r>
        <w:rPr>
          <w:i/>
          <w:color w:val="231F20"/>
          <w:spacing w:val="-6"/>
        </w:rPr>
        <w:t> </w:t>
      </w:r>
      <w:r>
        <w:rPr>
          <w:i/>
          <w:color w:val="231F20"/>
        </w:rPr>
        <w:t>and</w:t>
      </w:r>
      <w:r>
        <w:rPr>
          <w:i/>
          <w:color w:val="231F20"/>
          <w:spacing w:val="-5"/>
        </w:rPr>
        <w:t> </w:t>
      </w:r>
      <w:r>
        <w:rPr>
          <w:i/>
          <w:color w:val="231F20"/>
        </w:rPr>
        <w:t>Clinical</w:t>
      </w:r>
      <w:r>
        <w:rPr>
          <w:i/>
          <w:color w:val="231F20"/>
          <w:spacing w:val="-6"/>
        </w:rPr>
        <w:t> </w:t>
      </w:r>
      <w:r>
        <w:rPr>
          <w:i/>
          <w:color w:val="231F20"/>
        </w:rPr>
        <w:t>Psychology,</w:t>
      </w:r>
      <w:r>
        <w:rPr>
          <w:i/>
          <w:color w:val="231F20"/>
          <w:spacing w:val="-5"/>
        </w:rPr>
        <w:t> </w:t>
      </w:r>
      <w:r>
        <w:rPr>
          <w:i/>
          <w:color w:val="231F20"/>
        </w:rPr>
        <w:t>80</w:t>
      </w:r>
      <w:r>
        <w:rPr>
          <w:color w:val="231F20"/>
        </w:rPr>
        <w:t>(3),</w:t>
      </w:r>
      <w:r>
        <w:rPr>
          <w:color w:val="231F20"/>
          <w:spacing w:val="-6"/>
        </w:rPr>
        <w:t> </w:t>
      </w:r>
      <w:r>
        <w:rPr>
          <w:color w:val="231F20"/>
        </w:rPr>
        <w:t>404-415.</w:t>
      </w:r>
      <w:r>
        <w:rPr>
          <w:color w:val="3953A4"/>
          <w:spacing w:val="-52"/>
        </w:rPr>
        <w:t> </w:t>
      </w:r>
      <w:hyperlink r:id="rId208">
        <w:r>
          <w:rPr>
            <w:color w:val="3953A4"/>
            <w:u w:val="single" w:color="3953A4"/>
          </w:rPr>
          <w:t>https://doi.org/10.1037/a0028208</w:t>
        </w:r>
      </w:hyperlink>
    </w:p>
    <w:p>
      <w:pPr>
        <w:pStyle w:val="BodyText"/>
        <w:tabs>
          <w:tab w:pos="519" w:val="left" w:leader="none"/>
        </w:tabs>
        <w:spacing w:line="228" w:lineRule="auto" w:before="88"/>
        <w:ind w:left="520" w:right="771" w:hanging="360"/>
      </w:pPr>
      <w:r>
        <w:rPr>
          <w:color w:val="010202"/>
          <w:vertAlign w:val="superscript"/>
        </w:rPr>
        <w:t>64</w:t>
      </w:r>
      <w:r>
        <w:rPr>
          <w:color w:val="010202"/>
          <w:vertAlign w:val="baseline"/>
        </w:rPr>
        <w:tab/>
        <w:t>Ne</w:t>
      </w:r>
      <w:r>
        <w:rPr>
          <w:color w:val="231F20"/>
          <w:vertAlign w:val="baseline"/>
        </w:rPr>
        <w:t>wcomb, M. E., Bedoya, C. A., Blashill, A. J.,</w:t>
      </w:r>
      <w:r>
        <w:rPr>
          <w:color w:val="231F20"/>
          <w:spacing w:val="1"/>
          <w:vertAlign w:val="baseline"/>
        </w:rPr>
        <w:t> </w:t>
      </w:r>
      <w:r>
        <w:rPr>
          <w:color w:val="231F20"/>
          <w:spacing w:val="-1"/>
          <w:vertAlign w:val="baseline"/>
        </w:rPr>
        <w:t>Lerner, J. A., O’Cleirigh, C., Pinkston, </w:t>
      </w:r>
      <w:r>
        <w:rPr>
          <w:color w:val="231F20"/>
          <w:vertAlign w:val="baseline"/>
        </w:rPr>
        <w:t>M. M., &amp;</w:t>
      </w:r>
      <w:r>
        <w:rPr>
          <w:color w:val="231F20"/>
          <w:spacing w:val="1"/>
          <w:vertAlign w:val="baseline"/>
        </w:rPr>
        <w:t> </w:t>
      </w:r>
      <w:r>
        <w:rPr>
          <w:color w:val="231F20"/>
          <w:spacing w:val="-1"/>
          <w:vertAlign w:val="baseline"/>
        </w:rPr>
        <w:t>Safren, S. A. (2015). </w:t>
      </w:r>
      <w:r>
        <w:rPr>
          <w:color w:val="231F20"/>
          <w:vertAlign w:val="baseline"/>
        </w:rPr>
        <w:t>Description and demonstration</w:t>
      </w:r>
      <w:r>
        <w:rPr>
          <w:color w:val="231F20"/>
          <w:spacing w:val="1"/>
          <w:vertAlign w:val="baseline"/>
        </w:rPr>
        <w:t> </w:t>
      </w:r>
      <w:r>
        <w:rPr>
          <w:color w:val="231F20"/>
          <w:vertAlign w:val="baseline"/>
        </w:rPr>
        <w:t>of cognitive behavioral therapy to enhance</w:t>
      </w:r>
      <w:r>
        <w:rPr>
          <w:color w:val="231F20"/>
          <w:spacing w:val="1"/>
          <w:vertAlign w:val="baseline"/>
        </w:rPr>
        <w:t> </w:t>
      </w:r>
      <w:r>
        <w:rPr>
          <w:color w:val="231F20"/>
          <w:vertAlign w:val="baseline"/>
        </w:rPr>
        <w:t>antiretroviral therapy adherence and treat depression</w:t>
      </w:r>
      <w:r>
        <w:rPr>
          <w:color w:val="231F20"/>
          <w:spacing w:val="-52"/>
          <w:vertAlign w:val="baseline"/>
        </w:rPr>
        <w:t> </w:t>
      </w:r>
      <w:r>
        <w:rPr>
          <w:color w:val="231F20"/>
          <w:vertAlign w:val="baseline"/>
        </w:rPr>
        <w:t>in HIV-infected adults. </w:t>
      </w:r>
      <w:r>
        <w:rPr>
          <w:i/>
          <w:color w:val="231F20"/>
          <w:vertAlign w:val="baseline"/>
        </w:rPr>
        <w:t>Cognitive and Behavioral</w:t>
      </w:r>
      <w:r>
        <w:rPr>
          <w:i/>
          <w:color w:val="231F20"/>
          <w:spacing w:val="1"/>
          <w:vertAlign w:val="baseline"/>
        </w:rPr>
        <w:t> </w:t>
      </w:r>
      <w:r>
        <w:rPr>
          <w:i/>
          <w:color w:val="231F20"/>
          <w:vertAlign w:val="baseline"/>
        </w:rPr>
        <w:t>Practice, 22</w:t>
      </w:r>
      <w:r>
        <w:rPr>
          <w:color w:val="231F20"/>
          <w:vertAlign w:val="baseline"/>
        </w:rPr>
        <w:t>(4), 430-438. </w:t>
      </w:r>
      <w:hyperlink r:id="rId209">
        <w:r>
          <w:rPr>
            <w:color w:val="3953A4"/>
            <w:u w:val="single" w:color="3953A4"/>
            <w:vertAlign w:val="baseline"/>
          </w:rPr>
          <w:t>https://doi.org/10.1016/j.</w:t>
        </w:r>
      </w:hyperlink>
      <w:r>
        <w:rPr>
          <w:color w:val="3953A4"/>
          <w:spacing w:val="1"/>
          <w:vertAlign w:val="baseline"/>
        </w:rPr>
        <w:t> </w:t>
      </w:r>
      <w:hyperlink r:id="rId209">
        <w:r>
          <w:rPr>
            <w:color w:val="3953A4"/>
            <w:u w:val="single" w:color="3953A4"/>
            <w:vertAlign w:val="baseline"/>
          </w:rPr>
          <w:t>cbpra.2014.02.001</w:t>
        </w:r>
      </w:hyperlink>
    </w:p>
    <w:p>
      <w:pPr>
        <w:pStyle w:val="BodyText"/>
        <w:tabs>
          <w:tab w:pos="519" w:val="left" w:leader="none"/>
        </w:tabs>
        <w:spacing w:line="246" w:lineRule="exact" w:before="77"/>
        <w:ind w:left="160"/>
      </w:pPr>
      <w:r>
        <w:rPr>
          <w:color w:val="010202"/>
          <w:vertAlign w:val="superscript"/>
        </w:rPr>
        <w:t>65</w:t>
      </w:r>
      <w:r>
        <w:rPr>
          <w:color w:val="010202"/>
          <w:vertAlign w:val="baseline"/>
        </w:rPr>
        <w:tab/>
      </w:r>
      <w:r>
        <w:rPr>
          <w:color w:val="010202"/>
          <w:spacing w:val="-2"/>
          <w:vertAlign w:val="baseline"/>
        </w:rPr>
        <w:t>To</w:t>
      </w:r>
      <w:r>
        <w:rPr>
          <w:color w:val="231F20"/>
          <w:spacing w:val="-2"/>
          <w:vertAlign w:val="baseline"/>
        </w:rPr>
        <w:t>bin,</w:t>
      </w:r>
      <w:r>
        <w:rPr>
          <w:color w:val="231F20"/>
          <w:vertAlign w:val="baseline"/>
        </w:rPr>
        <w:t> </w:t>
      </w:r>
      <w:r>
        <w:rPr>
          <w:color w:val="231F20"/>
          <w:spacing w:val="-1"/>
          <w:vertAlign w:val="baseline"/>
        </w:rPr>
        <w:t>K., Davey-Rothwell,</w:t>
      </w:r>
      <w:r>
        <w:rPr>
          <w:color w:val="231F20"/>
          <w:vertAlign w:val="baseline"/>
        </w:rPr>
        <w:t> </w:t>
      </w:r>
      <w:r>
        <w:rPr>
          <w:color w:val="231F20"/>
          <w:spacing w:val="-1"/>
          <w:vertAlign w:val="baseline"/>
        </w:rPr>
        <w:t>M.</w:t>
      </w:r>
      <w:r>
        <w:rPr>
          <w:color w:val="231F20"/>
          <w:spacing w:val="-13"/>
          <w:vertAlign w:val="baseline"/>
        </w:rPr>
        <w:t> </w:t>
      </w:r>
      <w:r>
        <w:rPr>
          <w:color w:val="231F20"/>
          <w:spacing w:val="-1"/>
          <w:vertAlign w:val="baseline"/>
        </w:rPr>
        <w:t>A.,</w:t>
      </w:r>
      <w:r>
        <w:rPr>
          <w:color w:val="231F20"/>
          <w:vertAlign w:val="baseline"/>
        </w:rPr>
        <w:t> </w:t>
      </w:r>
      <w:r>
        <w:rPr>
          <w:color w:val="231F20"/>
          <w:spacing w:val="-1"/>
          <w:vertAlign w:val="baseline"/>
        </w:rPr>
        <w:t>Nonyane, B.</w:t>
      </w:r>
    </w:p>
    <w:p>
      <w:pPr>
        <w:pStyle w:val="BodyText"/>
        <w:spacing w:line="228" w:lineRule="auto" w:before="4"/>
        <w:ind w:left="520" w:right="716"/>
      </w:pPr>
      <w:r>
        <w:rPr>
          <w:color w:val="231F20"/>
          <w:spacing w:val="-1"/>
        </w:rPr>
        <w:t>A. S., Knowlton, A., Wissow, L., &amp; Latkin, C. A.</w:t>
      </w:r>
      <w:r>
        <w:rPr>
          <w:color w:val="231F20"/>
        </w:rPr>
        <w:t> (2017). RCT of an integrated CBT-HIV intervention</w:t>
      </w:r>
      <w:r>
        <w:rPr>
          <w:color w:val="231F20"/>
          <w:spacing w:val="1"/>
        </w:rPr>
        <w:t> </w:t>
      </w:r>
      <w:r>
        <w:rPr>
          <w:color w:val="231F20"/>
        </w:rPr>
        <w:t>on depressive symptoms and HIV risk. </w:t>
      </w:r>
      <w:r>
        <w:rPr>
          <w:i/>
          <w:color w:val="231F20"/>
        </w:rPr>
        <w:t>PloS One,</w:t>
      </w:r>
      <w:r>
        <w:rPr>
          <w:i/>
          <w:color w:val="231F20"/>
          <w:spacing w:val="1"/>
        </w:rPr>
        <w:t> </w:t>
      </w:r>
      <w:r>
        <w:rPr>
          <w:i/>
          <w:color w:val="231F20"/>
          <w:spacing w:val="-1"/>
        </w:rPr>
        <w:t>12</w:t>
      </w:r>
      <w:r>
        <w:rPr>
          <w:color w:val="231F20"/>
          <w:spacing w:val="-1"/>
        </w:rPr>
        <w:t>(12),</w:t>
      </w:r>
      <w:r>
        <w:rPr>
          <w:color w:val="231F20"/>
          <w:spacing w:val="-11"/>
        </w:rPr>
        <w:t> </w:t>
      </w:r>
      <w:r>
        <w:rPr>
          <w:color w:val="231F20"/>
        </w:rPr>
        <w:t>e0187180-e0187180.</w:t>
      </w:r>
      <w:r>
        <w:rPr>
          <w:color w:val="3953A4"/>
          <w:spacing w:val="-11"/>
        </w:rPr>
        <w:t> </w:t>
      </w:r>
      <w:hyperlink r:id="rId210">
        <w:r>
          <w:rPr>
            <w:color w:val="3953A4"/>
            <w:u w:val="single" w:color="3953A4"/>
          </w:rPr>
          <w:t>https://doi.org/10.1371/</w:t>
        </w:r>
      </w:hyperlink>
      <w:r>
        <w:rPr>
          <w:color w:val="3953A4"/>
          <w:spacing w:val="-52"/>
        </w:rPr>
        <w:t> </w:t>
      </w:r>
      <w:hyperlink r:id="rId210">
        <w:r>
          <w:rPr>
            <w:color w:val="3953A4"/>
            <w:u w:val="single" w:color="3953A4"/>
          </w:rPr>
          <w:t>journal.pone.0187180</w:t>
        </w:r>
      </w:hyperlink>
    </w:p>
    <w:p>
      <w:pPr>
        <w:pStyle w:val="BodyText"/>
        <w:tabs>
          <w:tab w:pos="519" w:val="left" w:leader="none"/>
        </w:tabs>
        <w:spacing w:line="246" w:lineRule="exact" w:before="78"/>
        <w:ind w:left="160"/>
      </w:pPr>
      <w:r>
        <w:rPr>
          <w:color w:val="010202"/>
          <w:vertAlign w:val="superscript"/>
        </w:rPr>
        <w:t>66</w:t>
      </w:r>
      <w:r>
        <w:rPr>
          <w:color w:val="010202"/>
          <w:vertAlign w:val="baseline"/>
        </w:rPr>
        <w:tab/>
        <w:t>Mi</w:t>
      </w:r>
      <w:r>
        <w:rPr>
          <w:color w:val="231F20"/>
          <w:vertAlign w:val="baseline"/>
        </w:rPr>
        <w:t>miaga,</w:t>
      </w:r>
      <w:r>
        <w:rPr>
          <w:color w:val="231F20"/>
          <w:spacing w:val="-4"/>
          <w:vertAlign w:val="baseline"/>
        </w:rPr>
        <w:t> </w:t>
      </w:r>
      <w:r>
        <w:rPr>
          <w:color w:val="231F20"/>
          <w:vertAlign w:val="baseline"/>
        </w:rPr>
        <w:t>M.</w:t>
      </w:r>
      <w:r>
        <w:rPr>
          <w:color w:val="231F20"/>
          <w:spacing w:val="-4"/>
          <w:vertAlign w:val="baseline"/>
        </w:rPr>
        <w:t> </w:t>
      </w:r>
      <w:r>
        <w:rPr>
          <w:color w:val="231F20"/>
          <w:vertAlign w:val="baseline"/>
        </w:rPr>
        <w:t>J.,</w:t>
      </w:r>
      <w:r>
        <w:rPr>
          <w:color w:val="231F20"/>
          <w:spacing w:val="-4"/>
          <w:vertAlign w:val="baseline"/>
        </w:rPr>
        <w:t> </w:t>
      </w:r>
      <w:r>
        <w:rPr>
          <w:color w:val="231F20"/>
          <w:vertAlign w:val="baseline"/>
        </w:rPr>
        <w:t>Reisner,</w:t>
      </w:r>
      <w:r>
        <w:rPr>
          <w:color w:val="231F20"/>
          <w:spacing w:val="-3"/>
          <w:vertAlign w:val="baseline"/>
        </w:rPr>
        <w:t> </w:t>
      </w:r>
      <w:r>
        <w:rPr>
          <w:color w:val="231F20"/>
          <w:vertAlign w:val="baseline"/>
        </w:rPr>
        <w:t>S.</w:t>
      </w:r>
      <w:r>
        <w:rPr>
          <w:color w:val="231F20"/>
          <w:spacing w:val="-4"/>
          <w:vertAlign w:val="baseline"/>
        </w:rPr>
        <w:t> </w:t>
      </w:r>
      <w:r>
        <w:rPr>
          <w:color w:val="231F20"/>
          <w:vertAlign w:val="baseline"/>
        </w:rPr>
        <w:t>L.,</w:t>
      </w:r>
      <w:r>
        <w:rPr>
          <w:color w:val="231F20"/>
          <w:spacing w:val="-3"/>
          <w:vertAlign w:val="baseline"/>
        </w:rPr>
        <w:t> </w:t>
      </w:r>
      <w:r>
        <w:rPr>
          <w:color w:val="231F20"/>
          <w:vertAlign w:val="baseline"/>
        </w:rPr>
        <w:t>Pantalone,</w:t>
      </w:r>
      <w:r>
        <w:rPr>
          <w:color w:val="231F20"/>
          <w:spacing w:val="-4"/>
          <w:vertAlign w:val="baseline"/>
        </w:rPr>
        <w:t> </w:t>
      </w:r>
      <w:r>
        <w:rPr>
          <w:color w:val="231F20"/>
          <w:vertAlign w:val="baseline"/>
        </w:rPr>
        <w:t>D.</w:t>
      </w:r>
    </w:p>
    <w:p>
      <w:pPr>
        <w:pStyle w:val="BodyText"/>
        <w:spacing w:line="240" w:lineRule="exact"/>
        <w:ind w:left="520"/>
      </w:pPr>
      <w:r>
        <w:rPr>
          <w:color w:val="231F20"/>
        </w:rPr>
        <w:t>W.,</w:t>
      </w:r>
      <w:r>
        <w:rPr>
          <w:color w:val="231F20"/>
          <w:spacing w:val="-6"/>
        </w:rPr>
        <w:t> </w:t>
      </w:r>
      <w:r>
        <w:rPr>
          <w:color w:val="231F20"/>
        </w:rPr>
        <w:t>O’Cleirigh,</w:t>
      </w:r>
      <w:r>
        <w:rPr>
          <w:color w:val="231F20"/>
          <w:spacing w:val="-7"/>
        </w:rPr>
        <w:t> </w:t>
      </w:r>
      <w:r>
        <w:rPr>
          <w:color w:val="231F20"/>
        </w:rPr>
        <w:t>C.,</w:t>
      </w:r>
      <w:r>
        <w:rPr>
          <w:color w:val="231F20"/>
          <w:spacing w:val="-6"/>
        </w:rPr>
        <w:t> </w:t>
      </w:r>
      <w:r>
        <w:rPr>
          <w:color w:val="231F20"/>
        </w:rPr>
        <w:t>Mayer,</w:t>
      </w:r>
      <w:r>
        <w:rPr>
          <w:color w:val="231F20"/>
          <w:spacing w:val="-6"/>
        </w:rPr>
        <w:t> </w:t>
      </w:r>
      <w:r>
        <w:rPr>
          <w:color w:val="231F20"/>
        </w:rPr>
        <w:t>K.</w:t>
      </w:r>
      <w:r>
        <w:rPr>
          <w:color w:val="231F20"/>
          <w:spacing w:val="-7"/>
        </w:rPr>
        <w:t> </w:t>
      </w:r>
      <w:r>
        <w:rPr>
          <w:color w:val="231F20"/>
        </w:rPr>
        <w:t>H.,</w:t>
      </w:r>
      <w:r>
        <w:rPr>
          <w:color w:val="231F20"/>
          <w:spacing w:val="-7"/>
        </w:rPr>
        <w:t> </w:t>
      </w:r>
      <w:r>
        <w:rPr>
          <w:color w:val="231F20"/>
        </w:rPr>
        <w:t>&amp;</w:t>
      </w:r>
      <w:r>
        <w:rPr>
          <w:color w:val="231F20"/>
          <w:spacing w:val="-6"/>
        </w:rPr>
        <w:t> </w:t>
      </w:r>
      <w:r>
        <w:rPr>
          <w:color w:val="231F20"/>
        </w:rPr>
        <w:t>Safren,</w:t>
      </w:r>
      <w:r>
        <w:rPr>
          <w:color w:val="231F20"/>
          <w:spacing w:val="-7"/>
        </w:rPr>
        <w:t> </w:t>
      </w:r>
      <w:r>
        <w:rPr>
          <w:color w:val="231F20"/>
        </w:rPr>
        <w:t>S.</w:t>
      </w:r>
    </w:p>
    <w:p>
      <w:pPr>
        <w:pStyle w:val="BodyText"/>
        <w:spacing w:line="228" w:lineRule="auto" w:before="4"/>
        <w:ind w:left="520" w:right="720"/>
      </w:pPr>
      <w:r>
        <w:rPr>
          <w:color w:val="231F20"/>
        </w:rPr>
        <w:t>A. (2012). A pilot trial of integrated behavioral</w:t>
      </w:r>
      <w:r>
        <w:rPr>
          <w:color w:val="231F20"/>
          <w:spacing w:val="1"/>
        </w:rPr>
        <w:t> </w:t>
      </w:r>
      <w:r>
        <w:rPr>
          <w:color w:val="231F20"/>
        </w:rPr>
        <w:t>activation and sexual risk reduction counseling for</w:t>
      </w:r>
      <w:r>
        <w:rPr>
          <w:color w:val="231F20"/>
          <w:spacing w:val="1"/>
        </w:rPr>
        <w:t> </w:t>
      </w:r>
      <w:r>
        <w:rPr>
          <w:color w:val="231F20"/>
        </w:rPr>
        <w:t>HIV-uninfected</w:t>
      </w:r>
      <w:r>
        <w:rPr>
          <w:color w:val="231F20"/>
          <w:spacing w:val="-5"/>
        </w:rPr>
        <w:t> </w:t>
      </w:r>
      <w:r>
        <w:rPr>
          <w:color w:val="231F20"/>
        </w:rPr>
        <w:t>men</w:t>
      </w:r>
      <w:r>
        <w:rPr>
          <w:color w:val="231F20"/>
          <w:spacing w:val="-4"/>
        </w:rPr>
        <w:t> </w:t>
      </w:r>
      <w:r>
        <w:rPr>
          <w:color w:val="231F20"/>
        </w:rPr>
        <w:t>who</w:t>
      </w:r>
      <w:r>
        <w:rPr>
          <w:color w:val="231F20"/>
          <w:spacing w:val="-5"/>
        </w:rPr>
        <w:t> </w:t>
      </w:r>
      <w:r>
        <w:rPr>
          <w:color w:val="231F20"/>
        </w:rPr>
        <w:t>have</w:t>
      </w:r>
      <w:r>
        <w:rPr>
          <w:color w:val="231F20"/>
          <w:spacing w:val="-4"/>
        </w:rPr>
        <w:t> </w:t>
      </w:r>
      <w:r>
        <w:rPr>
          <w:color w:val="231F20"/>
        </w:rPr>
        <w:t>sex</w:t>
      </w:r>
      <w:r>
        <w:rPr>
          <w:color w:val="231F20"/>
          <w:spacing w:val="-5"/>
        </w:rPr>
        <w:t> </w:t>
      </w:r>
      <w:r>
        <w:rPr>
          <w:color w:val="231F20"/>
        </w:rPr>
        <w:t>with</w:t>
      </w:r>
      <w:r>
        <w:rPr>
          <w:color w:val="231F20"/>
          <w:spacing w:val="-5"/>
        </w:rPr>
        <w:t> </w:t>
      </w:r>
      <w:r>
        <w:rPr>
          <w:color w:val="231F20"/>
        </w:rPr>
        <w:t>men</w:t>
      </w:r>
      <w:r>
        <w:rPr>
          <w:color w:val="231F20"/>
          <w:spacing w:val="-4"/>
        </w:rPr>
        <w:t> </w:t>
      </w:r>
      <w:r>
        <w:rPr>
          <w:color w:val="231F20"/>
        </w:rPr>
        <w:t>abusing</w:t>
      </w:r>
      <w:r>
        <w:rPr>
          <w:color w:val="231F20"/>
          <w:spacing w:val="-52"/>
        </w:rPr>
        <w:t> </w:t>
      </w:r>
      <w:r>
        <w:rPr>
          <w:color w:val="231F20"/>
        </w:rPr>
        <w:t>crystal methamphetamine. </w:t>
      </w:r>
      <w:r>
        <w:rPr>
          <w:i/>
          <w:color w:val="231F20"/>
        </w:rPr>
        <w:t>AIDS Patient Care and</w:t>
      </w:r>
      <w:r>
        <w:rPr>
          <w:i/>
          <w:color w:val="231F20"/>
          <w:spacing w:val="1"/>
        </w:rPr>
        <w:t> </w:t>
      </w:r>
      <w:r>
        <w:rPr>
          <w:i/>
          <w:color w:val="231F20"/>
        </w:rPr>
        <w:t>STDs, 26</w:t>
      </w:r>
      <w:r>
        <w:rPr>
          <w:color w:val="231F20"/>
        </w:rPr>
        <w:t>(11), 681-693.</w:t>
      </w:r>
      <w:r>
        <w:rPr>
          <w:color w:val="3953A4"/>
        </w:rPr>
        <w:t> </w:t>
      </w:r>
      <w:hyperlink r:id="rId211">
        <w:r>
          <w:rPr>
            <w:color w:val="3953A4"/>
            <w:u w:val="single" w:color="3953A4"/>
          </w:rPr>
          <w:t>https://doi.org/https://dx.doi.</w:t>
        </w:r>
      </w:hyperlink>
      <w:r>
        <w:rPr>
          <w:color w:val="3953A4"/>
          <w:spacing w:val="-52"/>
        </w:rPr>
        <w:t> </w:t>
      </w:r>
      <w:hyperlink r:id="rId211">
        <w:r>
          <w:rPr>
            <w:color w:val="3953A4"/>
            <w:u w:val="single" w:color="3953A4"/>
          </w:rPr>
          <w:t>org/10.1089%2Fapc.2012.0216</w:t>
        </w:r>
      </w:hyperlink>
    </w:p>
    <w:p>
      <w:pPr>
        <w:spacing w:after="0" w:line="228" w:lineRule="auto"/>
        <w:sectPr>
          <w:type w:val="continuous"/>
          <w:pgSz w:w="12240" w:h="15840"/>
          <w:pgMar w:header="0" w:footer="666" w:top="1500" w:bottom="0" w:left="560" w:right="0"/>
          <w:cols w:num="2" w:equalWidth="0">
            <w:col w:w="5228" w:space="532"/>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BodyText"/>
        <w:tabs>
          <w:tab w:pos="519" w:val="left" w:leader="none"/>
        </w:tabs>
        <w:spacing w:line="246" w:lineRule="exact" w:before="91"/>
        <w:ind w:left="160"/>
      </w:pPr>
      <w:r>
        <w:rPr>
          <w:color w:val="010202"/>
          <w:vertAlign w:val="superscript"/>
        </w:rPr>
        <w:t>67</w:t>
      </w:r>
      <w:r>
        <w:rPr>
          <w:color w:val="010202"/>
          <w:vertAlign w:val="baseline"/>
        </w:rPr>
        <w:tab/>
      </w:r>
      <w:r>
        <w:rPr>
          <w:color w:val="010202"/>
          <w:spacing w:val="-2"/>
          <w:vertAlign w:val="baseline"/>
        </w:rPr>
        <w:t>Sa</w:t>
      </w:r>
      <w:r>
        <w:rPr>
          <w:color w:val="231F20"/>
          <w:spacing w:val="-2"/>
          <w:vertAlign w:val="baseline"/>
        </w:rPr>
        <w:t>fren,</w:t>
      </w:r>
      <w:r>
        <w:rPr>
          <w:color w:val="231F20"/>
          <w:vertAlign w:val="baseline"/>
        </w:rPr>
        <w:t> </w:t>
      </w:r>
      <w:r>
        <w:rPr>
          <w:color w:val="231F20"/>
          <w:spacing w:val="-2"/>
          <w:vertAlign w:val="baseline"/>
        </w:rPr>
        <w:t>S.</w:t>
      </w:r>
      <w:r>
        <w:rPr>
          <w:color w:val="231F20"/>
          <w:spacing w:val="-12"/>
          <w:vertAlign w:val="baseline"/>
        </w:rPr>
        <w:t> </w:t>
      </w:r>
      <w:r>
        <w:rPr>
          <w:color w:val="231F20"/>
          <w:spacing w:val="-2"/>
          <w:vertAlign w:val="baseline"/>
        </w:rPr>
        <w:t>A.,</w:t>
      </w:r>
      <w:r>
        <w:rPr>
          <w:color w:val="231F20"/>
          <w:spacing w:val="-1"/>
          <w:vertAlign w:val="baseline"/>
        </w:rPr>
        <w:t> </w:t>
      </w:r>
      <w:r>
        <w:rPr>
          <w:color w:val="231F20"/>
          <w:spacing w:val="-2"/>
          <w:vertAlign w:val="baseline"/>
        </w:rPr>
        <w:t>O’Cleirigh,</w:t>
      </w:r>
      <w:r>
        <w:rPr>
          <w:color w:val="231F20"/>
          <w:vertAlign w:val="baseline"/>
        </w:rPr>
        <w:t> </w:t>
      </w:r>
      <w:r>
        <w:rPr>
          <w:color w:val="231F20"/>
          <w:spacing w:val="-1"/>
          <w:vertAlign w:val="baseline"/>
        </w:rPr>
        <w:t>C.,</w:t>
      </w:r>
      <w:r>
        <w:rPr>
          <w:color w:val="231F20"/>
          <w:spacing w:val="-4"/>
          <w:vertAlign w:val="baseline"/>
        </w:rPr>
        <w:t> </w:t>
      </w:r>
      <w:r>
        <w:rPr>
          <w:color w:val="231F20"/>
          <w:spacing w:val="-1"/>
          <w:vertAlign w:val="baseline"/>
        </w:rPr>
        <w:t>Tan,</w:t>
      </w:r>
      <w:r>
        <w:rPr>
          <w:color w:val="231F20"/>
          <w:vertAlign w:val="baseline"/>
        </w:rPr>
        <w:t> </w:t>
      </w:r>
      <w:r>
        <w:rPr>
          <w:color w:val="231F20"/>
          <w:spacing w:val="-1"/>
          <w:vertAlign w:val="baseline"/>
        </w:rPr>
        <w:t>J.</w:t>
      </w:r>
      <w:r>
        <w:rPr>
          <w:color w:val="231F20"/>
          <w:spacing w:val="-8"/>
          <w:vertAlign w:val="baseline"/>
        </w:rPr>
        <w:t> </w:t>
      </w:r>
      <w:r>
        <w:rPr>
          <w:color w:val="231F20"/>
          <w:spacing w:val="-1"/>
          <w:vertAlign w:val="baseline"/>
        </w:rPr>
        <w:t>Y.,</w:t>
      </w:r>
      <w:r>
        <w:rPr>
          <w:color w:val="231F20"/>
          <w:spacing w:val="1"/>
          <w:vertAlign w:val="baseline"/>
        </w:rPr>
        <w:t> </w:t>
      </w:r>
      <w:r>
        <w:rPr>
          <w:color w:val="231F20"/>
          <w:spacing w:val="-1"/>
          <w:vertAlign w:val="baseline"/>
        </w:rPr>
        <w:t>Raminani,</w:t>
      </w:r>
    </w:p>
    <w:p>
      <w:pPr>
        <w:pStyle w:val="BodyText"/>
        <w:spacing w:line="228" w:lineRule="auto" w:before="4"/>
        <w:ind w:left="520" w:right="321"/>
      </w:pPr>
      <w:r>
        <w:rPr>
          <w:color w:val="231F20"/>
        </w:rPr>
        <w:t>S. R., Reilly, L. C., Otto, M. W., &amp; Mayer, K. H.</w:t>
      </w:r>
      <w:r>
        <w:rPr>
          <w:color w:val="231F20"/>
          <w:spacing w:val="1"/>
        </w:rPr>
        <w:t> </w:t>
      </w:r>
      <w:r>
        <w:rPr>
          <w:color w:val="231F20"/>
          <w:spacing w:val="-1"/>
        </w:rPr>
        <w:t>(2009).</w:t>
      </w:r>
      <w:r>
        <w:rPr>
          <w:color w:val="231F20"/>
          <w:spacing w:val="-13"/>
        </w:rPr>
        <w:t> </w:t>
      </w:r>
      <w:r>
        <w:rPr>
          <w:color w:val="231F20"/>
          <w:spacing w:val="-1"/>
        </w:rPr>
        <w:t>A</w:t>
      </w:r>
      <w:r>
        <w:rPr>
          <w:color w:val="231F20"/>
          <w:spacing w:val="-13"/>
        </w:rPr>
        <w:t> </w:t>
      </w:r>
      <w:r>
        <w:rPr>
          <w:color w:val="231F20"/>
          <w:spacing w:val="-1"/>
        </w:rPr>
        <w:t>randomized</w:t>
      </w:r>
      <w:r>
        <w:rPr>
          <w:color w:val="231F20"/>
          <w:spacing w:val="1"/>
        </w:rPr>
        <w:t> </w:t>
      </w:r>
      <w:r>
        <w:rPr>
          <w:color w:val="231F20"/>
        </w:rPr>
        <w:t>controlled</w:t>
      </w:r>
      <w:r>
        <w:rPr>
          <w:color w:val="231F20"/>
          <w:spacing w:val="1"/>
        </w:rPr>
        <w:t> </w:t>
      </w:r>
      <w:r>
        <w:rPr>
          <w:color w:val="231F20"/>
        </w:rPr>
        <w:t>trial of</w:t>
      </w:r>
      <w:r>
        <w:rPr>
          <w:color w:val="231F20"/>
          <w:spacing w:val="1"/>
        </w:rPr>
        <w:t> </w:t>
      </w:r>
      <w:r>
        <w:rPr>
          <w:color w:val="231F20"/>
        </w:rPr>
        <w:t>cognitive</w:t>
      </w:r>
      <w:r>
        <w:rPr>
          <w:color w:val="231F20"/>
          <w:spacing w:val="-52"/>
        </w:rPr>
        <w:t> </w:t>
      </w:r>
      <w:r>
        <w:rPr>
          <w:color w:val="231F20"/>
        </w:rPr>
        <w:t>behavioral therapy for adherence and depression</w:t>
      </w:r>
      <w:r>
        <w:rPr>
          <w:color w:val="231F20"/>
          <w:spacing w:val="1"/>
        </w:rPr>
        <w:t> </w:t>
      </w:r>
      <w:r>
        <w:rPr>
          <w:color w:val="231F20"/>
        </w:rPr>
        <w:t>(CBT-ad) in HIV-infected individuals. </w:t>
      </w:r>
      <w:r>
        <w:rPr>
          <w:i/>
          <w:color w:val="231F20"/>
        </w:rPr>
        <w:t>Health</w:t>
      </w:r>
      <w:r>
        <w:rPr>
          <w:i/>
          <w:color w:val="231F20"/>
          <w:spacing w:val="1"/>
        </w:rPr>
        <w:t> </w:t>
      </w:r>
      <w:r>
        <w:rPr>
          <w:i/>
          <w:color w:val="231F20"/>
        </w:rPr>
        <w:t>Psychology, 28</w:t>
      </w:r>
      <w:r>
        <w:rPr>
          <w:color w:val="231F20"/>
        </w:rPr>
        <w:t>(1), 1-10.</w:t>
      </w:r>
      <w:r>
        <w:rPr>
          <w:color w:val="3953A4"/>
        </w:rPr>
        <w:t> </w:t>
      </w:r>
      <w:hyperlink r:id="rId97">
        <w:r>
          <w:rPr>
            <w:color w:val="3953A4"/>
            <w:u w:val="single" w:color="3953A4"/>
          </w:rPr>
          <w:t>https://doi.org/10.1037/</w:t>
        </w:r>
      </w:hyperlink>
      <w:r>
        <w:rPr>
          <w:color w:val="3953A4"/>
          <w:spacing w:val="1"/>
        </w:rPr>
        <w:t> </w:t>
      </w:r>
      <w:hyperlink r:id="rId97">
        <w:r>
          <w:rPr>
            <w:color w:val="3953A4"/>
            <w:u w:val="single" w:color="3953A4"/>
          </w:rPr>
          <w:t>a0012715</w:t>
        </w:r>
      </w:hyperlink>
    </w:p>
    <w:p>
      <w:pPr>
        <w:pStyle w:val="BodyText"/>
        <w:tabs>
          <w:tab w:pos="519" w:val="left" w:leader="none"/>
        </w:tabs>
        <w:spacing w:line="246" w:lineRule="exact" w:before="77"/>
        <w:ind w:left="160"/>
      </w:pPr>
      <w:r>
        <w:rPr>
          <w:color w:val="010202"/>
          <w:vertAlign w:val="superscript"/>
        </w:rPr>
        <w:t>68</w:t>
      </w:r>
      <w:r>
        <w:rPr>
          <w:color w:val="010202"/>
          <w:vertAlign w:val="baseline"/>
        </w:rPr>
        <w:tab/>
      </w:r>
      <w:r>
        <w:rPr>
          <w:color w:val="010202"/>
          <w:spacing w:val="-1"/>
          <w:vertAlign w:val="baseline"/>
        </w:rPr>
        <w:t>Sa</w:t>
      </w:r>
      <w:r>
        <w:rPr>
          <w:color w:val="231F20"/>
          <w:spacing w:val="-1"/>
          <w:vertAlign w:val="baseline"/>
        </w:rPr>
        <w:t>fren,</w:t>
      </w:r>
      <w:r>
        <w:rPr>
          <w:color w:val="231F20"/>
          <w:vertAlign w:val="baseline"/>
        </w:rPr>
        <w:t> </w:t>
      </w:r>
      <w:r>
        <w:rPr>
          <w:color w:val="231F20"/>
          <w:spacing w:val="-1"/>
          <w:vertAlign w:val="baseline"/>
        </w:rPr>
        <w:t>S.</w:t>
      </w:r>
      <w:r>
        <w:rPr>
          <w:color w:val="231F20"/>
          <w:spacing w:val="-13"/>
          <w:vertAlign w:val="baseline"/>
        </w:rPr>
        <w:t> </w:t>
      </w:r>
      <w:r>
        <w:rPr>
          <w:color w:val="231F20"/>
          <w:spacing w:val="-1"/>
          <w:vertAlign w:val="baseline"/>
        </w:rPr>
        <w:t>A., Bedoya,</w:t>
      </w:r>
      <w:r>
        <w:rPr>
          <w:color w:val="231F20"/>
          <w:vertAlign w:val="baseline"/>
        </w:rPr>
        <w:t> C.</w:t>
      </w:r>
      <w:r>
        <w:rPr>
          <w:color w:val="231F20"/>
          <w:spacing w:val="-12"/>
          <w:vertAlign w:val="baseline"/>
        </w:rPr>
        <w:t> </w:t>
      </w:r>
      <w:r>
        <w:rPr>
          <w:color w:val="231F20"/>
          <w:vertAlign w:val="baseline"/>
        </w:rPr>
        <w:t>A.,</w:t>
      </w:r>
      <w:r>
        <w:rPr>
          <w:color w:val="231F20"/>
          <w:spacing w:val="-1"/>
          <w:vertAlign w:val="baseline"/>
        </w:rPr>
        <w:t> </w:t>
      </w:r>
      <w:r>
        <w:rPr>
          <w:color w:val="231F20"/>
          <w:vertAlign w:val="baseline"/>
        </w:rPr>
        <w:t>O’Cleirigh,</w:t>
      </w:r>
      <w:r>
        <w:rPr>
          <w:color w:val="231F20"/>
          <w:spacing w:val="-1"/>
          <w:vertAlign w:val="baseline"/>
        </w:rPr>
        <w:t> </w:t>
      </w:r>
      <w:r>
        <w:rPr>
          <w:color w:val="231F20"/>
          <w:vertAlign w:val="baseline"/>
        </w:rPr>
        <w:t>C., Biello,</w:t>
      </w:r>
    </w:p>
    <w:p>
      <w:pPr>
        <w:pStyle w:val="BodyText"/>
        <w:spacing w:line="240" w:lineRule="exact"/>
        <w:ind w:left="520"/>
      </w:pPr>
      <w:r>
        <w:rPr>
          <w:color w:val="231F20"/>
        </w:rPr>
        <w:t>K.</w:t>
      </w:r>
      <w:r>
        <w:rPr>
          <w:color w:val="231F20"/>
          <w:spacing w:val="-6"/>
        </w:rPr>
        <w:t> </w:t>
      </w:r>
      <w:r>
        <w:rPr>
          <w:color w:val="231F20"/>
        </w:rPr>
        <w:t>B.,</w:t>
      </w:r>
      <w:r>
        <w:rPr>
          <w:color w:val="231F20"/>
          <w:spacing w:val="-4"/>
        </w:rPr>
        <w:t> </w:t>
      </w:r>
      <w:r>
        <w:rPr>
          <w:color w:val="231F20"/>
        </w:rPr>
        <w:t>Pinkston,</w:t>
      </w:r>
      <w:r>
        <w:rPr>
          <w:color w:val="231F20"/>
          <w:spacing w:val="-5"/>
        </w:rPr>
        <w:t> </w:t>
      </w:r>
      <w:r>
        <w:rPr>
          <w:color w:val="231F20"/>
        </w:rPr>
        <w:t>M.</w:t>
      </w:r>
      <w:r>
        <w:rPr>
          <w:color w:val="231F20"/>
          <w:spacing w:val="-5"/>
        </w:rPr>
        <w:t> </w:t>
      </w:r>
      <w:r>
        <w:rPr>
          <w:color w:val="231F20"/>
        </w:rPr>
        <w:t>M.,</w:t>
      </w:r>
      <w:r>
        <w:rPr>
          <w:color w:val="231F20"/>
          <w:spacing w:val="-5"/>
        </w:rPr>
        <w:t> </w:t>
      </w:r>
      <w:r>
        <w:rPr>
          <w:color w:val="231F20"/>
        </w:rPr>
        <w:t>Stein,</w:t>
      </w:r>
      <w:r>
        <w:rPr>
          <w:color w:val="231F20"/>
          <w:spacing w:val="-5"/>
        </w:rPr>
        <w:t> </w:t>
      </w:r>
      <w:r>
        <w:rPr>
          <w:color w:val="231F20"/>
        </w:rPr>
        <w:t>M.</w:t>
      </w:r>
      <w:r>
        <w:rPr>
          <w:color w:val="231F20"/>
          <w:spacing w:val="-5"/>
        </w:rPr>
        <w:t> </w:t>
      </w:r>
      <w:r>
        <w:rPr>
          <w:color w:val="231F20"/>
        </w:rPr>
        <w:t>D.,</w:t>
      </w:r>
      <w:r>
        <w:rPr>
          <w:color w:val="231F20"/>
          <w:spacing w:val="-9"/>
        </w:rPr>
        <w:t> </w:t>
      </w:r>
      <w:r>
        <w:rPr>
          <w:color w:val="231F20"/>
        </w:rPr>
        <w:t>Traeger,</w:t>
      </w:r>
      <w:r>
        <w:rPr>
          <w:color w:val="231F20"/>
          <w:spacing w:val="-4"/>
        </w:rPr>
        <w:t> </w:t>
      </w:r>
      <w:r>
        <w:rPr>
          <w:color w:val="231F20"/>
        </w:rPr>
        <w:t>L.,</w:t>
      </w:r>
    </w:p>
    <w:p>
      <w:pPr>
        <w:pStyle w:val="BodyText"/>
        <w:spacing w:line="240" w:lineRule="exact"/>
        <w:ind w:left="520"/>
      </w:pPr>
      <w:r>
        <w:rPr>
          <w:color w:val="231F20"/>
          <w:spacing w:val="-1"/>
        </w:rPr>
        <w:t>Kojic,</w:t>
      </w:r>
      <w:r>
        <w:rPr>
          <w:color w:val="231F20"/>
          <w:spacing w:val="-2"/>
        </w:rPr>
        <w:t> </w:t>
      </w:r>
      <w:r>
        <w:rPr>
          <w:color w:val="231F20"/>
          <w:spacing w:val="-1"/>
        </w:rPr>
        <w:t>E., Robbins,</w:t>
      </w:r>
      <w:r>
        <w:rPr>
          <w:color w:val="231F20"/>
        </w:rPr>
        <w:t> </w:t>
      </w:r>
      <w:r>
        <w:rPr>
          <w:color w:val="231F20"/>
          <w:spacing w:val="-1"/>
        </w:rPr>
        <w:t>G.</w:t>
      </w:r>
      <w:r>
        <w:rPr>
          <w:color w:val="231F20"/>
          <w:spacing w:val="-2"/>
        </w:rPr>
        <w:t> </w:t>
      </w:r>
      <w:r>
        <w:rPr>
          <w:color w:val="231F20"/>
          <w:spacing w:val="-1"/>
        </w:rPr>
        <w:t>K.,</w:t>
      </w:r>
      <w:r>
        <w:rPr>
          <w:color w:val="231F20"/>
          <w:spacing w:val="-2"/>
        </w:rPr>
        <w:t> </w:t>
      </w:r>
      <w:r>
        <w:rPr>
          <w:color w:val="231F20"/>
        </w:rPr>
        <w:t>Lerner, J.</w:t>
      </w:r>
      <w:r>
        <w:rPr>
          <w:color w:val="231F20"/>
          <w:spacing w:val="-14"/>
        </w:rPr>
        <w:t> </w:t>
      </w:r>
      <w:r>
        <w:rPr>
          <w:color w:val="231F20"/>
        </w:rPr>
        <w:t>A.,</w:t>
      </w:r>
      <w:r>
        <w:rPr>
          <w:color w:val="231F20"/>
          <w:spacing w:val="-1"/>
        </w:rPr>
        <w:t> </w:t>
      </w:r>
      <w:r>
        <w:rPr>
          <w:color w:val="231F20"/>
        </w:rPr>
        <w:t>Herman,</w:t>
      </w:r>
    </w:p>
    <w:p>
      <w:pPr>
        <w:pStyle w:val="BodyText"/>
        <w:spacing w:line="228" w:lineRule="auto" w:before="4"/>
        <w:ind w:left="520" w:right="489"/>
      </w:pPr>
      <w:r>
        <w:rPr>
          <w:color w:val="231F20"/>
        </w:rPr>
        <w:t>D.</w:t>
      </w:r>
      <w:r>
        <w:rPr>
          <w:color w:val="231F20"/>
          <w:spacing w:val="-4"/>
        </w:rPr>
        <w:t> </w:t>
      </w:r>
      <w:r>
        <w:rPr>
          <w:color w:val="231F20"/>
        </w:rPr>
        <w:t>S.,</w:t>
      </w:r>
      <w:r>
        <w:rPr>
          <w:color w:val="231F20"/>
          <w:spacing w:val="-4"/>
        </w:rPr>
        <w:t> </w:t>
      </w:r>
      <w:r>
        <w:rPr>
          <w:color w:val="231F20"/>
        </w:rPr>
        <w:t>Mimiaga,</w:t>
      </w:r>
      <w:r>
        <w:rPr>
          <w:color w:val="231F20"/>
          <w:spacing w:val="-4"/>
        </w:rPr>
        <w:t> </w:t>
      </w:r>
      <w:r>
        <w:rPr>
          <w:color w:val="231F20"/>
        </w:rPr>
        <w:t>M.</w:t>
      </w:r>
      <w:r>
        <w:rPr>
          <w:color w:val="231F20"/>
          <w:spacing w:val="-4"/>
        </w:rPr>
        <w:t> </w:t>
      </w:r>
      <w:r>
        <w:rPr>
          <w:color w:val="231F20"/>
        </w:rPr>
        <w:t>J.,</w:t>
      </w:r>
      <w:r>
        <w:rPr>
          <w:color w:val="231F20"/>
          <w:spacing w:val="-4"/>
        </w:rPr>
        <w:t> </w:t>
      </w:r>
      <w:r>
        <w:rPr>
          <w:color w:val="231F20"/>
        </w:rPr>
        <w:t>&amp;</w:t>
      </w:r>
      <w:r>
        <w:rPr>
          <w:color w:val="231F20"/>
          <w:spacing w:val="-3"/>
        </w:rPr>
        <w:t> </w:t>
      </w:r>
      <w:r>
        <w:rPr>
          <w:color w:val="231F20"/>
        </w:rPr>
        <w:t>Mayer,</w:t>
      </w:r>
      <w:r>
        <w:rPr>
          <w:color w:val="231F20"/>
          <w:spacing w:val="-3"/>
        </w:rPr>
        <w:t> </w:t>
      </w:r>
      <w:r>
        <w:rPr>
          <w:color w:val="231F20"/>
        </w:rPr>
        <w:t>K.</w:t>
      </w:r>
      <w:r>
        <w:rPr>
          <w:color w:val="231F20"/>
          <w:spacing w:val="-4"/>
        </w:rPr>
        <w:t> </w:t>
      </w:r>
      <w:r>
        <w:rPr>
          <w:color w:val="231F20"/>
        </w:rPr>
        <w:t>H.</w:t>
      </w:r>
      <w:r>
        <w:rPr>
          <w:color w:val="231F20"/>
          <w:spacing w:val="-4"/>
        </w:rPr>
        <w:t> </w:t>
      </w:r>
      <w:r>
        <w:rPr>
          <w:color w:val="231F20"/>
        </w:rPr>
        <w:t>(2016).</w:t>
      </w:r>
      <w:r>
        <w:rPr>
          <w:color w:val="231F20"/>
          <w:spacing w:val="-52"/>
        </w:rPr>
        <w:t> </w:t>
      </w:r>
      <w:r>
        <w:rPr>
          <w:color w:val="231F20"/>
        </w:rPr>
        <w:t>Cognitive behavioural therapy for adherence</w:t>
      </w:r>
      <w:r>
        <w:rPr>
          <w:color w:val="231F20"/>
          <w:spacing w:val="1"/>
        </w:rPr>
        <w:t> </w:t>
      </w:r>
      <w:r>
        <w:rPr>
          <w:color w:val="231F20"/>
          <w:spacing w:val="-1"/>
        </w:rPr>
        <w:t>and depression in </w:t>
      </w:r>
      <w:r>
        <w:rPr>
          <w:color w:val="231F20"/>
        </w:rPr>
        <w:t>patients</w:t>
      </w:r>
      <w:r>
        <w:rPr>
          <w:color w:val="231F20"/>
          <w:spacing w:val="-1"/>
        </w:rPr>
        <w:t> </w:t>
      </w:r>
      <w:r>
        <w:rPr>
          <w:color w:val="231F20"/>
        </w:rPr>
        <w:t>with</w:t>
      </w:r>
      <w:r>
        <w:rPr>
          <w:color w:val="231F20"/>
          <w:spacing w:val="-1"/>
        </w:rPr>
        <w:t> </w:t>
      </w:r>
      <w:r>
        <w:rPr>
          <w:color w:val="231F20"/>
        </w:rPr>
        <w:t>HIV:</w:t>
      </w:r>
      <w:r>
        <w:rPr>
          <w:color w:val="231F20"/>
          <w:spacing w:val="-14"/>
        </w:rPr>
        <w:t> </w:t>
      </w:r>
      <w:r>
        <w:rPr>
          <w:color w:val="231F20"/>
        </w:rPr>
        <w:t>A</w:t>
      </w:r>
      <w:r>
        <w:rPr>
          <w:color w:val="231F20"/>
          <w:spacing w:val="-14"/>
        </w:rPr>
        <w:t> </w:t>
      </w:r>
      <w:r>
        <w:rPr>
          <w:color w:val="231F20"/>
        </w:rPr>
        <w:t>three-</w:t>
      </w:r>
    </w:p>
    <w:p>
      <w:pPr>
        <w:pStyle w:val="BodyText"/>
        <w:spacing w:line="228" w:lineRule="auto"/>
        <w:ind w:left="520" w:right="384"/>
      </w:pPr>
      <w:r>
        <w:rPr>
          <w:color w:val="231F20"/>
        </w:rPr>
        <w:t>arm</w:t>
      </w:r>
      <w:r>
        <w:rPr>
          <w:color w:val="231F20"/>
          <w:spacing w:val="-6"/>
        </w:rPr>
        <w:t> </w:t>
      </w:r>
      <w:r>
        <w:rPr>
          <w:color w:val="231F20"/>
        </w:rPr>
        <w:t>randomised</w:t>
      </w:r>
      <w:r>
        <w:rPr>
          <w:color w:val="231F20"/>
          <w:spacing w:val="-6"/>
        </w:rPr>
        <w:t> </w:t>
      </w:r>
      <w:r>
        <w:rPr>
          <w:color w:val="231F20"/>
        </w:rPr>
        <w:t>controlled</w:t>
      </w:r>
      <w:r>
        <w:rPr>
          <w:color w:val="231F20"/>
          <w:spacing w:val="-7"/>
        </w:rPr>
        <w:t> </w:t>
      </w:r>
      <w:r>
        <w:rPr>
          <w:color w:val="231F20"/>
        </w:rPr>
        <w:t>trial.</w:t>
      </w:r>
      <w:r>
        <w:rPr>
          <w:color w:val="231F20"/>
          <w:spacing w:val="-7"/>
        </w:rPr>
        <w:t> </w:t>
      </w:r>
      <w:r>
        <w:rPr>
          <w:i/>
          <w:color w:val="231F20"/>
        </w:rPr>
        <w:t>The</w:t>
      </w:r>
      <w:r>
        <w:rPr>
          <w:i/>
          <w:color w:val="231F20"/>
          <w:spacing w:val="-7"/>
        </w:rPr>
        <w:t> </w:t>
      </w:r>
      <w:r>
        <w:rPr>
          <w:i/>
          <w:color w:val="231F20"/>
        </w:rPr>
        <w:t>Lancet</w:t>
      </w:r>
      <w:r>
        <w:rPr>
          <w:i/>
          <w:color w:val="231F20"/>
          <w:spacing w:val="-7"/>
        </w:rPr>
        <w:t> </w:t>
      </w:r>
      <w:r>
        <w:rPr>
          <w:i/>
          <w:color w:val="231F20"/>
        </w:rPr>
        <w:t>HIV,</w:t>
      </w:r>
      <w:r>
        <w:rPr>
          <w:i/>
          <w:color w:val="231F20"/>
          <w:spacing w:val="-52"/>
        </w:rPr>
        <w:t> </w:t>
      </w:r>
      <w:r>
        <w:rPr>
          <w:i/>
          <w:color w:val="231F20"/>
        </w:rPr>
        <w:t>3</w:t>
      </w:r>
      <w:r>
        <w:rPr>
          <w:color w:val="231F20"/>
        </w:rPr>
        <w:t>(11),</w:t>
      </w:r>
      <w:r>
        <w:rPr>
          <w:color w:val="231F20"/>
          <w:spacing w:val="-13"/>
        </w:rPr>
        <w:t> </w:t>
      </w:r>
      <w:r>
        <w:rPr>
          <w:color w:val="231F20"/>
        </w:rPr>
        <w:t>e529-e538.</w:t>
      </w:r>
      <w:r>
        <w:rPr>
          <w:color w:val="231F20"/>
          <w:spacing w:val="-12"/>
        </w:rPr>
        <w:t> </w:t>
      </w:r>
      <w:hyperlink r:id="rId212">
        <w:r>
          <w:rPr>
            <w:color w:val="3953A4"/>
            <w:u w:val="single" w:color="3953A4"/>
          </w:rPr>
          <w:t>https://doi.org/10.1016/S2352-</w:t>
        </w:r>
      </w:hyperlink>
    </w:p>
    <w:p>
      <w:pPr>
        <w:pStyle w:val="BodyText"/>
        <w:spacing w:line="242" w:lineRule="exact"/>
        <w:ind w:left="520"/>
      </w:pPr>
      <w:hyperlink r:id="rId212">
        <w:r>
          <w:rPr>
            <w:color w:val="3953A4"/>
            <w:u w:val="single" w:color="3953A4"/>
          </w:rPr>
          <w:t>3018(16)30053-4</w:t>
        </w:r>
      </w:hyperlink>
    </w:p>
    <w:p>
      <w:pPr>
        <w:pStyle w:val="BodyText"/>
        <w:tabs>
          <w:tab w:pos="519" w:val="left" w:leader="none"/>
        </w:tabs>
        <w:spacing w:line="228" w:lineRule="auto" w:before="86"/>
        <w:ind w:left="520" w:right="60" w:hanging="360"/>
      </w:pPr>
      <w:r>
        <w:rPr>
          <w:color w:val="010202"/>
          <w:vertAlign w:val="superscript"/>
        </w:rPr>
        <w:t>69</w:t>
      </w:r>
      <w:r>
        <w:rPr>
          <w:color w:val="010202"/>
          <w:vertAlign w:val="baseline"/>
        </w:rPr>
        <w:tab/>
      </w:r>
      <w:r>
        <w:rPr>
          <w:color w:val="010202"/>
          <w:spacing w:val="-1"/>
          <w:vertAlign w:val="baseline"/>
        </w:rPr>
        <w:t>Sim</w:t>
      </w:r>
      <w:r>
        <w:rPr>
          <w:color w:val="231F20"/>
          <w:spacing w:val="-1"/>
          <w:vertAlign w:val="baseline"/>
        </w:rPr>
        <w:t>oni, J. M., Wiebe, J. S., </w:t>
      </w:r>
      <w:r>
        <w:rPr>
          <w:color w:val="231F20"/>
          <w:vertAlign w:val="baseline"/>
        </w:rPr>
        <w:t>Sauceda, J. A., Huh, D.,</w:t>
      </w:r>
      <w:r>
        <w:rPr>
          <w:color w:val="231F20"/>
          <w:spacing w:val="1"/>
          <w:vertAlign w:val="baseline"/>
        </w:rPr>
        <w:t> </w:t>
      </w:r>
      <w:r>
        <w:rPr>
          <w:color w:val="231F20"/>
          <w:spacing w:val="-2"/>
          <w:vertAlign w:val="baseline"/>
        </w:rPr>
        <w:t>Sanchez, </w:t>
      </w:r>
      <w:r>
        <w:rPr>
          <w:color w:val="231F20"/>
          <w:spacing w:val="-1"/>
          <w:vertAlign w:val="baseline"/>
        </w:rPr>
        <w:t>G., Longoria, V., Andres Bedoya, C., &amp;</w:t>
      </w:r>
      <w:r>
        <w:rPr>
          <w:color w:val="231F20"/>
          <w:vertAlign w:val="baseline"/>
        </w:rPr>
        <w:t> </w:t>
      </w:r>
      <w:r>
        <w:rPr>
          <w:color w:val="231F20"/>
          <w:spacing w:val="-1"/>
          <w:vertAlign w:val="baseline"/>
        </w:rPr>
        <w:t>Safren, S.</w:t>
      </w:r>
      <w:r>
        <w:rPr>
          <w:color w:val="231F20"/>
          <w:spacing w:val="-13"/>
          <w:vertAlign w:val="baseline"/>
        </w:rPr>
        <w:t> </w:t>
      </w:r>
      <w:r>
        <w:rPr>
          <w:color w:val="231F20"/>
          <w:spacing w:val="-1"/>
          <w:vertAlign w:val="baseline"/>
        </w:rPr>
        <w:t>A. (2013).</w:t>
      </w:r>
      <w:r>
        <w:rPr>
          <w:color w:val="231F20"/>
          <w:spacing w:val="-13"/>
          <w:vertAlign w:val="baseline"/>
        </w:rPr>
        <w:t> </w:t>
      </w:r>
      <w:r>
        <w:rPr>
          <w:color w:val="231F20"/>
          <w:spacing w:val="-1"/>
          <w:vertAlign w:val="baseline"/>
        </w:rPr>
        <w:t>A</w:t>
      </w:r>
      <w:r>
        <w:rPr>
          <w:color w:val="231F20"/>
          <w:spacing w:val="-13"/>
          <w:vertAlign w:val="baseline"/>
        </w:rPr>
        <w:t> </w:t>
      </w:r>
      <w:r>
        <w:rPr>
          <w:color w:val="231F20"/>
          <w:spacing w:val="-1"/>
          <w:vertAlign w:val="baseline"/>
        </w:rPr>
        <w:t>preliminary</w:t>
      </w:r>
      <w:r>
        <w:rPr>
          <w:color w:val="231F20"/>
          <w:vertAlign w:val="baseline"/>
        </w:rPr>
        <w:t> RCT</w:t>
      </w:r>
      <w:r>
        <w:rPr>
          <w:color w:val="231F20"/>
          <w:spacing w:val="-5"/>
          <w:vertAlign w:val="baseline"/>
        </w:rPr>
        <w:t> </w:t>
      </w:r>
      <w:r>
        <w:rPr>
          <w:color w:val="231F20"/>
          <w:vertAlign w:val="baseline"/>
        </w:rPr>
        <w:t>of CBT-AD</w:t>
      </w:r>
      <w:r>
        <w:rPr>
          <w:color w:val="231F20"/>
          <w:spacing w:val="-52"/>
          <w:vertAlign w:val="baseline"/>
        </w:rPr>
        <w:t> </w:t>
      </w:r>
      <w:r>
        <w:rPr>
          <w:color w:val="231F20"/>
          <w:vertAlign w:val="baseline"/>
        </w:rPr>
        <w:t>for adherence and depression among HIV-positive</w:t>
      </w:r>
      <w:r>
        <w:rPr>
          <w:color w:val="231F20"/>
          <w:spacing w:val="1"/>
          <w:vertAlign w:val="baseline"/>
        </w:rPr>
        <w:t> </w:t>
      </w:r>
      <w:r>
        <w:rPr>
          <w:color w:val="231F20"/>
          <w:vertAlign w:val="baseline"/>
        </w:rPr>
        <w:t>Latinos on the U.S.-Mexico border: The Nuevo Día</w:t>
      </w:r>
      <w:r>
        <w:rPr>
          <w:color w:val="231F20"/>
          <w:spacing w:val="1"/>
          <w:vertAlign w:val="baseline"/>
        </w:rPr>
        <w:t> </w:t>
      </w:r>
      <w:r>
        <w:rPr>
          <w:color w:val="231F20"/>
          <w:vertAlign w:val="baseline"/>
        </w:rPr>
        <w:t>study.</w:t>
      </w:r>
      <w:r>
        <w:rPr>
          <w:color w:val="231F20"/>
          <w:spacing w:val="-7"/>
          <w:vertAlign w:val="baseline"/>
        </w:rPr>
        <w:t> </w:t>
      </w:r>
      <w:r>
        <w:rPr>
          <w:i/>
          <w:color w:val="231F20"/>
          <w:vertAlign w:val="baseline"/>
        </w:rPr>
        <w:t>AIDS</w:t>
      </w:r>
      <w:r>
        <w:rPr>
          <w:i/>
          <w:color w:val="231F20"/>
          <w:spacing w:val="-7"/>
          <w:vertAlign w:val="baseline"/>
        </w:rPr>
        <w:t> </w:t>
      </w:r>
      <w:r>
        <w:rPr>
          <w:i/>
          <w:color w:val="231F20"/>
          <w:vertAlign w:val="baseline"/>
        </w:rPr>
        <w:t>and</w:t>
      </w:r>
      <w:r>
        <w:rPr>
          <w:i/>
          <w:color w:val="231F20"/>
          <w:spacing w:val="-7"/>
          <w:vertAlign w:val="baseline"/>
        </w:rPr>
        <w:t> </w:t>
      </w:r>
      <w:r>
        <w:rPr>
          <w:i/>
          <w:color w:val="231F20"/>
          <w:vertAlign w:val="baseline"/>
        </w:rPr>
        <w:t>Behavior,</w:t>
      </w:r>
      <w:r>
        <w:rPr>
          <w:i/>
          <w:color w:val="231F20"/>
          <w:spacing w:val="-7"/>
          <w:vertAlign w:val="baseline"/>
        </w:rPr>
        <w:t> </w:t>
      </w:r>
      <w:r>
        <w:rPr>
          <w:i/>
          <w:color w:val="231F20"/>
          <w:vertAlign w:val="baseline"/>
        </w:rPr>
        <w:t>17</w:t>
      </w:r>
      <w:r>
        <w:rPr>
          <w:color w:val="231F20"/>
          <w:vertAlign w:val="baseline"/>
        </w:rPr>
        <w:t>(8),</w:t>
      </w:r>
      <w:r>
        <w:rPr>
          <w:color w:val="231F20"/>
          <w:spacing w:val="-7"/>
          <w:vertAlign w:val="baseline"/>
        </w:rPr>
        <w:t> </w:t>
      </w:r>
      <w:r>
        <w:rPr>
          <w:color w:val="231F20"/>
          <w:vertAlign w:val="baseline"/>
        </w:rPr>
        <w:t>2816-2829.</w:t>
      </w:r>
      <w:r>
        <w:rPr>
          <w:color w:val="231F20"/>
          <w:spacing w:val="-7"/>
          <w:vertAlign w:val="baseline"/>
        </w:rPr>
        <w:t> </w:t>
      </w:r>
      <w:hyperlink r:id="rId213">
        <w:r>
          <w:rPr>
            <w:color w:val="3953A4"/>
            <w:u w:val="single" w:color="3953A4"/>
            <w:vertAlign w:val="baseline"/>
          </w:rPr>
          <w:t>https://</w:t>
        </w:r>
      </w:hyperlink>
      <w:r>
        <w:rPr>
          <w:color w:val="3953A4"/>
          <w:spacing w:val="-52"/>
          <w:vertAlign w:val="baseline"/>
        </w:rPr>
        <w:t> </w:t>
      </w:r>
      <w:hyperlink r:id="rId213">
        <w:r>
          <w:rPr>
            <w:color w:val="3953A4"/>
            <w:u w:val="single" w:color="3953A4"/>
            <w:vertAlign w:val="baseline"/>
          </w:rPr>
          <w:t>doi.org/10.1007/s10461-013-0538-5</w:t>
        </w:r>
      </w:hyperlink>
    </w:p>
    <w:p>
      <w:pPr>
        <w:pStyle w:val="BodyText"/>
        <w:tabs>
          <w:tab w:pos="519" w:val="left" w:leader="none"/>
        </w:tabs>
        <w:spacing w:line="228" w:lineRule="auto" w:before="88"/>
        <w:ind w:left="520" w:right="136" w:hanging="360"/>
      </w:pPr>
      <w:r>
        <w:rPr>
          <w:color w:val="010202"/>
          <w:vertAlign w:val="superscript"/>
        </w:rPr>
        <w:t>70</w:t>
      </w:r>
      <w:r>
        <w:rPr>
          <w:color w:val="010202"/>
          <w:vertAlign w:val="baseline"/>
        </w:rPr>
        <w:tab/>
        <w:t>Joh</w:t>
      </w:r>
      <w:r>
        <w:rPr>
          <w:color w:val="231F20"/>
          <w:vertAlign w:val="baseline"/>
        </w:rPr>
        <w:t>nson, M. O., Charlebois, E., Morin, S. F.,</w:t>
      </w:r>
      <w:r>
        <w:rPr>
          <w:color w:val="231F20"/>
          <w:spacing w:val="1"/>
          <w:vertAlign w:val="baseline"/>
        </w:rPr>
        <w:t> </w:t>
      </w:r>
      <w:r>
        <w:rPr>
          <w:color w:val="231F20"/>
          <w:spacing w:val="-1"/>
          <w:vertAlign w:val="baseline"/>
        </w:rPr>
        <w:t>Remien,</w:t>
      </w:r>
      <w:r>
        <w:rPr>
          <w:color w:val="231F20"/>
          <w:spacing w:val="4"/>
          <w:vertAlign w:val="baseline"/>
        </w:rPr>
        <w:t> </w:t>
      </w:r>
      <w:r>
        <w:rPr>
          <w:color w:val="231F20"/>
          <w:spacing w:val="-1"/>
          <w:vertAlign w:val="baseline"/>
        </w:rPr>
        <w:t>R.</w:t>
      </w:r>
      <w:r>
        <w:rPr>
          <w:color w:val="231F20"/>
          <w:spacing w:val="4"/>
          <w:vertAlign w:val="baseline"/>
        </w:rPr>
        <w:t> </w:t>
      </w:r>
      <w:r>
        <w:rPr>
          <w:color w:val="231F20"/>
          <w:vertAlign w:val="baseline"/>
        </w:rPr>
        <w:t>H.,</w:t>
      </w:r>
      <w:r>
        <w:rPr>
          <w:color w:val="231F20"/>
          <w:spacing w:val="3"/>
          <w:vertAlign w:val="baseline"/>
        </w:rPr>
        <w:t> </w:t>
      </w:r>
      <w:r>
        <w:rPr>
          <w:color w:val="231F20"/>
          <w:vertAlign w:val="baseline"/>
        </w:rPr>
        <w:t>Chesney,</w:t>
      </w:r>
      <w:r>
        <w:rPr>
          <w:color w:val="231F20"/>
          <w:spacing w:val="4"/>
          <w:vertAlign w:val="baseline"/>
        </w:rPr>
        <w:t> </w:t>
      </w:r>
      <w:r>
        <w:rPr>
          <w:color w:val="231F20"/>
          <w:vertAlign w:val="baseline"/>
        </w:rPr>
        <w:t>M.</w:t>
      </w:r>
      <w:r>
        <w:rPr>
          <w:color w:val="231F20"/>
          <w:spacing w:val="-9"/>
          <w:vertAlign w:val="baseline"/>
        </w:rPr>
        <w:t> </w:t>
      </w:r>
      <w:r>
        <w:rPr>
          <w:color w:val="231F20"/>
          <w:vertAlign w:val="baseline"/>
        </w:rPr>
        <w:t>A.,</w:t>
      </w:r>
      <w:r>
        <w:rPr>
          <w:color w:val="231F20"/>
          <w:spacing w:val="4"/>
          <w:vertAlign w:val="baseline"/>
        </w:rPr>
        <w:t> </w:t>
      </w:r>
      <w:r>
        <w:rPr>
          <w:color w:val="231F20"/>
          <w:vertAlign w:val="baseline"/>
        </w:rPr>
        <w:t>&amp;</w:t>
      </w:r>
      <w:r>
        <w:rPr>
          <w:color w:val="231F20"/>
          <w:spacing w:val="4"/>
          <w:vertAlign w:val="baseline"/>
        </w:rPr>
        <w:t> </w:t>
      </w:r>
      <w:r>
        <w:rPr>
          <w:color w:val="231F20"/>
          <w:vertAlign w:val="baseline"/>
        </w:rPr>
        <w:t>National</w:t>
      </w:r>
      <w:r>
        <w:rPr>
          <w:color w:val="231F20"/>
          <w:spacing w:val="1"/>
          <w:vertAlign w:val="baseline"/>
        </w:rPr>
        <w:t> </w:t>
      </w:r>
      <w:r>
        <w:rPr>
          <w:color w:val="231F20"/>
          <w:vertAlign w:val="baseline"/>
        </w:rPr>
        <w:t>Institute of Mental Health Healthy Living Project</w:t>
      </w:r>
      <w:r>
        <w:rPr>
          <w:color w:val="231F20"/>
          <w:spacing w:val="1"/>
          <w:vertAlign w:val="baseline"/>
        </w:rPr>
        <w:t> </w:t>
      </w:r>
      <w:r>
        <w:rPr>
          <w:color w:val="231F20"/>
          <w:vertAlign w:val="baseline"/>
        </w:rPr>
        <w:t>Team. (2007). Effects of a behavioral intervention</w:t>
      </w:r>
      <w:r>
        <w:rPr>
          <w:color w:val="231F20"/>
          <w:spacing w:val="1"/>
          <w:vertAlign w:val="baseline"/>
        </w:rPr>
        <w:t> </w:t>
      </w:r>
      <w:r>
        <w:rPr>
          <w:color w:val="231F20"/>
          <w:vertAlign w:val="baseline"/>
        </w:rPr>
        <w:t>on antiretroviral medication adherence among</w:t>
      </w:r>
      <w:r>
        <w:rPr>
          <w:color w:val="231F20"/>
          <w:spacing w:val="1"/>
          <w:vertAlign w:val="baseline"/>
        </w:rPr>
        <w:t> </w:t>
      </w:r>
      <w:r>
        <w:rPr>
          <w:color w:val="231F20"/>
          <w:vertAlign w:val="baseline"/>
        </w:rPr>
        <w:t>people living with HIV: The healthy living project</w:t>
      </w:r>
      <w:r>
        <w:rPr>
          <w:color w:val="231F20"/>
          <w:spacing w:val="1"/>
          <w:vertAlign w:val="baseline"/>
        </w:rPr>
        <w:t> </w:t>
      </w:r>
      <w:r>
        <w:rPr>
          <w:color w:val="231F20"/>
          <w:vertAlign w:val="baseline"/>
        </w:rPr>
        <w:t>randomized controlled study. </w:t>
      </w:r>
      <w:r>
        <w:rPr>
          <w:i/>
          <w:color w:val="231F20"/>
          <w:vertAlign w:val="baseline"/>
        </w:rPr>
        <w:t>Journal of Acquired</w:t>
      </w:r>
      <w:r>
        <w:rPr>
          <w:i/>
          <w:color w:val="231F20"/>
          <w:spacing w:val="1"/>
          <w:vertAlign w:val="baseline"/>
        </w:rPr>
        <w:t> </w:t>
      </w:r>
      <w:r>
        <w:rPr>
          <w:i/>
          <w:color w:val="231F20"/>
          <w:vertAlign w:val="baseline"/>
        </w:rPr>
        <w:t>Immune</w:t>
      </w:r>
      <w:r>
        <w:rPr>
          <w:i/>
          <w:color w:val="231F20"/>
          <w:spacing w:val="-6"/>
          <w:vertAlign w:val="baseline"/>
        </w:rPr>
        <w:t> </w:t>
      </w:r>
      <w:r>
        <w:rPr>
          <w:i/>
          <w:color w:val="231F20"/>
          <w:vertAlign w:val="baseline"/>
        </w:rPr>
        <w:t>Deficiency</w:t>
      </w:r>
      <w:r>
        <w:rPr>
          <w:i/>
          <w:color w:val="231F20"/>
          <w:spacing w:val="-7"/>
          <w:vertAlign w:val="baseline"/>
        </w:rPr>
        <w:t> </w:t>
      </w:r>
      <w:r>
        <w:rPr>
          <w:i/>
          <w:color w:val="231F20"/>
          <w:vertAlign w:val="baseline"/>
        </w:rPr>
        <w:t>Syndromes</w:t>
      </w:r>
      <w:r>
        <w:rPr>
          <w:i/>
          <w:color w:val="231F20"/>
          <w:spacing w:val="-6"/>
          <w:vertAlign w:val="baseline"/>
        </w:rPr>
        <w:t> </w:t>
      </w:r>
      <w:r>
        <w:rPr>
          <w:i/>
          <w:color w:val="231F20"/>
          <w:vertAlign w:val="baseline"/>
        </w:rPr>
        <w:t>(JAIDS),</w:t>
      </w:r>
      <w:r>
        <w:rPr>
          <w:i/>
          <w:color w:val="231F20"/>
          <w:spacing w:val="-6"/>
          <w:vertAlign w:val="baseline"/>
        </w:rPr>
        <w:t> </w:t>
      </w:r>
      <w:r>
        <w:rPr>
          <w:i/>
          <w:color w:val="231F20"/>
          <w:vertAlign w:val="baseline"/>
        </w:rPr>
        <w:t>46</w:t>
      </w:r>
      <w:r>
        <w:rPr>
          <w:color w:val="231F20"/>
          <w:vertAlign w:val="baseline"/>
        </w:rPr>
        <w:t>(5),</w:t>
      </w:r>
      <w:r>
        <w:rPr>
          <w:color w:val="231F20"/>
          <w:spacing w:val="-5"/>
          <w:vertAlign w:val="baseline"/>
        </w:rPr>
        <w:t> </w:t>
      </w:r>
      <w:r>
        <w:rPr>
          <w:color w:val="231F20"/>
          <w:vertAlign w:val="baseline"/>
        </w:rPr>
        <w:t>574-</w:t>
      </w:r>
      <w:r>
        <w:rPr>
          <w:color w:val="231F20"/>
          <w:spacing w:val="-52"/>
          <w:vertAlign w:val="baseline"/>
        </w:rPr>
        <w:t> </w:t>
      </w:r>
      <w:r>
        <w:rPr>
          <w:color w:val="231F20"/>
          <w:vertAlign w:val="baseline"/>
        </w:rPr>
        <w:t>580.</w:t>
      </w:r>
      <w:r>
        <w:rPr>
          <w:color w:val="231F20"/>
          <w:spacing w:val="-12"/>
          <w:vertAlign w:val="baseline"/>
        </w:rPr>
        <w:t> </w:t>
      </w:r>
      <w:hyperlink r:id="rId214">
        <w:r>
          <w:rPr>
            <w:color w:val="3953A4"/>
            <w:u w:val="single" w:color="3953A4"/>
            <w:vertAlign w:val="baseline"/>
          </w:rPr>
          <w:t>https://doi.org/10.1097/qai.0b013e318158a474</w:t>
        </w:r>
      </w:hyperlink>
    </w:p>
    <w:p>
      <w:pPr>
        <w:pStyle w:val="BodyText"/>
        <w:tabs>
          <w:tab w:pos="519" w:val="left" w:leader="none"/>
        </w:tabs>
        <w:spacing w:line="228" w:lineRule="auto" w:before="87"/>
        <w:ind w:left="519" w:right="68" w:hanging="360"/>
      </w:pPr>
      <w:r>
        <w:rPr>
          <w:color w:val="010202"/>
          <w:vertAlign w:val="superscript"/>
        </w:rPr>
        <w:t>71</w:t>
      </w:r>
      <w:r>
        <w:rPr>
          <w:color w:val="010202"/>
          <w:vertAlign w:val="baseline"/>
        </w:rPr>
        <w:tab/>
      </w:r>
      <w:r>
        <w:rPr>
          <w:color w:val="010202"/>
          <w:spacing w:val="-1"/>
          <w:vertAlign w:val="baseline"/>
        </w:rPr>
        <w:t>M</w:t>
      </w:r>
      <w:r>
        <w:rPr>
          <w:color w:val="231F20"/>
          <w:spacing w:val="-1"/>
          <w:vertAlign w:val="baseline"/>
        </w:rPr>
        <w:t>ayer, K. H., Safren, S. A., Elsesser, S. A., Psaros,</w:t>
      </w:r>
      <w:r>
        <w:rPr>
          <w:color w:val="231F20"/>
          <w:vertAlign w:val="baseline"/>
        </w:rPr>
        <w:t> </w:t>
      </w:r>
      <w:r>
        <w:rPr>
          <w:color w:val="231F20"/>
          <w:spacing w:val="-1"/>
          <w:vertAlign w:val="baseline"/>
        </w:rPr>
        <w:t>C.,</w:t>
      </w:r>
      <w:r>
        <w:rPr>
          <w:color w:val="231F20"/>
          <w:spacing w:val="-13"/>
          <w:vertAlign w:val="baseline"/>
        </w:rPr>
        <w:t> </w:t>
      </w:r>
      <w:r>
        <w:rPr>
          <w:color w:val="231F20"/>
          <w:spacing w:val="-1"/>
          <w:vertAlign w:val="baseline"/>
        </w:rPr>
        <w:t>Tinsley,</w:t>
      </w:r>
      <w:r>
        <w:rPr>
          <w:color w:val="231F20"/>
          <w:spacing w:val="-9"/>
          <w:vertAlign w:val="baseline"/>
        </w:rPr>
        <w:t> </w:t>
      </w:r>
      <w:r>
        <w:rPr>
          <w:color w:val="231F20"/>
          <w:vertAlign w:val="baseline"/>
        </w:rPr>
        <w:t>J.</w:t>
      </w:r>
      <w:r>
        <w:rPr>
          <w:color w:val="231F20"/>
          <w:spacing w:val="-11"/>
          <w:vertAlign w:val="baseline"/>
        </w:rPr>
        <w:t> </w:t>
      </w:r>
      <w:r>
        <w:rPr>
          <w:color w:val="231F20"/>
          <w:vertAlign w:val="baseline"/>
        </w:rPr>
        <w:t>P.,</w:t>
      </w:r>
      <w:r>
        <w:rPr>
          <w:color w:val="231F20"/>
          <w:spacing w:val="-9"/>
          <w:vertAlign w:val="baseline"/>
        </w:rPr>
        <w:t> </w:t>
      </w:r>
      <w:r>
        <w:rPr>
          <w:color w:val="231F20"/>
          <w:vertAlign w:val="baseline"/>
        </w:rPr>
        <w:t>Marzinke,</w:t>
      </w:r>
      <w:r>
        <w:rPr>
          <w:color w:val="231F20"/>
          <w:spacing w:val="-10"/>
          <w:vertAlign w:val="baseline"/>
        </w:rPr>
        <w:t> </w:t>
      </w:r>
      <w:r>
        <w:rPr>
          <w:color w:val="231F20"/>
          <w:vertAlign w:val="baseline"/>
        </w:rPr>
        <w:t>M.,</w:t>
      </w:r>
      <w:r>
        <w:rPr>
          <w:color w:val="231F20"/>
          <w:spacing w:val="-10"/>
          <w:vertAlign w:val="baseline"/>
        </w:rPr>
        <w:t> </w:t>
      </w:r>
      <w:r>
        <w:rPr>
          <w:color w:val="231F20"/>
          <w:vertAlign w:val="baseline"/>
        </w:rPr>
        <w:t>Clarke,</w:t>
      </w:r>
      <w:r>
        <w:rPr>
          <w:color w:val="231F20"/>
          <w:spacing w:val="-13"/>
          <w:vertAlign w:val="baseline"/>
        </w:rPr>
        <w:t> </w:t>
      </w:r>
      <w:r>
        <w:rPr>
          <w:color w:val="231F20"/>
          <w:vertAlign w:val="baseline"/>
        </w:rPr>
        <w:t>W.,</w:t>
      </w:r>
      <w:r>
        <w:rPr>
          <w:color w:val="231F20"/>
          <w:spacing w:val="-10"/>
          <w:vertAlign w:val="baseline"/>
        </w:rPr>
        <w:t> </w:t>
      </w:r>
      <w:r>
        <w:rPr>
          <w:color w:val="231F20"/>
          <w:vertAlign w:val="baseline"/>
        </w:rPr>
        <w:t>Hendrix,</w:t>
      </w:r>
      <w:r>
        <w:rPr>
          <w:color w:val="231F20"/>
          <w:spacing w:val="-52"/>
          <w:vertAlign w:val="baseline"/>
        </w:rPr>
        <w:t> </w:t>
      </w:r>
      <w:r>
        <w:rPr>
          <w:color w:val="231F20"/>
          <w:vertAlign w:val="baseline"/>
        </w:rPr>
        <w:t>C., Taylor, S. W., Haberer, J., &amp; Mimiaga, M. J.</w:t>
      </w:r>
      <w:r>
        <w:rPr>
          <w:color w:val="231F20"/>
          <w:spacing w:val="1"/>
          <w:vertAlign w:val="baseline"/>
        </w:rPr>
        <w:t> </w:t>
      </w:r>
      <w:r>
        <w:rPr>
          <w:color w:val="231F20"/>
          <w:vertAlign w:val="baseline"/>
        </w:rPr>
        <w:t>(2017). Optimizing pre-exposure antiretroviral</w:t>
      </w:r>
      <w:r>
        <w:rPr>
          <w:color w:val="231F20"/>
          <w:spacing w:val="1"/>
          <w:vertAlign w:val="baseline"/>
        </w:rPr>
        <w:t> </w:t>
      </w:r>
      <w:r>
        <w:rPr>
          <w:color w:val="231F20"/>
          <w:vertAlign w:val="baseline"/>
        </w:rPr>
        <w:t>prophylaxis adherence in men who have sex with</w:t>
      </w:r>
      <w:r>
        <w:rPr>
          <w:color w:val="231F20"/>
          <w:spacing w:val="1"/>
          <w:vertAlign w:val="baseline"/>
        </w:rPr>
        <w:t> </w:t>
      </w:r>
      <w:r>
        <w:rPr>
          <w:color w:val="231F20"/>
          <w:vertAlign w:val="baseline"/>
        </w:rPr>
        <w:t>men:</w:t>
      </w:r>
      <w:r>
        <w:rPr>
          <w:color w:val="231F20"/>
          <w:spacing w:val="3"/>
          <w:vertAlign w:val="baseline"/>
        </w:rPr>
        <w:t> </w:t>
      </w:r>
      <w:r>
        <w:rPr>
          <w:color w:val="231F20"/>
          <w:vertAlign w:val="baseline"/>
        </w:rPr>
        <w:t>Results</w:t>
      </w:r>
      <w:r>
        <w:rPr>
          <w:color w:val="231F20"/>
          <w:spacing w:val="4"/>
          <w:vertAlign w:val="baseline"/>
        </w:rPr>
        <w:t> </w:t>
      </w:r>
      <w:r>
        <w:rPr>
          <w:color w:val="231F20"/>
          <w:vertAlign w:val="baseline"/>
        </w:rPr>
        <w:t>of</w:t>
      </w:r>
      <w:r>
        <w:rPr>
          <w:color w:val="231F20"/>
          <w:spacing w:val="4"/>
          <w:vertAlign w:val="baseline"/>
        </w:rPr>
        <w:t> </w:t>
      </w:r>
      <w:r>
        <w:rPr>
          <w:color w:val="231F20"/>
          <w:vertAlign w:val="baseline"/>
        </w:rPr>
        <w:t>a</w:t>
      </w:r>
      <w:r>
        <w:rPr>
          <w:color w:val="231F20"/>
          <w:spacing w:val="3"/>
          <w:vertAlign w:val="baseline"/>
        </w:rPr>
        <w:t> </w:t>
      </w:r>
      <w:r>
        <w:rPr>
          <w:color w:val="231F20"/>
          <w:vertAlign w:val="baseline"/>
        </w:rPr>
        <w:t>pilot</w:t>
      </w:r>
      <w:r>
        <w:rPr>
          <w:color w:val="231F20"/>
          <w:spacing w:val="4"/>
          <w:vertAlign w:val="baseline"/>
        </w:rPr>
        <w:t> </w:t>
      </w:r>
      <w:r>
        <w:rPr>
          <w:color w:val="231F20"/>
          <w:vertAlign w:val="baseline"/>
        </w:rPr>
        <w:t>randomized</w:t>
      </w:r>
      <w:r>
        <w:rPr>
          <w:color w:val="231F20"/>
          <w:spacing w:val="4"/>
          <w:vertAlign w:val="baseline"/>
        </w:rPr>
        <w:t> </w:t>
      </w:r>
      <w:r>
        <w:rPr>
          <w:color w:val="231F20"/>
          <w:vertAlign w:val="baseline"/>
        </w:rPr>
        <w:t>controlled</w:t>
      </w:r>
      <w:r>
        <w:rPr>
          <w:color w:val="231F20"/>
          <w:spacing w:val="4"/>
          <w:vertAlign w:val="baseline"/>
        </w:rPr>
        <w:t> </w:t>
      </w:r>
      <w:r>
        <w:rPr>
          <w:color w:val="231F20"/>
          <w:vertAlign w:val="baseline"/>
        </w:rPr>
        <w:t>trial</w:t>
      </w:r>
      <w:r>
        <w:rPr>
          <w:color w:val="231F20"/>
          <w:spacing w:val="1"/>
          <w:vertAlign w:val="baseline"/>
        </w:rPr>
        <w:t> </w:t>
      </w:r>
      <w:r>
        <w:rPr>
          <w:color w:val="231F20"/>
          <w:vertAlign w:val="baseline"/>
        </w:rPr>
        <w:t>of “Life-Steps for PrEP”. </w:t>
      </w:r>
      <w:r>
        <w:rPr>
          <w:i/>
          <w:color w:val="231F20"/>
          <w:vertAlign w:val="baseline"/>
        </w:rPr>
        <w:t>AIDS and Behavior, 21</w:t>
      </w:r>
      <w:r>
        <w:rPr>
          <w:color w:val="231F20"/>
          <w:vertAlign w:val="baseline"/>
        </w:rPr>
        <w:t>(5),</w:t>
      </w:r>
      <w:r>
        <w:rPr>
          <w:color w:val="231F20"/>
          <w:spacing w:val="-52"/>
          <w:vertAlign w:val="baseline"/>
        </w:rPr>
        <w:t> </w:t>
      </w:r>
      <w:r>
        <w:rPr>
          <w:color w:val="231F20"/>
          <w:vertAlign w:val="baseline"/>
        </w:rPr>
        <w:t>1350-1360. </w:t>
      </w:r>
      <w:hyperlink r:id="rId215">
        <w:r>
          <w:rPr>
            <w:color w:val="3953A4"/>
            <w:u w:val="single" w:color="3953A4"/>
            <w:vertAlign w:val="baseline"/>
          </w:rPr>
          <w:t>https://doi.org/10.1007/s10461-016-</w:t>
        </w:r>
      </w:hyperlink>
      <w:r>
        <w:rPr>
          <w:color w:val="3953A4"/>
          <w:spacing w:val="1"/>
          <w:vertAlign w:val="baseline"/>
        </w:rPr>
        <w:t> </w:t>
      </w:r>
      <w:hyperlink r:id="rId215">
        <w:r>
          <w:rPr>
            <w:color w:val="3953A4"/>
            <w:u w:val="single" w:color="3953A4"/>
            <w:vertAlign w:val="baseline"/>
          </w:rPr>
          <w:t>1606-4</w:t>
        </w:r>
      </w:hyperlink>
    </w:p>
    <w:p>
      <w:pPr>
        <w:pStyle w:val="BodyText"/>
        <w:tabs>
          <w:tab w:pos="519" w:val="left" w:leader="none"/>
        </w:tabs>
        <w:spacing w:line="228" w:lineRule="auto" w:before="87"/>
        <w:ind w:left="520" w:right="38" w:hanging="360"/>
      </w:pPr>
      <w:r>
        <w:rPr>
          <w:color w:val="010202"/>
          <w:vertAlign w:val="superscript"/>
        </w:rPr>
        <w:t>72</w:t>
      </w:r>
      <w:r>
        <w:rPr>
          <w:color w:val="010202"/>
          <w:vertAlign w:val="baseline"/>
        </w:rPr>
        <w:tab/>
      </w:r>
      <w:r>
        <w:rPr>
          <w:color w:val="010202"/>
          <w:spacing w:val="-1"/>
          <w:vertAlign w:val="baseline"/>
        </w:rPr>
        <w:t>Linn, J.,</w:t>
      </w:r>
      <w:r>
        <w:rPr>
          <w:color w:val="010202"/>
          <w:spacing w:val="-2"/>
          <w:vertAlign w:val="baseline"/>
        </w:rPr>
        <w:t> </w:t>
      </w:r>
      <w:r>
        <w:rPr>
          <w:color w:val="010202"/>
          <w:spacing w:val="-1"/>
          <w:vertAlign w:val="baseline"/>
        </w:rPr>
        <w:t>Neff, </w:t>
      </w:r>
      <w:r>
        <w:rPr>
          <w:color w:val="010202"/>
          <w:vertAlign w:val="baseline"/>
        </w:rPr>
        <w:t>J.</w:t>
      </w:r>
      <w:r>
        <w:rPr>
          <w:color w:val="010202"/>
          <w:spacing w:val="-13"/>
          <w:vertAlign w:val="baseline"/>
        </w:rPr>
        <w:t> </w:t>
      </w:r>
      <w:r>
        <w:rPr>
          <w:color w:val="010202"/>
          <w:vertAlign w:val="baseline"/>
        </w:rPr>
        <w:t>A.,</w:t>
      </w:r>
      <w:r>
        <w:rPr>
          <w:color w:val="010202"/>
          <w:spacing w:val="-6"/>
          <w:vertAlign w:val="baseline"/>
        </w:rPr>
        <w:t> </w:t>
      </w:r>
      <w:r>
        <w:rPr>
          <w:color w:val="010202"/>
          <w:vertAlign w:val="baseline"/>
        </w:rPr>
        <w:t>Theriot,</w:t>
      </w:r>
      <w:r>
        <w:rPr>
          <w:color w:val="010202"/>
          <w:spacing w:val="-1"/>
          <w:vertAlign w:val="baseline"/>
        </w:rPr>
        <w:t> </w:t>
      </w:r>
      <w:r>
        <w:rPr>
          <w:color w:val="010202"/>
          <w:vertAlign w:val="baseline"/>
        </w:rPr>
        <w:t>R.,</w:t>
      </w:r>
      <w:r>
        <w:rPr>
          <w:color w:val="010202"/>
          <w:spacing w:val="-1"/>
          <w:vertAlign w:val="baseline"/>
        </w:rPr>
        <w:t> </w:t>
      </w:r>
      <w:r>
        <w:rPr>
          <w:color w:val="010202"/>
          <w:vertAlign w:val="baseline"/>
        </w:rPr>
        <w:t>Harris,</w:t>
      </w:r>
      <w:r>
        <w:rPr>
          <w:color w:val="010202"/>
          <w:spacing w:val="-1"/>
          <w:vertAlign w:val="baseline"/>
        </w:rPr>
        <w:t> </w:t>
      </w:r>
      <w:r>
        <w:rPr>
          <w:color w:val="010202"/>
          <w:vertAlign w:val="baseline"/>
        </w:rPr>
        <w:t>J.,</w:t>
      </w:r>
      <w:r>
        <w:rPr>
          <w:color w:val="010202"/>
          <w:spacing w:val="-2"/>
          <w:vertAlign w:val="baseline"/>
        </w:rPr>
        <w:t> </w:t>
      </w:r>
      <w:r>
        <w:rPr>
          <w:color w:val="010202"/>
          <w:vertAlign w:val="baseline"/>
        </w:rPr>
        <w:t>Interrante,</w:t>
      </w:r>
      <w:r>
        <w:rPr>
          <w:color w:val="010202"/>
          <w:spacing w:val="-52"/>
          <w:vertAlign w:val="baseline"/>
        </w:rPr>
        <w:t> </w:t>
      </w:r>
      <w:r>
        <w:rPr>
          <w:color w:val="010202"/>
          <w:vertAlign w:val="baseline"/>
        </w:rPr>
        <w:t>J., &amp; Graham, M. (2003). Reaching </w:t>
      </w:r>
      <w:r>
        <w:rPr>
          <w:color w:val="231F20"/>
          <w:vertAlign w:val="baseline"/>
        </w:rPr>
        <w:t>impaired</w:t>
      </w:r>
      <w:r>
        <w:rPr>
          <w:color w:val="231F20"/>
          <w:spacing w:val="1"/>
          <w:vertAlign w:val="baseline"/>
        </w:rPr>
        <w:t> </w:t>
      </w:r>
      <w:r>
        <w:rPr>
          <w:color w:val="231F20"/>
          <w:vertAlign w:val="baseline"/>
        </w:rPr>
        <w:t>populations with HIV prevention programs: A</w:t>
      </w:r>
      <w:r>
        <w:rPr>
          <w:color w:val="231F20"/>
          <w:spacing w:val="1"/>
          <w:vertAlign w:val="baseline"/>
        </w:rPr>
        <w:t> </w:t>
      </w:r>
      <w:r>
        <w:rPr>
          <w:color w:val="231F20"/>
          <w:vertAlign w:val="baseline"/>
        </w:rPr>
        <w:t>clinical trial for homeless mentally ill African-</w:t>
      </w:r>
      <w:r>
        <w:rPr>
          <w:color w:val="231F20"/>
          <w:spacing w:val="1"/>
          <w:vertAlign w:val="baseline"/>
        </w:rPr>
        <w:t> </w:t>
      </w:r>
      <w:r>
        <w:rPr>
          <w:color w:val="231F20"/>
          <w:vertAlign w:val="baseline"/>
        </w:rPr>
        <w:t>American men. </w:t>
      </w:r>
      <w:r>
        <w:rPr>
          <w:i/>
          <w:color w:val="231F20"/>
          <w:vertAlign w:val="baseline"/>
        </w:rPr>
        <w:t>Cellular and Molecular Biology</w:t>
      </w:r>
      <w:r>
        <w:rPr>
          <w:i/>
          <w:color w:val="231F20"/>
          <w:spacing w:val="1"/>
          <w:vertAlign w:val="baseline"/>
        </w:rPr>
        <w:t> </w:t>
      </w:r>
      <w:r>
        <w:rPr>
          <w:i/>
          <w:color w:val="231F20"/>
          <w:vertAlign w:val="baseline"/>
        </w:rPr>
        <w:t>(Noisy-le-Grand, France), 49</w:t>
      </w:r>
      <w:r>
        <w:rPr>
          <w:color w:val="231F20"/>
          <w:vertAlign w:val="baseline"/>
        </w:rPr>
        <w:t>(7), 1167-1175. </w:t>
      </w:r>
      <w:hyperlink r:id="rId216">
        <w:r>
          <w:rPr>
            <w:color w:val="3953A4"/>
            <w:u w:val="single" w:color="3953A4"/>
            <w:vertAlign w:val="baseline"/>
          </w:rPr>
          <w:t>https://</w:t>
        </w:r>
      </w:hyperlink>
      <w:r>
        <w:rPr>
          <w:color w:val="3953A4"/>
          <w:spacing w:val="-52"/>
          <w:vertAlign w:val="baseline"/>
        </w:rPr>
        <w:t> </w:t>
      </w:r>
      <w:hyperlink r:id="rId216">
        <w:r>
          <w:rPr>
            <w:color w:val="3953A4"/>
            <w:u w:val="single" w:color="3953A4"/>
            <w:vertAlign w:val="baseline"/>
          </w:rPr>
          <w:t>pubmed.ncbi.nlm.nih.gov/14682400/</w:t>
        </w:r>
      </w:hyperlink>
    </w:p>
    <w:p>
      <w:pPr>
        <w:tabs>
          <w:tab w:pos="519" w:val="left" w:leader="none"/>
        </w:tabs>
        <w:spacing w:line="246" w:lineRule="exact" w:before="78"/>
        <w:ind w:left="160" w:right="0" w:firstLine="0"/>
        <w:jc w:val="left"/>
        <w:rPr>
          <w:sz w:val="22"/>
        </w:rPr>
      </w:pPr>
      <w:r>
        <w:rPr>
          <w:color w:val="010202"/>
          <w:sz w:val="22"/>
          <w:vertAlign w:val="superscript"/>
        </w:rPr>
        <w:t>73</w:t>
      </w:r>
      <w:r>
        <w:rPr>
          <w:color w:val="010202"/>
          <w:sz w:val="22"/>
          <w:vertAlign w:val="baseline"/>
        </w:rPr>
        <w:tab/>
        <w:t>B</w:t>
      </w:r>
      <w:r>
        <w:rPr>
          <w:color w:val="231F20"/>
          <w:sz w:val="22"/>
          <w:vertAlign w:val="baseline"/>
        </w:rPr>
        <w:t>eck</w:t>
      </w:r>
      <w:r>
        <w:rPr>
          <w:color w:val="231F20"/>
          <w:spacing w:val="-3"/>
          <w:sz w:val="22"/>
          <w:vertAlign w:val="baseline"/>
        </w:rPr>
        <w:t> </w:t>
      </w:r>
      <w:r>
        <w:rPr>
          <w:color w:val="231F20"/>
          <w:sz w:val="22"/>
          <w:vertAlign w:val="baseline"/>
        </w:rPr>
        <w:t>Institute.</w:t>
      </w:r>
      <w:r>
        <w:rPr>
          <w:color w:val="231F20"/>
          <w:spacing w:val="-2"/>
          <w:sz w:val="22"/>
          <w:vertAlign w:val="baseline"/>
        </w:rPr>
        <w:t> </w:t>
      </w:r>
      <w:r>
        <w:rPr>
          <w:color w:val="231F20"/>
          <w:sz w:val="22"/>
          <w:vertAlign w:val="baseline"/>
        </w:rPr>
        <w:t>(2019).</w:t>
      </w:r>
      <w:r>
        <w:rPr>
          <w:color w:val="231F20"/>
          <w:spacing w:val="-3"/>
          <w:sz w:val="22"/>
          <w:vertAlign w:val="baseline"/>
        </w:rPr>
        <w:t> </w:t>
      </w:r>
      <w:r>
        <w:rPr>
          <w:i/>
          <w:color w:val="231F20"/>
          <w:sz w:val="22"/>
          <w:vertAlign w:val="baseline"/>
        </w:rPr>
        <w:t>Beck</w:t>
      </w:r>
      <w:r>
        <w:rPr>
          <w:i/>
          <w:color w:val="231F20"/>
          <w:spacing w:val="-2"/>
          <w:sz w:val="22"/>
          <w:vertAlign w:val="baseline"/>
        </w:rPr>
        <w:t> </w:t>
      </w:r>
      <w:r>
        <w:rPr>
          <w:i/>
          <w:color w:val="231F20"/>
          <w:sz w:val="22"/>
          <w:vertAlign w:val="baseline"/>
        </w:rPr>
        <w:t>CBT</w:t>
      </w:r>
      <w:r>
        <w:rPr>
          <w:i/>
          <w:color w:val="231F20"/>
          <w:spacing w:val="-7"/>
          <w:sz w:val="22"/>
          <w:vertAlign w:val="baseline"/>
        </w:rPr>
        <w:t> </w:t>
      </w:r>
      <w:r>
        <w:rPr>
          <w:i/>
          <w:color w:val="231F20"/>
          <w:sz w:val="22"/>
          <w:vertAlign w:val="baseline"/>
        </w:rPr>
        <w:t>certification</w:t>
      </w:r>
      <w:r>
        <w:rPr>
          <w:color w:val="231F20"/>
          <w:sz w:val="22"/>
          <w:vertAlign w:val="baseline"/>
        </w:rPr>
        <w:t>.</w:t>
      </w:r>
    </w:p>
    <w:p>
      <w:pPr>
        <w:pStyle w:val="BodyText"/>
        <w:spacing w:line="246" w:lineRule="exact"/>
        <w:ind w:left="520"/>
      </w:pPr>
      <w:hyperlink r:id="rId215">
        <w:r>
          <w:rPr>
            <w:color w:val="3953A4"/>
            <w:u w:val="single" w:color="3953A4"/>
          </w:rPr>
          <w:t>https://beckinstitute.org/certification/</w:t>
        </w:r>
      </w:hyperlink>
    </w:p>
    <w:p>
      <w:pPr>
        <w:pStyle w:val="BodyText"/>
        <w:tabs>
          <w:tab w:pos="519" w:val="left" w:leader="none"/>
        </w:tabs>
        <w:spacing w:line="228" w:lineRule="auto" w:before="101"/>
        <w:ind w:left="520" w:right="825" w:hanging="360"/>
      </w:pPr>
      <w:r>
        <w:rPr/>
        <w:br w:type="column"/>
      </w:r>
      <w:r>
        <w:rPr>
          <w:color w:val="010202"/>
          <w:vertAlign w:val="superscript"/>
        </w:rPr>
        <w:t>74</w:t>
      </w:r>
      <w:r>
        <w:rPr>
          <w:color w:val="010202"/>
          <w:vertAlign w:val="baseline"/>
        </w:rPr>
        <w:tab/>
        <w:t>Foa, </w:t>
      </w:r>
      <w:r>
        <w:rPr>
          <w:color w:val="231F20"/>
          <w:vertAlign w:val="baseline"/>
        </w:rPr>
        <w:t>E. B., Keane, T. M., Friedman, M. J., &amp;</w:t>
      </w:r>
      <w:r>
        <w:rPr>
          <w:color w:val="231F20"/>
          <w:spacing w:val="1"/>
          <w:vertAlign w:val="baseline"/>
        </w:rPr>
        <w:t> </w:t>
      </w:r>
      <w:r>
        <w:rPr>
          <w:color w:val="231F20"/>
          <w:spacing w:val="-1"/>
          <w:vertAlign w:val="baseline"/>
        </w:rPr>
        <w:t>Cohen, </w:t>
      </w:r>
      <w:r>
        <w:rPr>
          <w:color w:val="231F20"/>
          <w:vertAlign w:val="baseline"/>
        </w:rPr>
        <w:t>J.</w:t>
      </w:r>
      <w:r>
        <w:rPr>
          <w:color w:val="231F20"/>
          <w:spacing w:val="-14"/>
          <w:vertAlign w:val="baseline"/>
        </w:rPr>
        <w:t> </w:t>
      </w:r>
      <w:r>
        <w:rPr>
          <w:color w:val="231F20"/>
          <w:vertAlign w:val="baseline"/>
        </w:rPr>
        <w:t>A.</w:t>
      </w:r>
      <w:r>
        <w:rPr>
          <w:color w:val="231F20"/>
          <w:spacing w:val="-1"/>
          <w:vertAlign w:val="baseline"/>
        </w:rPr>
        <w:t> </w:t>
      </w:r>
      <w:r>
        <w:rPr>
          <w:color w:val="231F20"/>
          <w:vertAlign w:val="baseline"/>
        </w:rPr>
        <w:t>(2009).</w:t>
      </w:r>
      <w:r>
        <w:rPr>
          <w:color w:val="231F20"/>
          <w:spacing w:val="-1"/>
          <w:vertAlign w:val="baseline"/>
        </w:rPr>
        <w:t> </w:t>
      </w:r>
      <w:r>
        <w:rPr>
          <w:color w:val="231F20"/>
          <w:vertAlign w:val="baseline"/>
        </w:rPr>
        <w:t>Effective</w:t>
      </w:r>
      <w:r>
        <w:rPr>
          <w:color w:val="231F20"/>
          <w:spacing w:val="-1"/>
          <w:vertAlign w:val="baseline"/>
        </w:rPr>
        <w:t> </w:t>
      </w:r>
      <w:r>
        <w:rPr>
          <w:color w:val="231F20"/>
          <w:vertAlign w:val="baseline"/>
        </w:rPr>
        <w:t>treatments</w:t>
      </w:r>
      <w:r>
        <w:rPr>
          <w:color w:val="231F20"/>
          <w:spacing w:val="-1"/>
          <w:vertAlign w:val="baseline"/>
        </w:rPr>
        <w:t> </w:t>
      </w:r>
      <w:r>
        <w:rPr>
          <w:color w:val="231F20"/>
          <w:vertAlign w:val="baseline"/>
        </w:rPr>
        <w:t>for PTSD:</w:t>
      </w:r>
    </w:p>
    <w:p>
      <w:pPr>
        <w:pStyle w:val="BodyText"/>
        <w:spacing w:line="228" w:lineRule="auto"/>
        <w:ind w:left="520" w:right="715"/>
      </w:pPr>
      <w:r>
        <w:rPr>
          <w:color w:val="231F20"/>
        </w:rPr>
        <w:t>Practice</w:t>
      </w:r>
      <w:r>
        <w:rPr>
          <w:color w:val="231F20"/>
          <w:spacing w:val="-4"/>
        </w:rPr>
        <w:t> </w:t>
      </w:r>
      <w:r>
        <w:rPr>
          <w:color w:val="231F20"/>
        </w:rPr>
        <w:t>guidelines</w:t>
      </w:r>
      <w:r>
        <w:rPr>
          <w:color w:val="231F20"/>
          <w:spacing w:val="-2"/>
        </w:rPr>
        <w:t> </w:t>
      </w:r>
      <w:r>
        <w:rPr>
          <w:color w:val="231F20"/>
        </w:rPr>
        <w:t>from</w:t>
      </w:r>
      <w:r>
        <w:rPr>
          <w:color w:val="231F20"/>
          <w:spacing w:val="-2"/>
        </w:rPr>
        <w:t> </w:t>
      </w:r>
      <w:r>
        <w:rPr>
          <w:color w:val="231F20"/>
        </w:rPr>
        <w:t>the</w:t>
      </w:r>
      <w:r>
        <w:rPr>
          <w:color w:val="231F20"/>
          <w:spacing w:val="-2"/>
        </w:rPr>
        <w:t> </w:t>
      </w:r>
      <w:r>
        <w:rPr>
          <w:color w:val="231F20"/>
        </w:rPr>
        <w:t>International</w:t>
      </w:r>
      <w:r>
        <w:rPr>
          <w:color w:val="231F20"/>
          <w:spacing w:val="-2"/>
        </w:rPr>
        <w:t> </w:t>
      </w:r>
      <w:r>
        <w:rPr>
          <w:color w:val="231F20"/>
        </w:rPr>
        <w:t>Society</w:t>
      </w:r>
      <w:r>
        <w:rPr>
          <w:color w:val="231F20"/>
          <w:spacing w:val="-3"/>
        </w:rPr>
        <w:t> </w:t>
      </w:r>
      <w:r>
        <w:rPr>
          <w:color w:val="231F20"/>
        </w:rPr>
        <w:t>for</w:t>
      </w:r>
      <w:r>
        <w:rPr>
          <w:color w:val="231F20"/>
          <w:spacing w:val="-52"/>
        </w:rPr>
        <w:t> </w:t>
      </w:r>
      <w:r>
        <w:rPr>
          <w:color w:val="231F20"/>
        </w:rPr>
        <w:t>Traumatic</w:t>
      </w:r>
      <w:r>
        <w:rPr>
          <w:color w:val="231F20"/>
          <w:spacing w:val="-4"/>
        </w:rPr>
        <w:t> </w:t>
      </w:r>
      <w:r>
        <w:rPr>
          <w:color w:val="231F20"/>
        </w:rPr>
        <w:t>Stress</w:t>
      </w:r>
      <w:r>
        <w:rPr>
          <w:color w:val="231F20"/>
          <w:spacing w:val="-4"/>
        </w:rPr>
        <w:t> </w:t>
      </w:r>
      <w:r>
        <w:rPr>
          <w:color w:val="231F20"/>
        </w:rPr>
        <w:t>Studies</w:t>
      </w:r>
      <w:r>
        <w:rPr>
          <w:color w:val="231F20"/>
          <w:spacing w:val="-4"/>
        </w:rPr>
        <w:t> </w:t>
      </w:r>
      <w:r>
        <w:rPr>
          <w:color w:val="231F20"/>
        </w:rPr>
        <w:t>(2nd</w:t>
      </w:r>
      <w:r>
        <w:rPr>
          <w:color w:val="231F20"/>
          <w:spacing w:val="-3"/>
        </w:rPr>
        <w:t> </w:t>
      </w:r>
      <w:r>
        <w:rPr>
          <w:color w:val="231F20"/>
        </w:rPr>
        <w:t>ed.).</w:t>
      </w:r>
      <w:r>
        <w:rPr>
          <w:color w:val="231F20"/>
          <w:spacing w:val="-3"/>
        </w:rPr>
        <w:t> </w:t>
      </w:r>
      <w:r>
        <w:rPr>
          <w:color w:val="231F20"/>
        </w:rPr>
        <w:t>Guilford</w:t>
      </w:r>
      <w:r>
        <w:rPr>
          <w:color w:val="231F20"/>
          <w:spacing w:val="-4"/>
        </w:rPr>
        <w:t> </w:t>
      </w:r>
      <w:r>
        <w:rPr>
          <w:color w:val="231F20"/>
        </w:rPr>
        <w:t>Press.</w:t>
      </w:r>
    </w:p>
    <w:p>
      <w:pPr>
        <w:spacing w:line="228" w:lineRule="auto" w:before="89"/>
        <w:ind w:left="520" w:right="753" w:hanging="360"/>
        <w:jc w:val="left"/>
        <w:rPr>
          <w:sz w:val="22"/>
        </w:rPr>
      </w:pPr>
      <w:r>
        <w:rPr>
          <w:color w:val="231F20"/>
          <w:sz w:val="22"/>
        </w:rPr>
        <w:t>75</w:t>
      </w:r>
      <w:r>
        <w:rPr>
          <w:color w:val="231F20"/>
          <w:spacing w:val="1"/>
          <w:sz w:val="22"/>
        </w:rPr>
        <w:t> </w:t>
      </w:r>
      <w:r>
        <w:rPr>
          <w:color w:val="231F20"/>
          <w:sz w:val="22"/>
        </w:rPr>
        <w:t>Boston University Center for Innovation in Social</w:t>
      </w:r>
      <w:r>
        <w:rPr>
          <w:color w:val="231F20"/>
          <w:spacing w:val="1"/>
          <w:sz w:val="22"/>
        </w:rPr>
        <w:t> </w:t>
      </w:r>
      <w:r>
        <w:rPr>
          <w:color w:val="231F20"/>
          <w:sz w:val="22"/>
        </w:rPr>
        <w:t>Work</w:t>
      </w:r>
      <w:r>
        <w:rPr>
          <w:color w:val="231F20"/>
          <w:spacing w:val="-6"/>
          <w:sz w:val="22"/>
        </w:rPr>
        <w:t> </w:t>
      </w:r>
      <w:r>
        <w:rPr>
          <w:color w:val="231F20"/>
          <w:sz w:val="22"/>
        </w:rPr>
        <w:t>&amp;</w:t>
      </w:r>
      <w:r>
        <w:rPr>
          <w:color w:val="231F20"/>
          <w:spacing w:val="-5"/>
          <w:sz w:val="22"/>
        </w:rPr>
        <w:t> </w:t>
      </w:r>
      <w:r>
        <w:rPr>
          <w:color w:val="231F20"/>
          <w:sz w:val="22"/>
        </w:rPr>
        <w:t>Health</w:t>
      </w:r>
      <w:r>
        <w:rPr>
          <w:color w:val="231F20"/>
          <w:spacing w:val="-6"/>
          <w:sz w:val="22"/>
        </w:rPr>
        <w:t> </w:t>
      </w:r>
      <w:r>
        <w:rPr>
          <w:color w:val="231F20"/>
          <w:sz w:val="22"/>
        </w:rPr>
        <w:t>(2016).</w:t>
      </w:r>
      <w:r>
        <w:rPr>
          <w:color w:val="231F20"/>
          <w:spacing w:val="-6"/>
          <w:sz w:val="22"/>
        </w:rPr>
        <w:t> </w:t>
      </w:r>
      <w:r>
        <w:rPr>
          <w:i/>
          <w:color w:val="231F20"/>
          <w:sz w:val="22"/>
        </w:rPr>
        <w:t>Enhanced</w:t>
      </w:r>
      <w:r>
        <w:rPr>
          <w:i/>
          <w:color w:val="231F20"/>
          <w:spacing w:val="-5"/>
          <w:sz w:val="22"/>
        </w:rPr>
        <w:t> </w:t>
      </w:r>
      <w:r>
        <w:rPr>
          <w:i/>
          <w:color w:val="231F20"/>
          <w:sz w:val="22"/>
        </w:rPr>
        <w:t>patient</w:t>
      </w:r>
      <w:r>
        <w:rPr>
          <w:i/>
          <w:color w:val="231F20"/>
          <w:spacing w:val="-5"/>
          <w:sz w:val="22"/>
        </w:rPr>
        <w:t> </w:t>
      </w:r>
      <w:r>
        <w:rPr>
          <w:i/>
          <w:color w:val="231F20"/>
          <w:sz w:val="22"/>
        </w:rPr>
        <w:t>navigation</w:t>
      </w:r>
      <w:r>
        <w:rPr>
          <w:i/>
          <w:color w:val="231F20"/>
          <w:spacing w:val="-52"/>
          <w:sz w:val="22"/>
        </w:rPr>
        <w:t> </w:t>
      </w:r>
      <w:r>
        <w:rPr>
          <w:i/>
          <w:color w:val="231F20"/>
          <w:sz w:val="22"/>
        </w:rPr>
        <w:t>for HIV-positive women of color. TargetHIV.</w:t>
      </w:r>
      <w:r>
        <w:rPr>
          <w:i/>
          <w:color w:val="3953A4"/>
          <w:sz w:val="22"/>
        </w:rPr>
        <w:t> </w:t>
      </w:r>
      <w:hyperlink r:id="rId217">
        <w:r>
          <w:rPr>
            <w:color w:val="3953A4"/>
            <w:sz w:val="22"/>
            <w:u w:val="single" w:color="3953A4"/>
          </w:rPr>
          <w:t>https://</w:t>
        </w:r>
      </w:hyperlink>
      <w:r>
        <w:rPr>
          <w:color w:val="3953A4"/>
          <w:spacing w:val="-53"/>
          <w:sz w:val="22"/>
        </w:rPr>
        <w:t> </w:t>
      </w:r>
      <w:hyperlink r:id="rId217">
        <w:r>
          <w:rPr>
            <w:color w:val="3953A4"/>
            <w:sz w:val="22"/>
            <w:u w:val="single" w:color="3953A4"/>
          </w:rPr>
          <w:t>targethiv.org/deii/deii-enhanced-patient-navigation</w:t>
        </w:r>
      </w:hyperlink>
    </w:p>
    <w:p>
      <w:pPr>
        <w:tabs>
          <w:tab w:pos="519" w:val="left" w:leader="none"/>
        </w:tabs>
        <w:spacing w:line="228" w:lineRule="auto" w:before="88"/>
        <w:ind w:left="520" w:right="868" w:hanging="360"/>
        <w:jc w:val="left"/>
        <w:rPr>
          <w:sz w:val="22"/>
        </w:rPr>
      </w:pPr>
      <w:r>
        <w:rPr>
          <w:color w:val="010202"/>
          <w:sz w:val="22"/>
          <w:vertAlign w:val="superscript"/>
        </w:rPr>
        <w:t>76</w:t>
      </w:r>
      <w:r>
        <w:rPr>
          <w:color w:val="010202"/>
          <w:sz w:val="22"/>
          <w:vertAlign w:val="baseline"/>
        </w:rPr>
        <w:tab/>
        <w:t>H</w:t>
      </w:r>
      <w:r>
        <w:rPr>
          <w:color w:val="231F20"/>
          <w:sz w:val="22"/>
          <w:vertAlign w:val="baseline"/>
        </w:rPr>
        <w:t>arold P. Freeman Patient Navigation Institute.</w:t>
      </w:r>
      <w:r>
        <w:rPr>
          <w:color w:val="231F20"/>
          <w:spacing w:val="1"/>
          <w:sz w:val="22"/>
          <w:vertAlign w:val="baseline"/>
        </w:rPr>
        <w:t> </w:t>
      </w:r>
      <w:r>
        <w:rPr>
          <w:color w:val="231F20"/>
          <w:sz w:val="22"/>
          <w:vertAlign w:val="baseline"/>
        </w:rPr>
        <w:t>(2020).</w:t>
      </w:r>
      <w:r>
        <w:rPr>
          <w:color w:val="231F20"/>
          <w:spacing w:val="-7"/>
          <w:sz w:val="22"/>
          <w:vertAlign w:val="baseline"/>
        </w:rPr>
        <w:t> </w:t>
      </w:r>
      <w:r>
        <w:rPr>
          <w:i/>
          <w:color w:val="231F20"/>
          <w:sz w:val="22"/>
          <w:vertAlign w:val="baseline"/>
        </w:rPr>
        <w:t>Our</w:t>
      </w:r>
      <w:r>
        <w:rPr>
          <w:i/>
          <w:color w:val="231F20"/>
          <w:spacing w:val="-7"/>
          <w:sz w:val="22"/>
          <w:vertAlign w:val="baseline"/>
        </w:rPr>
        <w:t> </w:t>
      </w:r>
      <w:r>
        <w:rPr>
          <w:i/>
          <w:color w:val="231F20"/>
          <w:sz w:val="22"/>
          <w:vertAlign w:val="baseline"/>
        </w:rPr>
        <w:t>model:</w:t>
      </w:r>
      <w:r>
        <w:rPr>
          <w:i/>
          <w:color w:val="231F20"/>
          <w:spacing w:val="-7"/>
          <w:sz w:val="22"/>
          <w:vertAlign w:val="baseline"/>
        </w:rPr>
        <w:t> </w:t>
      </w:r>
      <w:r>
        <w:rPr>
          <w:i/>
          <w:color w:val="231F20"/>
          <w:sz w:val="22"/>
          <w:vertAlign w:val="baseline"/>
        </w:rPr>
        <w:t>The</w:t>
      </w:r>
      <w:r>
        <w:rPr>
          <w:i/>
          <w:color w:val="231F20"/>
          <w:spacing w:val="-7"/>
          <w:sz w:val="22"/>
          <w:vertAlign w:val="baseline"/>
        </w:rPr>
        <w:t> </w:t>
      </w:r>
      <w:r>
        <w:rPr>
          <w:i/>
          <w:color w:val="231F20"/>
          <w:sz w:val="22"/>
          <w:vertAlign w:val="baseline"/>
        </w:rPr>
        <w:t>gold</w:t>
      </w:r>
      <w:r>
        <w:rPr>
          <w:i/>
          <w:color w:val="231F20"/>
          <w:spacing w:val="-6"/>
          <w:sz w:val="22"/>
          <w:vertAlign w:val="baseline"/>
        </w:rPr>
        <w:t> </w:t>
      </w:r>
      <w:r>
        <w:rPr>
          <w:i/>
          <w:color w:val="231F20"/>
          <w:sz w:val="22"/>
          <w:vertAlign w:val="baseline"/>
        </w:rPr>
        <w:t>standard</w:t>
      </w:r>
      <w:r>
        <w:rPr>
          <w:color w:val="231F20"/>
          <w:sz w:val="22"/>
          <w:vertAlign w:val="baseline"/>
        </w:rPr>
        <w:t>.</w:t>
      </w:r>
      <w:r>
        <w:rPr>
          <w:color w:val="231F20"/>
          <w:spacing w:val="-6"/>
          <w:sz w:val="22"/>
          <w:vertAlign w:val="baseline"/>
        </w:rPr>
        <w:t> </w:t>
      </w:r>
      <w:hyperlink r:id="rId218">
        <w:r>
          <w:rPr>
            <w:color w:val="3953A4"/>
            <w:sz w:val="22"/>
            <w:u w:val="single" w:color="3953A4"/>
            <w:vertAlign w:val="baseline"/>
          </w:rPr>
          <w:t>http://www.</w:t>
        </w:r>
      </w:hyperlink>
      <w:r>
        <w:rPr>
          <w:color w:val="3953A4"/>
          <w:spacing w:val="-52"/>
          <w:sz w:val="22"/>
          <w:vertAlign w:val="baseline"/>
        </w:rPr>
        <w:t> </w:t>
      </w:r>
      <w:hyperlink r:id="rId218">
        <w:r>
          <w:rPr>
            <w:color w:val="3953A4"/>
            <w:sz w:val="22"/>
            <w:u w:val="single" w:color="3953A4"/>
            <w:vertAlign w:val="baseline"/>
          </w:rPr>
          <w:t>hpfreemanpni.org/our-model/</w:t>
        </w:r>
      </w:hyperlink>
    </w:p>
    <w:p>
      <w:pPr>
        <w:pStyle w:val="BodyText"/>
        <w:tabs>
          <w:tab w:pos="519" w:val="left" w:leader="none"/>
        </w:tabs>
        <w:spacing w:line="228" w:lineRule="auto" w:before="89"/>
        <w:ind w:left="520" w:right="1017" w:hanging="360"/>
      </w:pPr>
      <w:r>
        <w:rPr>
          <w:color w:val="010202"/>
          <w:vertAlign w:val="superscript"/>
        </w:rPr>
        <w:t>77</w:t>
      </w:r>
      <w:r>
        <w:rPr>
          <w:color w:val="010202"/>
          <w:vertAlign w:val="baseline"/>
        </w:rPr>
        <w:tab/>
        <w:t>F</w:t>
      </w:r>
      <w:r>
        <w:rPr>
          <w:color w:val="231F20"/>
          <w:vertAlign w:val="baseline"/>
        </w:rPr>
        <w:t>arrisi, D., &amp; Dietz, N. (2013). Patient navigation</w:t>
      </w:r>
      <w:r>
        <w:rPr>
          <w:color w:val="231F20"/>
          <w:spacing w:val="-52"/>
          <w:vertAlign w:val="baseline"/>
        </w:rPr>
        <w:t> </w:t>
      </w:r>
      <w:r>
        <w:rPr>
          <w:color w:val="231F20"/>
          <w:vertAlign w:val="baseline"/>
        </w:rPr>
        <w:t>is a client-centered approach that helps to engage</w:t>
      </w:r>
      <w:r>
        <w:rPr>
          <w:color w:val="231F20"/>
          <w:spacing w:val="-52"/>
          <w:vertAlign w:val="baseline"/>
        </w:rPr>
        <w:t> </w:t>
      </w:r>
      <w:r>
        <w:rPr>
          <w:color w:val="231F20"/>
          <w:vertAlign w:val="baseline"/>
        </w:rPr>
        <w:t>people in HIV care. </w:t>
      </w:r>
      <w:r>
        <w:rPr>
          <w:i/>
          <w:color w:val="231F20"/>
          <w:vertAlign w:val="baseline"/>
        </w:rPr>
        <w:t>HIV Clinician, 25</w:t>
      </w:r>
      <w:r>
        <w:rPr>
          <w:color w:val="231F20"/>
          <w:vertAlign w:val="baseline"/>
        </w:rPr>
        <w:t>(1), 1-3.</w:t>
      </w:r>
      <w:r>
        <w:rPr>
          <w:color w:val="231F20"/>
          <w:spacing w:val="1"/>
          <w:vertAlign w:val="baseline"/>
        </w:rPr>
        <w:t> </w:t>
      </w:r>
      <w:hyperlink r:id="rId219">
        <w:r>
          <w:rPr>
            <w:color w:val="3953A4"/>
            <w:u w:val="single" w:color="3953A4"/>
            <w:vertAlign w:val="baseline"/>
          </w:rPr>
          <w:t>https://pubmed.ncbi.nlm.nih.gov/23476957</w:t>
        </w:r>
      </w:hyperlink>
    </w:p>
    <w:p>
      <w:pPr>
        <w:pStyle w:val="BodyText"/>
        <w:tabs>
          <w:tab w:pos="519" w:val="left" w:leader="none"/>
        </w:tabs>
        <w:spacing w:line="228" w:lineRule="auto" w:before="89"/>
        <w:ind w:left="520" w:right="1183" w:hanging="360"/>
      </w:pPr>
      <w:r>
        <w:rPr>
          <w:color w:val="010202"/>
          <w:vertAlign w:val="superscript"/>
        </w:rPr>
        <w:t>78</w:t>
      </w:r>
      <w:r>
        <w:rPr>
          <w:color w:val="010202"/>
          <w:vertAlign w:val="baseline"/>
        </w:rPr>
        <w:tab/>
        <w:t>C</w:t>
      </w:r>
      <w:r>
        <w:rPr>
          <w:color w:val="231F20"/>
          <w:vertAlign w:val="baseline"/>
        </w:rPr>
        <w:t>unningham, W. E., Weiss, R. E., Nakazono,</w:t>
      </w:r>
      <w:r>
        <w:rPr>
          <w:color w:val="231F20"/>
          <w:spacing w:val="1"/>
          <w:vertAlign w:val="baseline"/>
        </w:rPr>
        <w:t> </w:t>
      </w:r>
      <w:r>
        <w:rPr>
          <w:color w:val="231F20"/>
          <w:spacing w:val="-2"/>
          <w:vertAlign w:val="baseline"/>
        </w:rPr>
        <w:t>T.,</w:t>
      </w:r>
      <w:r>
        <w:rPr>
          <w:color w:val="231F20"/>
          <w:spacing w:val="4"/>
          <w:vertAlign w:val="baseline"/>
        </w:rPr>
        <w:t> </w:t>
      </w:r>
      <w:r>
        <w:rPr>
          <w:color w:val="231F20"/>
          <w:spacing w:val="-2"/>
          <w:vertAlign w:val="baseline"/>
        </w:rPr>
        <w:t>Malek,</w:t>
      </w:r>
      <w:r>
        <w:rPr>
          <w:color w:val="231F20"/>
          <w:spacing w:val="3"/>
          <w:vertAlign w:val="baseline"/>
        </w:rPr>
        <w:t> </w:t>
      </w:r>
      <w:r>
        <w:rPr>
          <w:color w:val="231F20"/>
          <w:spacing w:val="-2"/>
          <w:vertAlign w:val="baseline"/>
        </w:rPr>
        <w:t>M.</w:t>
      </w:r>
      <w:r>
        <w:rPr>
          <w:color w:val="231F20"/>
          <w:spacing w:val="-9"/>
          <w:vertAlign w:val="baseline"/>
        </w:rPr>
        <w:t> </w:t>
      </w:r>
      <w:r>
        <w:rPr>
          <w:color w:val="231F20"/>
          <w:spacing w:val="-2"/>
          <w:vertAlign w:val="baseline"/>
        </w:rPr>
        <w:t>A.,</w:t>
      </w:r>
      <w:r>
        <w:rPr>
          <w:color w:val="231F20"/>
          <w:spacing w:val="3"/>
          <w:vertAlign w:val="baseline"/>
        </w:rPr>
        <w:t> </w:t>
      </w:r>
      <w:r>
        <w:rPr>
          <w:color w:val="231F20"/>
          <w:spacing w:val="-2"/>
          <w:vertAlign w:val="baseline"/>
        </w:rPr>
        <w:t>Shoptaw,</w:t>
      </w:r>
      <w:r>
        <w:rPr>
          <w:color w:val="231F20"/>
          <w:spacing w:val="4"/>
          <w:vertAlign w:val="baseline"/>
        </w:rPr>
        <w:t> </w:t>
      </w:r>
      <w:r>
        <w:rPr>
          <w:color w:val="231F20"/>
          <w:spacing w:val="-1"/>
          <w:vertAlign w:val="baseline"/>
        </w:rPr>
        <w:t>S.</w:t>
      </w:r>
      <w:r>
        <w:rPr>
          <w:color w:val="231F20"/>
          <w:spacing w:val="3"/>
          <w:vertAlign w:val="baseline"/>
        </w:rPr>
        <w:t> </w:t>
      </w:r>
      <w:r>
        <w:rPr>
          <w:color w:val="231F20"/>
          <w:spacing w:val="-1"/>
          <w:vertAlign w:val="baseline"/>
        </w:rPr>
        <w:t>J.,</w:t>
      </w:r>
      <w:r>
        <w:rPr>
          <w:color w:val="231F20"/>
          <w:spacing w:val="3"/>
          <w:vertAlign w:val="baseline"/>
        </w:rPr>
        <w:t> </w:t>
      </w:r>
      <w:r>
        <w:rPr>
          <w:color w:val="231F20"/>
          <w:spacing w:val="-1"/>
          <w:vertAlign w:val="baseline"/>
        </w:rPr>
        <w:t>Ettner,</w:t>
      </w:r>
      <w:r>
        <w:rPr>
          <w:color w:val="231F20"/>
          <w:spacing w:val="4"/>
          <w:vertAlign w:val="baseline"/>
        </w:rPr>
        <w:t> </w:t>
      </w:r>
      <w:r>
        <w:rPr>
          <w:color w:val="231F20"/>
          <w:spacing w:val="-1"/>
          <w:vertAlign w:val="baseline"/>
        </w:rPr>
        <w:t>S.</w:t>
      </w:r>
      <w:r>
        <w:rPr>
          <w:color w:val="231F20"/>
          <w:spacing w:val="3"/>
          <w:vertAlign w:val="baseline"/>
        </w:rPr>
        <w:t> </w:t>
      </w:r>
      <w:r>
        <w:rPr>
          <w:color w:val="231F20"/>
          <w:spacing w:val="-1"/>
          <w:vertAlign w:val="baseline"/>
        </w:rPr>
        <w:t>L.,</w:t>
      </w:r>
      <w:r>
        <w:rPr>
          <w:color w:val="231F20"/>
          <w:vertAlign w:val="baseline"/>
        </w:rPr>
        <w:t> &amp;</w:t>
      </w:r>
      <w:r>
        <w:rPr>
          <w:color w:val="231F20"/>
          <w:spacing w:val="-4"/>
          <w:vertAlign w:val="baseline"/>
        </w:rPr>
        <w:t> </w:t>
      </w:r>
      <w:r>
        <w:rPr>
          <w:color w:val="231F20"/>
          <w:vertAlign w:val="baseline"/>
        </w:rPr>
        <w:t>Harawa,</w:t>
      </w:r>
      <w:r>
        <w:rPr>
          <w:color w:val="231F20"/>
          <w:spacing w:val="-4"/>
          <w:vertAlign w:val="baseline"/>
        </w:rPr>
        <w:t> </w:t>
      </w:r>
      <w:r>
        <w:rPr>
          <w:color w:val="231F20"/>
          <w:vertAlign w:val="baseline"/>
        </w:rPr>
        <w:t>N.</w:t>
      </w:r>
      <w:r>
        <w:rPr>
          <w:color w:val="231F20"/>
          <w:spacing w:val="-8"/>
          <w:vertAlign w:val="baseline"/>
        </w:rPr>
        <w:t> </w:t>
      </w:r>
      <w:r>
        <w:rPr>
          <w:color w:val="231F20"/>
          <w:vertAlign w:val="baseline"/>
        </w:rPr>
        <w:t>T.</w:t>
      </w:r>
      <w:r>
        <w:rPr>
          <w:color w:val="231F20"/>
          <w:spacing w:val="-4"/>
          <w:vertAlign w:val="baseline"/>
        </w:rPr>
        <w:t> </w:t>
      </w:r>
      <w:r>
        <w:rPr>
          <w:color w:val="231F20"/>
          <w:vertAlign w:val="baseline"/>
        </w:rPr>
        <w:t>(2018).</w:t>
      </w:r>
      <w:r>
        <w:rPr>
          <w:color w:val="231F20"/>
          <w:spacing w:val="-3"/>
          <w:vertAlign w:val="baseline"/>
        </w:rPr>
        <w:t> </w:t>
      </w:r>
      <w:r>
        <w:rPr>
          <w:color w:val="231F20"/>
          <w:vertAlign w:val="baseline"/>
        </w:rPr>
        <w:t>Effectiveness</w:t>
      </w:r>
      <w:r>
        <w:rPr>
          <w:color w:val="231F20"/>
          <w:spacing w:val="-4"/>
          <w:vertAlign w:val="baseline"/>
        </w:rPr>
        <w:t> </w:t>
      </w:r>
      <w:r>
        <w:rPr>
          <w:color w:val="231F20"/>
          <w:vertAlign w:val="baseline"/>
        </w:rPr>
        <w:t>of</w:t>
      </w:r>
      <w:r>
        <w:rPr>
          <w:color w:val="231F20"/>
          <w:spacing w:val="-3"/>
          <w:vertAlign w:val="baseline"/>
        </w:rPr>
        <w:t> </w:t>
      </w:r>
      <w:r>
        <w:rPr>
          <w:color w:val="231F20"/>
          <w:vertAlign w:val="baseline"/>
        </w:rPr>
        <w:t>a</w:t>
      </w:r>
      <w:r>
        <w:rPr>
          <w:color w:val="231F20"/>
          <w:spacing w:val="-4"/>
          <w:vertAlign w:val="baseline"/>
        </w:rPr>
        <w:t> </w:t>
      </w:r>
      <w:r>
        <w:rPr>
          <w:color w:val="231F20"/>
          <w:vertAlign w:val="baseline"/>
        </w:rPr>
        <w:t>peer</w:t>
      </w:r>
    </w:p>
    <w:p>
      <w:pPr>
        <w:pStyle w:val="BodyText"/>
        <w:spacing w:line="228" w:lineRule="auto"/>
        <w:ind w:left="519" w:right="890"/>
      </w:pPr>
      <w:r>
        <w:rPr>
          <w:color w:val="231F20"/>
        </w:rPr>
        <w:t>navigation intervention to sustain viral suppression</w:t>
      </w:r>
      <w:r>
        <w:rPr>
          <w:color w:val="231F20"/>
          <w:spacing w:val="-52"/>
        </w:rPr>
        <w:t> </w:t>
      </w:r>
      <w:r>
        <w:rPr>
          <w:color w:val="231F20"/>
        </w:rPr>
        <w:t>among HIV-positive men and transgender women</w:t>
      </w:r>
      <w:r>
        <w:rPr>
          <w:color w:val="231F20"/>
          <w:spacing w:val="1"/>
        </w:rPr>
        <w:t> </w:t>
      </w:r>
      <w:r>
        <w:rPr>
          <w:color w:val="231F20"/>
        </w:rPr>
        <w:t>released from jail: The link la randomized clinical</w:t>
      </w:r>
      <w:r>
        <w:rPr>
          <w:color w:val="231F20"/>
          <w:spacing w:val="1"/>
        </w:rPr>
        <w:t> </w:t>
      </w:r>
      <w:r>
        <w:rPr>
          <w:color w:val="231F20"/>
        </w:rPr>
        <w:t>trial. </w:t>
      </w:r>
      <w:r>
        <w:rPr>
          <w:i/>
          <w:color w:val="231F20"/>
        </w:rPr>
        <w:t>JAMA Internal Medicine, 178</w:t>
      </w:r>
      <w:r>
        <w:rPr>
          <w:color w:val="231F20"/>
        </w:rPr>
        <w:t>(4), 542-553.</w:t>
      </w:r>
      <w:r>
        <w:rPr>
          <w:color w:val="231F20"/>
          <w:spacing w:val="1"/>
        </w:rPr>
        <w:t> </w:t>
      </w:r>
      <w:hyperlink r:id="rId220">
        <w:r>
          <w:rPr>
            <w:color w:val="3953A4"/>
            <w:u w:val="single" w:color="3953A4"/>
          </w:rPr>
          <w:t>https://doi.org/10.1001/jamainternmed.2018.0150</w:t>
        </w:r>
      </w:hyperlink>
    </w:p>
    <w:p>
      <w:pPr>
        <w:pStyle w:val="BodyText"/>
        <w:tabs>
          <w:tab w:pos="519" w:val="left" w:leader="none"/>
        </w:tabs>
        <w:spacing w:line="228" w:lineRule="auto" w:before="87"/>
        <w:ind w:left="520" w:right="718" w:hanging="360"/>
      </w:pPr>
      <w:r>
        <w:rPr>
          <w:color w:val="010202"/>
          <w:vertAlign w:val="superscript"/>
        </w:rPr>
        <w:t>79</w:t>
      </w:r>
      <w:r>
        <w:rPr>
          <w:color w:val="010202"/>
          <w:vertAlign w:val="baseline"/>
        </w:rPr>
        <w:tab/>
        <w:t>Center </w:t>
      </w:r>
      <w:r>
        <w:rPr>
          <w:color w:val="231F20"/>
          <w:vertAlign w:val="baseline"/>
        </w:rPr>
        <w:t>for Health Policy and Inequalities Research.</w:t>
      </w:r>
      <w:r>
        <w:rPr>
          <w:color w:val="231F20"/>
          <w:spacing w:val="1"/>
          <w:vertAlign w:val="baseline"/>
        </w:rPr>
        <w:t> </w:t>
      </w:r>
      <w:r>
        <w:rPr>
          <w:color w:val="231F20"/>
          <w:vertAlign w:val="baseline"/>
        </w:rPr>
        <w:t>(n.d.). Including peers as part of a substance use</w:t>
      </w:r>
      <w:r>
        <w:rPr>
          <w:color w:val="231F20"/>
          <w:spacing w:val="1"/>
          <w:vertAlign w:val="baseline"/>
        </w:rPr>
        <w:t> </w:t>
      </w:r>
      <w:r>
        <w:rPr>
          <w:color w:val="231F20"/>
          <w:vertAlign w:val="baseline"/>
        </w:rPr>
        <w:t>treatment program for individuals living with HIV:</w:t>
      </w:r>
      <w:r>
        <w:rPr>
          <w:color w:val="231F20"/>
          <w:spacing w:val="1"/>
          <w:vertAlign w:val="baseline"/>
        </w:rPr>
        <w:t> </w:t>
      </w:r>
      <w:r>
        <w:rPr>
          <w:color w:val="231F20"/>
          <w:vertAlign w:val="baseline"/>
        </w:rPr>
        <w:t>The peer assisted treatment of HIV and substance</w:t>
      </w:r>
      <w:r>
        <w:rPr>
          <w:color w:val="231F20"/>
          <w:spacing w:val="1"/>
          <w:vertAlign w:val="baseline"/>
        </w:rPr>
        <w:t> </w:t>
      </w:r>
      <w:r>
        <w:rPr>
          <w:color w:val="231F20"/>
          <w:spacing w:val="-2"/>
          <w:vertAlign w:val="baseline"/>
        </w:rPr>
        <w:t>(PATHS)</w:t>
      </w:r>
      <w:r>
        <w:rPr>
          <w:color w:val="231F20"/>
          <w:spacing w:val="-10"/>
          <w:vertAlign w:val="baseline"/>
        </w:rPr>
        <w:t> </w:t>
      </w:r>
      <w:r>
        <w:rPr>
          <w:color w:val="231F20"/>
          <w:spacing w:val="-1"/>
          <w:vertAlign w:val="baseline"/>
        </w:rPr>
        <w:t>model.</w:t>
      </w:r>
      <w:r>
        <w:rPr>
          <w:color w:val="231F20"/>
          <w:spacing w:val="-11"/>
          <w:vertAlign w:val="baseline"/>
        </w:rPr>
        <w:t> </w:t>
      </w:r>
      <w:hyperlink r:id="rId221">
        <w:r>
          <w:rPr>
            <w:color w:val="3953A4"/>
            <w:spacing w:val="-1"/>
            <w:u w:val="single" w:color="3953A4"/>
            <w:vertAlign w:val="baseline"/>
          </w:rPr>
          <w:t>http://chpir.org/wp-content/uploads/</w:t>
        </w:r>
      </w:hyperlink>
      <w:r>
        <w:rPr>
          <w:color w:val="3953A4"/>
          <w:spacing w:val="-52"/>
          <w:vertAlign w:val="baseline"/>
        </w:rPr>
        <w:t> </w:t>
      </w:r>
      <w:hyperlink r:id="rId221">
        <w:r>
          <w:rPr>
            <w:color w:val="3953A4"/>
            <w:u w:val="single" w:color="3953A4"/>
            <w:vertAlign w:val="baseline"/>
          </w:rPr>
          <w:t>paths_model.pdf</w:t>
        </w:r>
      </w:hyperlink>
    </w:p>
    <w:p>
      <w:pPr>
        <w:tabs>
          <w:tab w:pos="519" w:val="left" w:leader="none"/>
        </w:tabs>
        <w:spacing w:line="228" w:lineRule="auto" w:before="89"/>
        <w:ind w:left="520" w:right="1036" w:hanging="360"/>
        <w:jc w:val="left"/>
        <w:rPr>
          <w:sz w:val="22"/>
        </w:rPr>
      </w:pPr>
      <w:r>
        <w:rPr>
          <w:color w:val="010202"/>
          <w:sz w:val="22"/>
          <w:vertAlign w:val="superscript"/>
        </w:rPr>
        <w:t>80</w:t>
      </w:r>
      <w:r>
        <w:rPr>
          <w:color w:val="010202"/>
          <w:sz w:val="22"/>
          <w:vertAlign w:val="baseline"/>
        </w:rPr>
        <w:tab/>
      </w:r>
      <w:r>
        <w:rPr>
          <w:color w:val="010202"/>
          <w:spacing w:val="-1"/>
          <w:sz w:val="22"/>
          <w:vertAlign w:val="baseline"/>
        </w:rPr>
        <w:t>Br</w:t>
      </w:r>
      <w:r>
        <w:rPr>
          <w:color w:val="231F20"/>
          <w:spacing w:val="-1"/>
          <w:sz w:val="22"/>
          <w:vertAlign w:val="baseline"/>
        </w:rPr>
        <w:t>oeckaert, </w:t>
      </w:r>
      <w:r>
        <w:rPr>
          <w:color w:val="231F20"/>
          <w:sz w:val="22"/>
          <w:vertAlign w:val="baseline"/>
        </w:rPr>
        <w:t>L., &amp; Challacombe, L. (2014, August</w:t>
      </w:r>
      <w:r>
        <w:rPr>
          <w:color w:val="231F20"/>
          <w:spacing w:val="-53"/>
          <w:sz w:val="22"/>
          <w:vertAlign w:val="baseline"/>
        </w:rPr>
        <w:t> </w:t>
      </w:r>
      <w:r>
        <w:rPr>
          <w:color w:val="231F20"/>
          <w:sz w:val="22"/>
          <w:vertAlign w:val="baseline"/>
        </w:rPr>
        <w:t>11). </w:t>
      </w:r>
      <w:r>
        <w:rPr>
          <w:i/>
          <w:color w:val="231F20"/>
          <w:sz w:val="22"/>
          <w:vertAlign w:val="baseline"/>
        </w:rPr>
        <w:t>Health navigation: A review of the evidence</w:t>
      </w:r>
      <w:r>
        <w:rPr>
          <w:color w:val="231F20"/>
          <w:sz w:val="22"/>
          <w:vertAlign w:val="baseline"/>
        </w:rPr>
        <w:t>.</w:t>
      </w:r>
      <w:r>
        <w:rPr>
          <w:color w:val="231F20"/>
          <w:spacing w:val="-52"/>
          <w:sz w:val="22"/>
          <w:vertAlign w:val="baseline"/>
        </w:rPr>
        <w:t> </w:t>
      </w:r>
      <w:r>
        <w:rPr>
          <w:color w:val="231F20"/>
          <w:sz w:val="22"/>
          <w:vertAlign w:val="baseline"/>
        </w:rPr>
        <w:t>Remedy Health Media.</w:t>
      </w:r>
      <w:hyperlink r:id="rId222">
        <w:r>
          <w:rPr>
            <w:color w:val="3953A4"/>
            <w:sz w:val="22"/>
            <w:u w:val="single" w:color="3953A4"/>
            <w:vertAlign w:val="baseline"/>
          </w:rPr>
          <w:t> https://www.thebodypro.</w:t>
        </w:r>
      </w:hyperlink>
      <w:r>
        <w:rPr>
          <w:color w:val="3953A4"/>
          <w:spacing w:val="1"/>
          <w:sz w:val="22"/>
          <w:vertAlign w:val="baseline"/>
        </w:rPr>
        <w:t> </w:t>
      </w:r>
      <w:hyperlink r:id="rId222">
        <w:r>
          <w:rPr>
            <w:color w:val="3953A4"/>
            <w:sz w:val="22"/>
            <w:u w:val="single" w:color="3953A4"/>
            <w:vertAlign w:val="baseline"/>
          </w:rPr>
          <w:t>com/article/health-navigation-a-review-of-the-</w:t>
        </w:r>
      </w:hyperlink>
      <w:r>
        <w:rPr>
          <w:color w:val="3953A4"/>
          <w:spacing w:val="1"/>
          <w:sz w:val="22"/>
          <w:vertAlign w:val="baseline"/>
        </w:rPr>
        <w:t> </w:t>
      </w:r>
      <w:hyperlink r:id="rId222">
        <w:r>
          <w:rPr>
            <w:color w:val="3953A4"/>
            <w:sz w:val="22"/>
            <w:u w:val="single" w:color="3953A4"/>
            <w:vertAlign w:val="baseline"/>
          </w:rPr>
          <w:t>evidence</w:t>
        </w:r>
      </w:hyperlink>
    </w:p>
    <w:p>
      <w:pPr>
        <w:pStyle w:val="BodyText"/>
        <w:tabs>
          <w:tab w:pos="519" w:val="left" w:leader="none"/>
        </w:tabs>
        <w:spacing w:line="228" w:lineRule="auto" w:before="88"/>
        <w:ind w:left="520" w:right="967" w:hanging="360"/>
      </w:pPr>
      <w:r>
        <w:rPr>
          <w:color w:val="010202"/>
          <w:vertAlign w:val="superscript"/>
        </w:rPr>
        <w:t>81</w:t>
      </w:r>
      <w:r>
        <w:rPr>
          <w:color w:val="010202"/>
          <w:vertAlign w:val="baseline"/>
        </w:rPr>
        <w:tab/>
        <w:t>Ca</w:t>
      </w:r>
      <w:r>
        <w:rPr>
          <w:color w:val="231F20"/>
          <w:vertAlign w:val="baseline"/>
        </w:rPr>
        <w:t>bral, H. J., Davis-Plourde, K., Sarango, M.,</w:t>
      </w:r>
      <w:r>
        <w:rPr>
          <w:color w:val="231F20"/>
          <w:spacing w:val="1"/>
          <w:vertAlign w:val="baseline"/>
        </w:rPr>
        <w:t> </w:t>
      </w:r>
      <w:r>
        <w:rPr>
          <w:color w:val="231F20"/>
          <w:vertAlign w:val="baseline"/>
        </w:rPr>
        <w:t>Fox, J., Palmisano, J., &amp; Rajabiun, S. (2018). Peer</w:t>
      </w:r>
      <w:r>
        <w:rPr>
          <w:color w:val="231F20"/>
          <w:spacing w:val="-53"/>
          <w:vertAlign w:val="baseline"/>
        </w:rPr>
        <w:t> </w:t>
      </w:r>
      <w:r>
        <w:rPr>
          <w:color w:val="231F20"/>
          <w:vertAlign w:val="baseline"/>
        </w:rPr>
        <w:t>support and the HIV continuum of care: Results</w:t>
      </w:r>
      <w:r>
        <w:rPr>
          <w:color w:val="231F20"/>
          <w:spacing w:val="1"/>
          <w:vertAlign w:val="baseline"/>
        </w:rPr>
        <w:t> </w:t>
      </w:r>
      <w:r>
        <w:rPr>
          <w:color w:val="231F20"/>
          <w:vertAlign w:val="baseline"/>
        </w:rPr>
        <w:t>from a multi-site randomized clinical trial in</w:t>
      </w:r>
    </w:p>
    <w:p>
      <w:pPr>
        <w:pStyle w:val="BodyText"/>
        <w:spacing w:line="228" w:lineRule="auto"/>
        <w:ind w:left="520" w:right="782"/>
      </w:pPr>
      <w:r>
        <w:rPr>
          <w:color w:val="231F20"/>
        </w:rPr>
        <w:t>three urban clinics in the United States. </w:t>
      </w:r>
      <w:r>
        <w:rPr>
          <w:i/>
          <w:color w:val="231F20"/>
        </w:rPr>
        <w:t>AIDS and</w:t>
      </w:r>
      <w:r>
        <w:rPr>
          <w:i/>
          <w:color w:val="231F20"/>
          <w:spacing w:val="1"/>
        </w:rPr>
        <w:t> </w:t>
      </w:r>
      <w:r>
        <w:rPr>
          <w:i/>
          <w:color w:val="231F20"/>
        </w:rPr>
        <w:t>Behavior,</w:t>
      </w:r>
      <w:r>
        <w:rPr>
          <w:i/>
          <w:color w:val="231F20"/>
          <w:spacing w:val="-14"/>
        </w:rPr>
        <w:t> </w:t>
      </w:r>
      <w:r>
        <w:rPr>
          <w:i/>
          <w:color w:val="231F20"/>
        </w:rPr>
        <w:t>22</w:t>
      </w:r>
      <w:r>
        <w:rPr>
          <w:color w:val="231F20"/>
        </w:rPr>
        <w:t>(8),</w:t>
      </w:r>
      <w:r>
        <w:rPr>
          <w:color w:val="231F20"/>
          <w:spacing w:val="-14"/>
        </w:rPr>
        <w:t> </w:t>
      </w:r>
      <w:r>
        <w:rPr>
          <w:color w:val="231F20"/>
        </w:rPr>
        <w:t>2627-2639.</w:t>
      </w:r>
      <w:r>
        <w:rPr>
          <w:color w:val="231F20"/>
          <w:spacing w:val="-13"/>
        </w:rPr>
        <w:t> </w:t>
      </w:r>
      <w:hyperlink r:id="rId223">
        <w:r>
          <w:rPr>
            <w:color w:val="3953A4"/>
            <w:u w:val="single" w:color="3953A4"/>
          </w:rPr>
          <w:t>https://doi.org/10.1007/</w:t>
        </w:r>
      </w:hyperlink>
      <w:r>
        <w:rPr>
          <w:color w:val="3953A4"/>
          <w:spacing w:val="-52"/>
        </w:rPr>
        <w:t> </w:t>
      </w:r>
      <w:hyperlink r:id="rId223">
        <w:r>
          <w:rPr>
            <w:color w:val="3953A4"/>
            <w:u w:val="single" w:color="3953A4"/>
          </w:rPr>
          <w:t>s10461-017-1999-8</w:t>
        </w:r>
      </w:hyperlink>
    </w:p>
    <w:p>
      <w:pPr>
        <w:tabs>
          <w:tab w:pos="519" w:val="left" w:leader="none"/>
        </w:tabs>
        <w:spacing w:line="228" w:lineRule="auto" w:before="88"/>
        <w:ind w:left="520" w:right="838" w:hanging="360"/>
        <w:jc w:val="left"/>
        <w:rPr>
          <w:sz w:val="22"/>
        </w:rPr>
      </w:pPr>
      <w:r>
        <w:rPr>
          <w:color w:val="010202"/>
          <w:sz w:val="22"/>
          <w:vertAlign w:val="superscript"/>
        </w:rPr>
        <w:t>82</w:t>
      </w:r>
      <w:r>
        <w:rPr>
          <w:color w:val="010202"/>
          <w:sz w:val="22"/>
          <w:vertAlign w:val="baseline"/>
        </w:rPr>
        <w:tab/>
        <w:t>A</w:t>
      </w:r>
      <w:r>
        <w:rPr>
          <w:color w:val="231F20"/>
          <w:sz w:val="22"/>
          <w:vertAlign w:val="baseline"/>
        </w:rPr>
        <w:t>IDS United. (2015). </w:t>
      </w:r>
      <w:r>
        <w:rPr>
          <w:i/>
          <w:color w:val="231F20"/>
          <w:sz w:val="22"/>
          <w:vertAlign w:val="baseline"/>
        </w:rPr>
        <w:t>Best practices for integrating</w:t>
      </w:r>
      <w:r>
        <w:rPr>
          <w:i/>
          <w:color w:val="231F20"/>
          <w:spacing w:val="-52"/>
          <w:sz w:val="22"/>
          <w:vertAlign w:val="baseline"/>
        </w:rPr>
        <w:t> </w:t>
      </w:r>
      <w:r>
        <w:rPr>
          <w:i/>
          <w:color w:val="231F20"/>
          <w:sz w:val="22"/>
          <w:vertAlign w:val="baseline"/>
        </w:rPr>
        <w:t>peer navigators into HIV models of care</w:t>
      </w:r>
      <w:r>
        <w:rPr>
          <w:color w:val="231F20"/>
          <w:sz w:val="22"/>
          <w:vertAlign w:val="baseline"/>
        </w:rPr>
        <w:t>. </w:t>
      </w:r>
      <w:hyperlink r:id="rId224">
        <w:r>
          <w:rPr>
            <w:color w:val="3953A4"/>
            <w:sz w:val="22"/>
            <w:u w:val="single" w:color="3953A4"/>
            <w:vertAlign w:val="baseline"/>
          </w:rPr>
          <w:t>https://</w:t>
        </w:r>
      </w:hyperlink>
      <w:r>
        <w:rPr>
          <w:color w:val="3953A4"/>
          <w:spacing w:val="1"/>
          <w:sz w:val="22"/>
          <w:vertAlign w:val="baseline"/>
        </w:rPr>
        <w:t> </w:t>
      </w:r>
      <w:hyperlink r:id="rId224">
        <w:r>
          <w:rPr>
            <w:color w:val="3953A4"/>
            <w:sz w:val="22"/>
            <w:u w:val="single" w:color="3953A4"/>
            <w:vertAlign w:val="baseline"/>
          </w:rPr>
          <w:t>www.aidsunited.org/data/files/Site_18/PeerNav_</w:t>
        </w:r>
      </w:hyperlink>
      <w:r>
        <w:rPr>
          <w:color w:val="3953A4"/>
          <w:spacing w:val="1"/>
          <w:sz w:val="22"/>
          <w:vertAlign w:val="baseline"/>
        </w:rPr>
        <w:t> </w:t>
      </w:r>
      <w:hyperlink r:id="rId224">
        <w:r>
          <w:rPr>
            <w:color w:val="3953A4"/>
            <w:sz w:val="22"/>
            <w:u w:val="single" w:color="3953A4"/>
            <w:vertAlign w:val="baseline"/>
          </w:rPr>
          <w:t>v8.pdf</w:t>
        </w:r>
      </w:hyperlink>
    </w:p>
    <w:p>
      <w:pPr>
        <w:spacing w:after="0" w:line="228" w:lineRule="auto"/>
        <w:jc w:val="left"/>
        <w:rPr>
          <w:sz w:val="22"/>
        </w:rPr>
        <w:sectPr>
          <w:type w:val="continuous"/>
          <w:pgSz w:w="12240" w:h="15840"/>
          <w:pgMar w:header="0" w:footer="666" w:top="1500" w:bottom="0" w:left="560" w:right="0"/>
          <w:cols w:num="2" w:equalWidth="0">
            <w:col w:w="5238" w:space="522"/>
            <w:col w:w="5920"/>
          </w:cols>
        </w:sectPr>
      </w:pPr>
    </w:p>
    <w:p>
      <w:pPr>
        <w:pStyle w:val="BodyText"/>
        <w:ind w:left="-560"/>
        <w:rPr>
          <w:sz w:val="20"/>
        </w:rPr>
      </w:pPr>
      <w:r>
        <w:rPr/>
        <w:pict>
          <v:group style="position:absolute;margin-left:0pt;margin-top:0pt;width:612pt;height:745.7pt;mso-position-horizontal-relative:page;mso-position-vertical-relative:page;z-index:-18134528" id="docshapegroup114" coordorigin="0,0" coordsize="12240,14914">
            <v:rect style="position:absolute;left:2390;top:0;width:9850;height:394" id="docshape115" filled="true" fillcolor="#1d384a" stroked="false">
              <v:fill type="solid"/>
            </v:rect>
            <v:rect style="position:absolute;left:0;top:14894;width:12240;height:20" id="docshape116" filled="true" fillcolor="#1d384a" stroked="false">
              <v:fill type="solid"/>
            </v:rect>
            <v:shape style="position:absolute;left:6480;top:393;width:5760;height:14501" type="#_x0000_t75" id="docshape117" stroked="false">
              <v:imagedata r:id="rId227" o:title=""/>
            </v:shape>
            <w10:wrap type="none"/>
          </v:group>
        </w:pict>
      </w:r>
      <w:r>
        <w:rPr>
          <w:sz w:val="20"/>
        </w:rPr>
        <w:pict>
          <v:group style="width:119.55pt;height:111.25pt;mso-position-horizontal-relative:char;mso-position-vertical-relative:line" id="docshapegroup118" coordorigin="0,0" coordsize="2391,2225">
            <v:rect style="position:absolute;left:0;top:0;width:720;height:394" id="docshape119" filled="true" fillcolor="#1d384a" stroked="false">
              <v:fill type="solid"/>
            </v:rect>
            <v:shape style="position:absolute;left:720;top:0;width:1671;height:2225" type="#_x0000_t202" id="docshape120" filled="true" fillcolor="#cf382d" stroked="false">
              <v:textbox inset="0,0,0,0">
                <w:txbxContent>
                  <w:p>
                    <w:pPr>
                      <w:spacing w:line="1580" w:lineRule="exact" w:before="644"/>
                      <w:ind w:left="354" w:right="0" w:firstLine="0"/>
                      <w:jc w:val="left"/>
                      <w:rPr>
                        <w:rFonts w:ascii="Arial"/>
                        <w:color w:val="000000"/>
                        <w:sz w:val="16"/>
                      </w:rPr>
                    </w:pPr>
                    <w:bookmarkStart w:name="CHAPTER 3 Guidance for Selecting and Imp" w:id="81"/>
                    <w:bookmarkEnd w:id="81"/>
                    <w:r>
                      <w:rPr>
                        <w:color w:val="000000"/>
                      </w:rPr>
                    </w:r>
                    <w:bookmarkStart w:name="_bookmark3" w:id="82"/>
                    <w:bookmarkEnd w:id="82"/>
                    <w:r>
                      <w:rPr>
                        <w:color w:val="000000"/>
                      </w:rPr>
                    </w:r>
                    <w:r>
                      <w:rPr>
                        <w:rFonts w:ascii="Arial Black"/>
                        <w:color w:val="FFFFFF"/>
                        <w:spacing w:val="-911"/>
                        <w:position w:val="-119"/>
                        <w:sz w:val="144"/>
                      </w:rPr>
                      <w:t>3</w:t>
                    </w:r>
                    <w:r>
                      <w:rPr>
                        <w:rFonts w:ascii="Arial"/>
                        <w:color w:val="FFFFFF"/>
                        <w:spacing w:val="15"/>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spacing w:before="3"/>
        <w:rPr>
          <w:sz w:val="26"/>
        </w:rPr>
      </w:pPr>
    </w:p>
    <w:p>
      <w:pPr>
        <w:pStyle w:val="Heading1"/>
        <w:spacing w:line="196" w:lineRule="auto"/>
        <w:ind w:right="6613"/>
      </w:pPr>
      <w:r>
        <w:rPr>
          <w:color w:val="1C384B"/>
          <w:spacing w:val="-3"/>
        </w:rPr>
        <w:t>Guidance</w:t>
      </w:r>
      <w:r>
        <w:rPr>
          <w:color w:val="1C384B"/>
          <w:spacing w:val="-29"/>
        </w:rPr>
        <w:t> </w:t>
      </w:r>
      <w:r>
        <w:rPr>
          <w:color w:val="1C384B"/>
          <w:spacing w:val="-2"/>
        </w:rPr>
        <w:t>for</w:t>
      </w:r>
      <w:r>
        <w:rPr>
          <w:color w:val="1C384B"/>
          <w:spacing w:val="-28"/>
        </w:rPr>
        <w:t> </w:t>
      </w:r>
      <w:r>
        <w:rPr>
          <w:color w:val="1C384B"/>
          <w:spacing w:val="-2"/>
        </w:rPr>
        <w:t>Selecting</w:t>
      </w:r>
      <w:r>
        <w:rPr>
          <w:color w:val="1C384B"/>
          <w:spacing w:val="-130"/>
        </w:rPr>
        <w:t> </w:t>
      </w:r>
      <w:r>
        <w:rPr>
          <w:color w:val="1C384B"/>
        </w:rPr>
        <w:t>and Implementing</w:t>
      </w:r>
      <w:r>
        <w:rPr>
          <w:color w:val="1C384B"/>
          <w:spacing w:val="1"/>
        </w:rPr>
        <w:t> </w:t>
      </w:r>
      <w:r>
        <w:rPr>
          <w:color w:val="1C384B"/>
        </w:rPr>
        <w:t>Evidence-based</w:t>
      </w:r>
      <w:r>
        <w:rPr>
          <w:color w:val="1C384B"/>
          <w:spacing w:val="1"/>
        </w:rPr>
        <w:t> </w:t>
      </w:r>
      <w:r>
        <w:rPr>
          <w:color w:val="1C384B"/>
        </w:rPr>
        <w:t>Practices</w:t>
      </w:r>
    </w:p>
    <w:p>
      <w:pPr>
        <w:pStyle w:val="BodyText"/>
        <w:spacing w:before="1"/>
        <w:rPr>
          <w:rFonts w:ascii="Arial Black"/>
          <w:sz w:val="25"/>
        </w:rPr>
      </w:pPr>
      <w:r>
        <w:rPr/>
        <w:pict>
          <v:shape style="position:absolute;margin-left:35.5pt;margin-top:18.897949pt;width:252.5pt;height:.1pt;mso-position-horizontal-relative:page;mso-position-vertical-relative:paragraph;z-index:-15699456;mso-wrap-distance-left:0;mso-wrap-distance-right:0" id="docshape121" coordorigin="710,378" coordsize="5050,0" path="m710,378l5760,378e" filled="false" stroked="true" strokeweight="1pt" strokecolor="#ce372e">
            <v:path arrowok="t"/>
            <v:stroke dashstyle="solid"/>
            <w10:wrap type="topAndBottom"/>
          </v:shape>
        </w:pict>
      </w:r>
    </w:p>
    <w:p>
      <w:pPr>
        <w:pStyle w:val="BodyText"/>
        <w:spacing w:before="4"/>
        <w:rPr>
          <w:rFonts w:ascii="Arial Black"/>
          <w:sz w:val="18"/>
        </w:rPr>
      </w:pPr>
    </w:p>
    <w:p>
      <w:pPr>
        <w:pStyle w:val="BodyText"/>
        <w:spacing w:line="266" w:lineRule="auto" w:before="91"/>
        <w:ind w:left="160" w:right="6604"/>
      </w:pPr>
      <w:r>
        <w:rPr>
          <w:color w:val="231F20"/>
          <w:spacing w:val="-4"/>
        </w:rPr>
        <w:t>This</w:t>
      </w:r>
      <w:r>
        <w:rPr>
          <w:color w:val="231F20"/>
          <w:spacing w:val="-10"/>
        </w:rPr>
        <w:t> </w:t>
      </w:r>
      <w:r>
        <w:rPr>
          <w:color w:val="231F20"/>
          <w:spacing w:val="-4"/>
        </w:rPr>
        <w:t>chapter</w:t>
      </w:r>
      <w:r>
        <w:rPr>
          <w:color w:val="231F20"/>
          <w:spacing w:val="-9"/>
        </w:rPr>
        <w:t> </w:t>
      </w:r>
      <w:r>
        <w:rPr>
          <w:color w:val="231F20"/>
          <w:spacing w:val="-4"/>
        </w:rPr>
        <w:t>discusses</w:t>
      </w:r>
      <w:r>
        <w:rPr>
          <w:color w:val="231F20"/>
          <w:spacing w:val="-9"/>
        </w:rPr>
        <w:t> </w:t>
      </w:r>
      <w:r>
        <w:rPr>
          <w:color w:val="231F20"/>
          <w:spacing w:val="-4"/>
        </w:rPr>
        <w:t>key</w:t>
      </w:r>
      <w:r>
        <w:rPr>
          <w:color w:val="231F20"/>
          <w:spacing w:val="-9"/>
        </w:rPr>
        <w:t> </w:t>
      </w:r>
      <w:r>
        <w:rPr>
          <w:color w:val="231F20"/>
          <w:spacing w:val="-4"/>
        </w:rPr>
        <w:t>implementation</w:t>
      </w:r>
      <w:r>
        <w:rPr>
          <w:color w:val="231F20"/>
          <w:spacing w:val="-10"/>
        </w:rPr>
        <w:t> </w:t>
      </w:r>
      <w:r>
        <w:rPr>
          <w:color w:val="231F20"/>
          <w:spacing w:val="-3"/>
        </w:rPr>
        <w:t>considerations</w:t>
      </w:r>
      <w:r>
        <w:rPr>
          <w:color w:val="231F20"/>
          <w:spacing w:val="-52"/>
        </w:rPr>
        <w:t> </w:t>
      </w:r>
      <w:r>
        <w:rPr>
          <w:color w:val="231F20"/>
          <w:spacing w:val="-3"/>
        </w:rPr>
        <w:t>to</w:t>
      </w:r>
      <w:r>
        <w:rPr>
          <w:color w:val="231F20"/>
          <w:spacing w:val="-11"/>
        </w:rPr>
        <w:t> </w:t>
      </w:r>
      <w:r>
        <w:rPr>
          <w:color w:val="231F20"/>
          <w:spacing w:val="-3"/>
        </w:rPr>
        <w:t>address</w:t>
      </w:r>
      <w:r>
        <w:rPr>
          <w:color w:val="231F20"/>
          <w:spacing w:val="-11"/>
        </w:rPr>
        <w:t> </w:t>
      </w:r>
      <w:r>
        <w:rPr>
          <w:color w:val="231F20"/>
          <w:spacing w:val="-3"/>
        </w:rPr>
        <w:t>the</w:t>
      </w:r>
      <w:r>
        <w:rPr>
          <w:color w:val="231F20"/>
          <w:spacing w:val="-10"/>
        </w:rPr>
        <w:t> </w:t>
      </w:r>
      <w:r>
        <w:rPr>
          <w:color w:val="231F20"/>
          <w:spacing w:val="-3"/>
        </w:rPr>
        <w:t>challenges</w:t>
      </w:r>
      <w:r>
        <w:rPr>
          <w:color w:val="231F20"/>
          <w:spacing w:val="-11"/>
        </w:rPr>
        <w:t> </w:t>
      </w:r>
      <w:r>
        <w:rPr>
          <w:color w:val="231F20"/>
          <w:spacing w:val="-2"/>
        </w:rPr>
        <w:t>of</w:t>
      </w:r>
      <w:r>
        <w:rPr>
          <w:color w:val="231F20"/>
          <w:spacing w:val="-10"/>
        </w:rPr>
        <w:t> </w:t>
      </w:r>
      <w:r>
        <w:rPr>
          <w:color w:val="231F20"/>
          <w:spacing w:val="-2"/>
        </w:rPr>
        <w:t>implementing</w:t>
      </w:r>
      <w:r>
        <w:rPr>
          <w:color w:val="231F20"/>
          <w:spacing w:val="-11"/>
        </w:rPr>
        <w:t> </w:t>
      </w:r>
      <w:r>
        <w:rPr>
          <w:color w:val="231F20"/>
          <w:spacing w:val="-2"/>
        </w:rPr>
        <w:t>programs</w:t>
      </w:r>
    </w:p>
    <w:p>
      <w:pPr>
        <w:pStyle w:val="BodyText"/>
        <w:spacing w:line="266" w:lineRule="auto"/>
        <w:ind w:left="160" w:right="6859"/>
      </w:pPr>
      <w:r>
        <w:rPr>
          <w:color w:val="231F20"/>
          <w:spacing w:val="-2"/>
        </w:rPr>
        <w:t>for human immunodeficiency virus (HIV) prevention</w:t>
      </w:r>
      <w:r>
        <w:rPr>
          <w:color w:val="231F20"/>
          <w:spacing w:val="-52"/>
        </w:rPr>
        <w:t> </w:t>
      </w:r>
      <w:r>
        <w:rPr>
          <w:color w:val="231F20"/>
          <w:spacing w:val="-2"/>
        </w:rPr>
        <w:t>and treatment among people with mental illness </w:t>
      </w:r>
      <w:r>
        <w:rPr>
          <w:color w:val="231F20"/>
          <w:spacing w:val="-1"/>
        </w:rPr>
        <w:t>and/</w:t>
      </w:r>
      <w:r>
        <w:rPr>
          <w:color w:val="231F20"/>
        </w:rPr>
        <w:t> </w:t>
      </w:r>
      <w:r>
        <w:rPr>
          <w:color w:val="231F20"/>
          <w:spacing w:val="-2"/>
        </w:rPr>
        <w:t>or</w:t>
      </w:r>
      <w:r>
        <w:rPr>
          <w:color w:val="231F20"/>
          <w:spacing w:val="-9"/>
        </w:rPr>
        <w:t> </w:t>
      </w:r>
      <w:r>
        <w:rPr>
          <w:color w:val="231F20"/>
          <w:spacing w:val="-2"/>
        </w:rPr>
        <w:t>substance</w:t>
      </w:r>
      <w:r>
        <w:rPr>
          <w:color w:val="231F20"/>
          <w:spacing w:val="-10"/>
        </w:rPr>
        <w:t> </w:t>
      </w:r>
      <w:r>
        <w:rPr>
          <w:color w:val="231F20"/>
          <w:spacing w:val="-2"/>
        </w:rPr>
        <w:t>use</w:t>
      </w:r>
      <w:r>
        <w:rPr>
          <w:color w:val="231F20"/>
          <w:spacing w:val="-9"/>
        </w:rPr>
        <w:t> </w:t>
      </w:r>
      <w:r>
        <w:rPr>
          <w:color w:val="231F20"/>
          <w:spacing w:val="-2"/>
        </w:rPr>
        <w:t>disorders</w:t>
      </w:r>
      <w:r>
        <w:rPr>
          <w:color w:val="231F20"/>
          <w:spacing w:val="-9"/>
        </w:rPr>
        <w:t> </w:t>
      </w:r>
      <w:r>
        <w:rPr>
          <w:color w:val="231F20"/>
          <w:spacing w:val="-1"/>
        </w:rPr>
        <w:t>(SUD).</w:t>
      </w:r>
      <w:r>
        <w:rPr>
          <w:color w:val="231F20"/>
          <w:spacing w:val="-13"/>
        </w:rPr>
        <w:t> </w:t>
      </w:r>
      <w:r>
        <w:rPr>
          <w:color w:val="231F20"/>
          <w:spacing w:val="-1"/>
        </w:rPr>
        <w:t>It</w:t>
      </w:r>
      <w:r>
        <w:rPr>
          <w:color w:val="231F20"/>
          <w:spacing w:val="-12"/>
        </w:rPr>
        <w:t> </w:t>
      </w:r>
      <w:r>
        <w:rPr>
          <w:color w:val="231F20"/>
          <w:spacing w:val="-1"/>
        </w:rPr>
        <w:t>covers</w:t>
      </w:r>
      <w:r>
        <w:rPr>
          <w:color w:val="231F20"/>
          <w:spacing w:val="-13"/>
        </w:rPr>
        <w:t> </w:t>
      </w:r>
      <w:r>
        <w:rPr>
          <w:color w:val="231F20"/>
          <w:spacing w:val="-1"/>
        </w:rPr>
        <w:t>steps</w:t>
      </w:r>
      <w:r>
        <w:rPr>
          <w:color w:val="231F20"/>
          <w:spacing w:val="-12"/>
        </w:rPr>
        <w:t> </w:t>
      </w:r>
      <w:r>
        <w:rPr>
          <w:color w:val="231F20"/>
          <w:spacing w:val="-1"/>
        </w:rPr>
        <w:t>from</w:t>
      </w:r>
    </w:p>
    <w:p>
      <w:pPr>
        <w:pStyle w:val="BodyText"/>
        <w:spacing w:line="266" w:lineRule="auto"/>
        <w:ind w:left="160" w:right="6681"/>
      </w:pPr>
      <w:r>
        <w:rPr>
          <w:color w:val="231F20"/>
          <w:spacing w:val="-4"/>
        </w:rPr>
        <w:t>practice</w:t>
      </w:r>
      <w:r>
        <w:rPr>
          <w:color w:val="231F20"/>
          <w:spacing w:val="-9"/>
        </w:rPr>
        <w:t> </w:t>
      </w:r>
      <w:r>
        <w:rPr>
          <w:color w:val="231F20"/>
          <w:spacing w:val="-4"/>
        </w:rPr>
        <w:t>selection</w:t>
      </w:r>
      <w:r>
        <w:rPr>
          <w:color w:val="231F20"/>
          <w:spacing w:val="-9"/>
        </w:rPr>
        <w:t> </w:t>
      </w:r>
      <w:r>
        <w:rPr>
          <w:color w:val="231F20"/>
          <w:spacing w:val="-4"/>
        </w:rPr>
        <w:t>and</w:t>
      </w:r>
      <w:r>
        <w:rPr>
          <w:color w:val="231F20"/>
          <w:spacing w:val="-9"/>
        </w:rPr>
        <w:t> </w:t>
      </w:r>
      <w:r>
        <w:rPr>
          <w:color w:val="231F20"/>
          <w:spacing w:val="-4"/>
        </w:rPr>
        <w:t>program</w:t>
      </w:r>
      <w:r>
        <w:rPr>
          <w:color w:val="231F20"/>
          <w:spacing w:val="-9"/>
        </w:rPr>
        <w:t> </w:t>
      </w:r>
      <w:r>
        <w:rPr>
          <w:color w:val="231F20"/>
          <w:spacing w:val="-3"/>
        </w:rPr>
        <w:t>funding</w:t>
      </w:r>
      <w:r>
        <w:rPr>
          <w:color w:val="231F20"/>
          <w:spacing w:val="-9"/>
        </w:rPr>
        <w:t> </w:t>
      </w:r>
      <w:r>
        <w:rPr>
          <w:color w:val="231F20"/>
          <w:spacing w:val="-3"/>
        </w:rPr>
        <w:t>through</w:t>
      </w:r>
      <w:r>
        <w:rPr>
          <w:color w:val="231F20"/>
          <w:spacing w:val="-9"/>
        </w:rPr>
        <w:t> </w:t>
      </w:r>
      <w:r>
        <w:rPr>
          <w:color w:val="231F20"/>
          <w:spacing w:val="-3"/>
        </w:rPr>
        <w:t>engaging</w:t>
      </w:r>
      <w:r>
        <w:rPr>
          <w:color w:val="231F20"/>
          <w:spacing w:val="-52"/>
        </w:rPr>
        <w:t> </w:t>
      </w:r>
      <w:r>
        <w:rPr>
          <w:color w:val="231F20"/>
        </w:rPr>
        <w:t>and</w:t>
      </w:r>
      <w:r>
        <w:rPr>
          <w:color w:val="231F20"/>
          <w:spacing w:val="-10"/>
        </w:rPr>
        <w:t> </w:t>
      </w:r>
      <w:r>
        <w:rPr>
          <w:color w:val="231F20"/>
        </w:rPr>
        <w:t>retaining</w:t>
      </w:r>
      <w:r>
        <w:rPr>
          <w:color w:val="231F20"/>
          <w:spacing w:val="-9"/>
        </w:rPr>
        <w:t> </w:t>
      </w:r>
      <w:r>
        <w:rPr>
          <w:color w:val="231F20"/>
        </w:rPr>
        <w:t>people</w:t>
      </w:r>
      <w:r>
        <w:rPr>
          <w:color w:val="231F20"/>
          <w:spacing w:val="-10"/>
        </w:rPr>
        <w:t> </w:t>
      </w:r>
      <w:r>
        <w:rPr>
          <w:color w:val="231F20"/>
        </w:rPr>
        <w:t>in</w:t>
      </w:r>
      <w:r>
        <w:rPr>
          <w:color w:val="231F20"/>
          <w:spacing w:val="-9"/>
        </w:rPr>
        <w:t> </w:t>
      </w:r>
      <w:r>
        <w:rPr>
          <w:color w:val="231F20"/>
        </w:rPr>
        <w:t>care.</w:t>
      </w:r>
    </w:p>
    <w:p>
      <w:pPr>
        <w:pStyle w:val="BodyText"/>
        <w:spacing w:line="266" w:lineRule="auto" w:before="175"/>
        <w:ind w:left="160" w:right="6497"/>
      </w:pPr>
      <w:r>
        <w:rPr>
          <w:color w:val="231F20"/>
        </w:rPr>
        <w:t>Prior to implementing practices identified in Chapter 2,</w:t>
      </w:r>
      <w:r>
        <w:rPr>
          <w:color w:val="231F20"/>
          <w:spacing w:val="1"/>
        </w:rPr>
        <w:t> </w:t>
      </w:r>
      <w:r>
        <w:rPr>
          <w:color w:val="231F20"/>
          <w:spacing w:val="-1"/>
        </w:rPr>
        <w:t>each</w:t>
      </w:r>
      <w:r>
        <w:rPr>
          <w:color w:val="231F20"/>
          <w:spacing w:val="-13"/>
        </w:rPr>
        <w:t> </w:t>
      </w:r>
      <w:r>
        <w:rPr>
          <w:color w:val="231F20"/>
          <w:spacing w:val="-1"/>
        </w:rPr>
        <w:t>program</w:t>
      </w:r>
      <w:r>
        <w:rPr>
          <w:color w:val="231F20"/>
          <w:spacing w:val="-12"/>
        </w:rPr>
        <w:t> </w:t>
      </w:r>
      <w:r>
        <w:rPr>
          <w:color w:val="231F20"/>
          <w:spacing w:val="-1"/>
        </w:rPr>
        <w:t>or</w:t>
      </w:r>
      <w:r>
        <w:rPr>
          <w:color w:val="231F20"/>
          <w:spacing w:val="-12"/>
        </w:rPr>
        <w:t> </w:t>
      </w:r>
      <w:r>
        <w:rPr>
          <w:color w:val="231F20"/>
          <w:spacing w:val="-1"/>
        </w:rPr>
        <w:t>clinic</w:t>
      </w:r>
      <w:r>
        <w:rPr>
          <w:color w:val="231F20"/>
          <w:spacing w:val="-12"/>
        </w:rPr>
        <w:t> </w:t>
      </w:r>
      <w:r>
        <w:rPr>
          <w:color w:val="231F20"/>
        </w:rPr>
        <w:t>should</w:t>
      </w:r>
      <w:r>
        <w:rPr>
          <w:color w:val="231F20"/>
          <w:spacing w:val="-13"/>
        </w:rPr>
        <w:t> </w:t>
      </w:r>
      <w:r>
        <w:rPr>
          <w:color w:val="231F20"/>
        </w:rPr>
        <w:t>conduct</w:t>
      </w:r>
      <w:r>
        <w:rPr>
          <w:color w:val="231F20"/>
          <w:spacing w:val="-12"/>
        </w:rPr>
        <w:t> </w:t>
      </w:r>
      <w:r>
        <w:rPr>
          <w:color w:val="231F20"/>
        </w:rPr>
        <w:t>a</w:t>
      </w:r>
      <w:r>
        <w:rPr>
          <w:color w:val="231F20"/>
          <w:spacing w:val="-12"/>
        </w:rPr>
        <w:t> </w:t>
      </w:r>
      <w:r>
        <w:rPr>
          <w:color w:val="231F20"/>
        </w:rPr>
        <w:t>needs</w:t>
      </w:r>
      <w:r>
        <w:rPr>
          <w:color w:val="231F20"/>
          <w:spacing w:val="-12"/>
        </w:rPr>
        <w:t> </w:t>
      </w:r>
      <w:r>
        <w:rPr>
          <w:color w:val="231F20"/>
        </w:rPr>
        <w:t>assessment</w:t>
      </w:r>
      <w:r>
        <w:rPr>
          <w:color w:val="231F20"/>
          <w:spacing w:val="-52"/>
        </w:rPr>
        <w:t> </w:t>
      </w:r>
      <w:r>
        <w:rPr>
          <w:color w:val="231F20"/>
        </w:rPr>
        <w:t>to</w:t>
      </w:r>
      <w:r>
        <w:rPr>
          <w:color w:val="231F20"/>
          <w:spacing w:val="-6"/>
        </w:rPr>
        <w:t> </w:t>
      </w:r>
      <w:r>
        <w:rPr>
          <w:color w:val="231F20"/>
        </w:rPr>
        <w:t>understand</w:t>
      </w:r>
      <w:r>
        <w:rPr>
          <w:color w:val="231F20"/>
          <w:spacing w:val="-5"/>
        </w:rPr>
        <w:t> </w:t>
      </w:r>
      <w:r>
        <w:rPr>
          <w:color w:val="231F20"/>
        </w:rPr>
        <w:t>the</w:t>
      </w:r>
      <w:r>
        <w:rPr>
          <w:color w:val="231F20"/>
          <w:spacing w:val="-5"/>
        </w:rPr>
        <w:t> </w:t>
      </w:r>
      <w:r>
        <w:rPr>
          <w:color w:val="231F20"/>
        </w:rPr>
        <w:t>following</w:t>
      </w:r>
      <w:r>
        <w:rPr>
          <w:color w:val="231F20"/>
          <w:spacing w:val="-6"/>
        </w:rPr>
        <w:t> </w:t>
      </w:r>
      <w:r>
        <w:rPr>
          <w:color w:val="231F20"/>
        </w:rPr>
        <w:t>factors:</w:t>
      </w:r>
    </w:p>
    <w:p>
      <w:pPr>
        <w:pStyle w:val="ListParagraph"/>
        <w:numPr>
          <w:ilvl w:val="0"/>
          <w:numId w:val="19"/>
        </w:numPr>
        <w:tabs>
          <w:tab w:pos="880" w:val="left" w:leader="none"/>
        </w:tabs>
        <w:spacing w:line="249" w:lineRule="auto" w:before="146" w:after="0"/>
        <w:ind w:left="879" w:right="6618" w:hanging="360"/>
        <w:jc w:val="both"/>
        <w:rPr>
          <w:sz w:val="22"/>
        </w:rPr>
      </w:pPr>
      <w:r>
        <w:rPr>
          <w:color w:val="010202"/>
          <w:sz w:val="22"/>
        </w:rPr>
        <w:t>Client population (e.g., the population of focus,</w:t>
      </w:r>
      <w:r>
        <w:rPr>
          <w:color w:val="010202"/>
          <w:spacing w:val="-52"/>
          <w:sz w:val="22"/>
        </w:rPr>
        <w:t> </w:t>
      </w:r>
      <w:r>
        <w:rPr>
          <w:color w:val="010202"/>
          <w:sz w:val="22"/>
        </w:rPr>
        <w:t>their unique HIV-related risk factors,</w:t>
      </w:r>
      <w:r>
        <w:rPr>
          <w:color w:val="010202"/>
          <w:sz w:val="22"/>
          <w:vertAlign w:val="superscript"/>
        </w:rPr>
        <w:t>1</w:t>
      </w:r>
      <w:r>
        <w:rPr>
          <w:color w:val="010202"/>
          <w:sz w:val="22"/>
          <w:vertAlign w:val="baseline"/>
        </w:rPr>
        <w:t> cultures,</w:t>
      </w:r>
      <w:r>
        <w:rPr>
          <w:color w:val="010202"/>
          <w:spacing w:val="-52"/>
          <w:sz w:val="22"/>
          <w:vertAlign w:val="baseline"/>
        </w:rPr>
        <w:t> </w:t>
      </w:r>
      <w:r>
        <w:rPr>
          <w:color w:val="010202"/>
          <w:sz w:val="22"/>
          <w:vertAlign w:val="baseline"/>
        </w:rPr>
        <w:t>challenges, and assets)</w:t>
      </w:r>
    </w:p>
    <w:p>
      <w:pPr>
        <w:pStyle w:val="ListParagraph"/>
        <w:numPr>
          <w:ilvl w:val="0"/>
          <w:numId w:val="19"/>
        </w:numPr>
        <w:tabs>
          <w:tab w:pos="881" w:val="left" w:leader="none"/>
        </w:tabs>
        <w:spacing w:line="255" w:lineRule="exact" w:before="0" w:after="0"/>
        <w:ind w:left="880" w:right="0" w:hanging="361"/>
        <w:jc w:val="both"/>
        <w:rPr>
          <w:sz w:val="22"/>
        </w:rPr>
      </w:pPr>
      <w:r>
        <w:rPr>
          <w:color w:val="010202"/>
          <w:sz w:val="22"/>
        </w:rPr>
        <w:t>Existing protocols and procedures that could</w:t>
      </w:r>
    </w:p>
    <w:p>
      <w:pPr>
        <w:pStyle w:val="BodyText"/>
        <w:spacing w:line="249" w:lineRule="auto" w:before="10"/>
        <w:ind w:left="880" w:right="6661"/>
        <w:jc w:val="both"/>
      </w:pPr>
      <w:r>
        <w:rPr>
          <w:color w:val="010202"/>
        </w:rPr>
        <w:t>facilitate or become barriers to implementation</w:t>
      </w:r>
      <w:r>
        <w:rPr>
          <w:color w:val="010202"/>
          <w:spacing w:val="-52"/>
        </w:rPr>
        <w:t> </w:t>
      </w:r>
      <w:r>
        <w:rPr>
          <w:color w:val="010202"/>
        </w:rPr>
        <w:t>(e.g., intake procedures)</w:t>
      </w:r>
    </w:p>
    <w:p>
      <w:pPr>
        <w:pStyle w:val="ListParagraph"/>
        <w:numPr>
          <w:ilvl w:val="0"/>
          <w:numId w:val="19"/>
        </w:numPr>
        <w:tabs>
          <w:tab w:pos="879" w:val="left" w:leader="none"/>
          <w:tab w:pos="881" w:val="left" w:leader="none"/>
        </w:tabs>
        <w:spacing w:line="256" w:lineRule="exact" w:before="0" w:after="0"/>
        <w:ind w:left="880" w:right="0" w:hanging="361"/>
        <w:jc w:val="left"/>
        <w:rPr>
          <w:sz w:val="22"/>
        </w:rPr>
      </w:pPr>
      <w:r>
        <w:rPr>
          <w:color w:val="010202"/>
          <w:spacing w:val="-1"/>
          <w:sz w:val="22"/>
        </w:rPr>
        <w:t>Local</w:t>
      </w:r>
      <w:r>
        <w:rPr>
          <w:color w:val="010202"/>
          <w:spacing w:val="-13"/>
          <w:sz w:val="22"/>
        </w:rPr>
        <w:t> </w:t>
      </w:r>
      <w:r>
        <w:rPr>
          <w:color w:val="010202"/>
          <w:spacing w:val="-1"/>
          <w:sz w:val="22"/>
        </w:rPr>
        <w:t>factors</w:t>
      </w:r>
      <w:r>
        <w:rPr>
          <w:color w:val="010202"/>
          <w:spacing w:val="-12"/>
          <w:sz w:val="22"/>
        </w:rPr>
        <w:t> </w:t>
      </w:r>
      <w:r>
        <w:rPr>
          <w:color w:val="010202"/>
          <w:spacing w:val="-1"/>
          <w:sz w:val="22"/>
        </w:rPr>
        <w:t>that</w:t>
      </w:r>
      <w:r>
        <w:rPr>
          <w:color w:val="010202"/>
          <w:spacing w:val="-13"/>
          <w:sz w:val="22"/>
        </w:rPr>
        <w:t> </w:t>
      </w:r>
      <w:r>
        <w:rPr>
          <w:color w:val="010202"/>
          <w:sz w:val="22"/>
        </w:rPr>
        <w:t>could</w:t>
      </w:r>
      <w:r>
        <w:rPr>
          <w:color w:val="010202"/>
          <w:spacing w:val="-12"/>
          <w:sz w:val="22"/>
        </w:rPr>
        <w:t> </w:t>
      </w:r>
      <w:r>
        <w:rPr>
          <w:color w:val="010202"/>
          <w:sz w:val="22"/>
        </w:rPr>
        <w:t>impact</w:t>
      </w:r>
      <w:r>
        <w:rPr>
          <w:color w:val="010202"/>
          <w:spacing w:val="-12"/>
          <w:sz w:val="22"/>
        </w:rPr>
        <w:t> </w:t>
      </w:r>
      <w:r>
        <w:rPr>
          <w:color w:val="010202"/>
          <w:sz w:val="22"/>
        </w:rPr>
        <w:t>service</w:t>
      </w:r>
      <w:r>
        <w:rPr>
          <w:color w:val="010202"/>
          <w:spacing w:val="-13"/>
          <w:sz w:val="22"/>
        </w:rPr>
        <w:t> </w:t>
      </w:r>
      <w:r>
        <w:rPr>
          <w:color w:val="010202"/>
          <w:sz w:val="22"/>
        </w:rPr>
        <w:t>delivery</w:t>
      </w:r>
    </w:p>
    <w:p>
      <w:pPr>
        <w:pStyle w:val="BodyText"/>
        <w:spacing w:line="249" w:lineRule="auto" w:before="10"/>
        <w:ind w:left="880" w:right="6681"/>
      </w:pPr>
      <w:r>
        <w:rPr>
          <w:color w:val="010202"/>
        </w:rPr>
        <w:t>(e.g., partnerships with community-based</w:t>
      </w:r>
      <w:r>
        <w:rPr>
          <w:color w:val="010202"/>
          <w:spacing w:val="1"/>
        </w:rPr>
        <w:t> </w:t>
      </w:r>
      <w:r>
        <w:rPr>
          <w:color w:val="010202"/>
          <w:spacing w:val="-2"/>
        </w:rPr>
        <w:t>organizations</w:t>
      </w:r>
      <w:r>
        <w:rPr>
          <w:color w:val="010202"/>
          <w:spacing w:val="-10"/>
        </w:rPr>
        <w:t> </w:t>
      </w:r>
      <w:r>
        <w:rPr>
          <w:color w:val="010202"/>
          <w:spacing w:val="-2"/>
        </w:rPr>
        <w:t>and</w:t>
      </w:r>
      <w:r>
        <w:rPr>
          <w:color w:val="010202"/>
          <w:spacing w:val="-10"/>
        </w:rPr>
        <w:t> </w:t>
      </w:r>
      <w:r>
        <w:rPr>
          <w:color w:val="010202"/>
          <w:spacing w:val="-2"/>
        </w:rPr>
        <w:t>service</w:t>
      </w:r>
      <w:r>
        <w:rPr>
          <w:color w:val="010202"/>
          <w:spacing w:val="-11"/>
        </w:rPr>
        <w:t> </w:t>
      </w:r>
      <w:r>
        <w:rPr>
          <w:color w:val="010202"/>
          <w:spacing w:val="-2"/>
        </w:rPr>
        <w:t>providers,</w:t>
      </w:r>
      <w:r>
        <w:rPr>
          <w:color w:val="010202"/>
          <w:spacing w:val="-10"/>
        </w:rPr>
        <w:t> </w:t>
      </w:r>
      <w:r>
        <w:rPr>
          <w:color w:val="010202"/>
          <w:spacing w:val="-1"/>
        </w:rPr>
        <w:t>geography,</w:t>
      </w:r>
      <w:r>
        <w:rPr>
          <w:color w:val="010202"/>
          <w:spacing w:val="-52"/>
        </w:rPr>
        <w:t> </w:t>
      </w:r>
      <w:r>
        <w:rPr>
          <w:color w:val="010202"/>
        </w:rPr>
        <w:t>transportation,</w:t>
      </w:r>
      <w:r>
        <w:rPr>
          <w:color w:val="010202"/>
          <w:spacing w:val="-13"/>
        </w:rPr>
        <w:t> </w:t>
      </w:r>
      <w:r>
        <w:rPr>
          <w:color w:val="010202"/>
        </w:rPr>
        <w:t>and</w:t>
      </w:r>
      <w:r>
        <w:rPr>
          <w:color w:val="010202"/>
          <w:spacing w:val="-13"/>
        </w:rPr>
        <w:t> </w:t>
      </w:r>
      <w:r>
        <w:rPr>
          <w:color w:val="010202"/>
        </w:rPr>
        <w:t>socio-political</w:t>
      </w:r>
      <w:r>
        <w:rPr>
          <w:color w:val="010202"/>
          <w:spacing w:val="-14"/>
        </w:rPr>
        <w:t> </w:t>
      </w:r>
      <w:r>
        <w:rPr>
          <w:color w:val="010202"/>
        </w:rPr>
        <w:t>climate)</w:t>
      </w:r>
      <w:r>
        <w:rPr>
          <w:color w:val="010202"/>
          <w:vertAlign w:val="superscript"/>
        </w:rPr>
        <w:t>2</w:t>
      </w:r>
    </w:p>
    <w:p>
      <w:pPr>
        <w:pStyle w:val="ListParagraph"/>
        <w:numPr>
          <w:ilvl w:val="0"/>
          <w:numId w:val="19"/>
        </w:numPr>
        <w:tabs>
          <w:tab w:pos="879" w:val="left" w:leader="none"/>
          <w:tab w:pos="881" w:val="left" w:leader="none"/>
        </w:tabs>
        <w:spacing w:line="249" w:lineRule="auto" w:before="0" w:after="0"/>
        <w:ind w:left="880" w:right="6648" w:hanging="360"/>
        <w:jc w:val="left"/>
        <w:rPr>
          <w:sz w:val="22"/>
        </w:rPr>
      </w:pPr>
      <w:r>
        <w:rPr>
          <w:color w:val="010202"/>
          <w:sz w:val="22"/>
        </w:rPr>
        <w:t>Program</w:t>
      </w:r>
      <w:r>
        <w:rPr>
          <w:color w:val="010202"/>
          <w:spacing w:val="-6"/>
          <w:sz w:val="22"/>
        </w:rPr>
        <w:t> </w:t>
      </w:r>
      <w:r>
        <w:rPr>
          <w:color w:val="010202"/>
          <w:sz w:val="22"/>
        </w:rPr>
        <w:t>or</w:t>
      </w:r>
      <w:r>
        <w:rPr>
          <w:color w:val="010202"/>
          <w:spacing w:val="-4"/>
          <w:sz w:val="22"/>
        </w:rPr>
        <w:t> </w:t>
      </w:r>
      <w:r>
        <w:rPr>
          <w:color w:val="010202"/>
          <w:sz w:val="22"/>
        </w:rPr>
        <w:t>organizational</w:t>
      </w:r>
      <w:r>
        <w:rPr>
          <w:color w:val="010202"/>
          <w:spacing w:val="-5"/>
          <w:sz w:val="22"/>
        </w:rPr>
        <w:t> </w:t>
      </w:r>
      <w:r>
        <w:rPr>
          <w:color w:val="010202"/>
          <w:sz w:val="22"/>
        </w:rPr>
        <w:t>strengths,</w:t>
      </w:r>
      <w:r>
        <w:rPr>
          <w:color w:val="010202"/>
          <w:spacing w:val="-5"/>
          <w:sz w:val="22"/>
        </w:rPr>
        <w:t> </w:t>
      </w:r>
      <w:r>
        <w:rPr>
          <w:color w:val="010202"/>
          <w:sz w:val="22"/>
        </w:rPr>
        <w:t>resources,</w:t>
      </w:r>
      <w:r>
        <w:rPr>
          <w:color w:val="010202"/>
          <w:spacing w:val="-52"/>
          <w:sz w:val="22"/>
        </w:rPr>
        <w:t> </w:t>
      </w:r>
      <w:r>
        <w:rPr>
          <w:color w:val="010202"/>
          <w:sz w:val="22"/>
        </w:rPr>
        <w:t>and areas for development (e.g., organizational</w:t>
      </w:r>
      <w:r>
        <w:rPr>
          <w:color w:val="010202"/>
          <w:spacing w:val="-52"/>
          <w:sz w:val="22"/>
        </w:rPr>
        <w:t> </w:t>
      </w:r>
      <w:r>
        <w:rPr>
          <w:color w:val="010202"/>
          <w:sz w:val="22"/>
        </w:rPr>
        <w:t>leaders and program champions, budget,</w:t>
      </w:r>
      <w:r>
        <w:rPr>
          <w:color w:val="010202"/>
          <w:spacing w:val="1"/>
          <w:sz w:val="22"/>
        </w:rPr>
        <w:t> </w:t>
      </w:r>
      <w:r>
        <w:rPr>
          <w:color w:val="010202"/>
          <w:sz w:val="22"/>
        </w:rPr>
        <w:t>available health insurance reimbursement</w:t>
      </w:r>
    </w:p>
    <w:p>
      <w:pPr>
        <w:pStyle w:val="BodyText"/>
        <w:spacing w:line="249" w:lineRule="auto"/>
        <w:ind w:left="880" w:right="6894"/>
      </w:pPr>
      <w:r>
        <w:rPr>
          <w:color w:val="010202"/>
        </w:rPr>
        <w:t>to support planned activities, staffing and</w:t>
      </w:r>
      <w:r>
        <w:rPr>
          <w:color w:val="010202"/>
          <w:spacing w:val="1"/>
        </w:rPr>
        <w:t> </w:t>
      </w:r>
      <w:r>
        <w:rPr>
          <w:color w:val="010202"/>
        </w:rPr>
        <w:t>infrastructure, and information management</w:t>
      </w:r>
      <w:r>
        <w:rPr>
          <w:color w:val="010202"/>
          <w:spacing w:val="-52"/>
        </w:rPr>
        <w:t> </w:t>
      </w:r>
      <w:r>
        <w:rPr>
          <w:color w:val="010202"/>
        </w:rPr>
        <w:t>support)</w:t>
      </w:r>
      <w:r>
        <w:rPr>
          <w:color w:val="010202"/>
          <w:vertAlign w:val="superscript"/>
        </w:rPr>
        <w:t>3</w:t>
      </w:r>
    </w:p>
    <w:p>
      <w:pPr>
        <w:pStyle w:val="ListParagraph"/>
        <w:numPr>
          <w:ilvl w:val="0"/>
          <w:numId w:val="19"/>
        </w:numPr>
        <w:tabs>
          <w:tab w:pos="879" w:val="left" w:leader="none"/>
          <w:tab w:pos="880" w:val="left" w:leader="none"/>
        </w:tabs>
        <w:spacing w:line="256" w:lineRule="exact" w:before="0" w:after="0"/>
        <w:ind w:left="879" w:right="0" w:hanging="360"/>
        <w:jc w:val="left"/>
        <w:rPr>
          <w:sz w:val="22"/>
        </w:rPr>
      </w:pPr>
      <w:r>
        <w:rPr>
          <w:color w:val="010202"/>
          <w:sz w:val="22"/>
        </w:rPr>
        <w:t>Training</w:t>
      </w:r>
      <w:r>
        <w:rPr>
          <w:color w:val="010202"/>
          <w:spacing w:val="-5"/>
          <w:sz w:val="22"/>
        </w:rPr>
        <w:t> </w:t>
      </w:r>
      <w:r>
        <w:rPr>
          <w:color w:val="010202"/>
          <w:sz w:val="22"/>
        </w:rPr>
        <w:t>opportunities</w:t>
      </w:r>
      <w:r>
        <w:rPr>
          <w:color w:val="010202"/>
          <w:spacing w:val="-5"/>
          <w:sz w:val="22"/>
        </w:rPr>
        <w:t> </w:t>
      </w:r>
      <w:r>
        <w:rPr>
          <w:color w:val="010202"/>
          <w:sz w:val="22"/>
        </w:rPr>
        <w:t>(program-specific</w:t>
      </w:r>
      <w:r>
        <w:rPr>
          <w:color w:val="010202"/>
          <w:spacing w:val="-4"/>
          <w:sz w:val="22"/>
        </w:rPr>
        <w:t> </w:t>
      </w:r>
      <w:r>
        <w:rPr>
          <w:color w:val="010202"/>
          <w:sz w:val="22"/>
        </w:rPr>
        <w:t>and</w:t>
      </w:r>
    </w:p>
    <w:p>
      <w:pPr>
        <w:pStyle w:val="BodyText"/>
        <w:ind w:left="879"/>
      </w:pPr>
      <w:r>
        <w:rPr>
          <w:color w:val="010202"/>
        </w:rPr>
        <w:t>ongoing professional development)</w:t>
      </w:r>
    </w:p>
    <w:p>
      <w:pPr>
        <w:spacing w:after="0"/>
        <w:sectPr>
          <w:headerReference w:type="default" r:id="rId225"/>
          <w:footerReference w:type="default" r:id="rId226"/>
          <w:pgSz w:w="12240" w:h="15840"/>
          <w:pgMar w:header="0" w:footer="667" w:top="0" w:bottom="860" w:left="560" w:right="0"/>
        </w:sectPr>
      </w:pPr>
    </w:p>
    <w:p>
      <w:pPr>
        <w:pStyle w:val="BodyText"/>
        <w:rPr>
          <w:sz w:val="20"/>
        </w:rPr>
      </w:pPr>
    </w:p>
    <w:p>
      <w:pPr>
        <w:pStyle w:val="BodyText"/>
        <w:spacing w:before="2"/>
        <w:rPr>
          <w:sz w:val="27"/>
        </w:rPr>
      </w:pPr>
    </w:p>
    <w:p>
      <w:pPr>
        <w:spacing w:after="0"/>
        <w:rPr>
          <w:sz w:val="27"/>
        </w:rPr>
        <w:sectPr>
          <w:headerReference w:type="default" r:id="rId228"/>
          <w:footerReference w:type="default" r:id="rId229"/>
          <w:pgSz w:w="12240" w:h="15840"/>
          <w:pgMar w:header="0" w:footer="666" w:top="380" w:bottom="860" w:left="560" w:right="0"/>
        </w:sectPr>
      </w:pPr>
    </w:p>
    <w:p>
      <w:pPr>
        <w:pStyle w:val="BodyText"/>
        <w:spacing w:line="266" w:lineRule="auto" w:before="91"/>
        <w:ind w:left="160" w:right="293"/>
      </w:pPr>
      <w:bookmarkStart w:name="Implementation Challenges and Strategies" w:id="83"/>
      <w:bookmarkEnd w:id="83"/>
      <w:r>
        <w:rPr/>
      </w:r>
      <w:bookmarkStart w:name="ADAPTING AND TALORING THE PRACTICE" w:id="84"/>
      <w:bookmarkEnd w:id="84"/>
      <w:r>
        <w:rPr/>
      </w:r>
      <w:bookmarkStart w:name="Challenge" w:id="85"/>
      <w:bookmarkEnd w:id="85"/>
      <w:r>
        <w:rPr/>
      </w:r>
      <w:bookmarkStart w:name="Strategies" w:id="86"/>
      <w:bookmarkEnd w:id="86"/>
      <w:r>
        <w:rPr/>
      </w:r>
      <w:r>
        <w:rPr>
          <w:color w:val="231F20"/>
        </w:rPr>
        <w:t>Based</w:t>
      </w:r>
      <w:r>
        <w:rPr>
          <w:color w:val="231F20"/>
          <w:spacing w:val="7"/>
        </w:rPr>
        <w:t> </w:t>
      </w:r>
      <w:r>
        <w:rPr>
          <w:color w:val="231F20"/>
        </w:rPr>
        <w:t>on</w:t>
      </w:r>
      <w:r>
        <w:rPr>
          <w:color w:val="231F20"/>
          <w:spacing w:val="7"/>
        </w:rPr>
        <w:t> </w:t>
      </w:r>
      <w:r>
        <w:rPr>
          <w:color w:val="231F20"/>
        </w:rPr>
        <w:t>the</w:t>
      </w:r>
      <w:r>
        <w:rPr>
          <w:color w:val="231F20"/>
          <w:spacing w:val="7"/>
        </w:rPr>
        <w:t> </w:t>
      </w:r>
      <w:r>
        <w:rPr>
          <w:color w:val="231F20"/>
        </w:rPr>
        <w:t>needs</w:t>
      </w:r>
      <w:r>
        <w:rPr>
          <w:color w:val="231F20"/>
          <w:spacing w:val="7"/>
        </w:rPr>
        <w:t> </w:t>
      </w:r>
      <w:r>
        <w:rPr>
          <w:color w:val="231F20"/>
        </w:rPr>
        <w:t>assessment,</w:t>
      </w:r>
      <w:r>
        <w:rPr>
          <w:color w:val="231F20"/>
          <w:spacing w:val="7"/>
        </w:rPr>
        <w:t> </w:t>
      </w:r>
      <w:r>
        <w:rPr>
          <w:color w:val="231F20"/>
        </w:rPr>
        <w:t>practitioners</w:t>
      </w:r>
      <w:r>
        <w:rPr>
          <w:color w:val="231F20"/>
          <w:spacing w:val="7"/>
        </w:rPr>
        <w:t> </w:t>
      </w:r>
      <w:r>
        <w:rPr>
          <w:color w:val="231F20"/>
        </w:rPr>
        <w:t>can</w:t>
      </w:r>
      <w:r>
        <w:rPr>
          <w:color w:val="231F20"/>
          <w:spacing w:val="1"/>
        </w:rPr>
        <w:t> </w:t>
      </w:r>
      <w:r>
        <w:rPr>
          <w:color w:val="231F20"/>
        </w:rPr>
        <w:t>work with their clinical teams, administrators, leaders,</w:t>
      </w:r>
      <w:r>
        <w:rPr>
          <w:color w:val="231F20"/>
          <w:spacing w:val="-52"/>
        </w:rPr>
        <w:t> </w:t>
      </w:r>
      <w:r>
        <w:rPr>
          <w:color w:val="231F20"/>
        </w:rPr>
        <w:t>and community members and partners to take the</w:t>
      </w:r>
    </w:p>
    <w:p>
      <w:pPr>
        <w:pStyle w:val="BodyText"/>
        <w:spacing w:line="266" w:lineRule="auto"/>
        <w:ind w:left="160" w:right="144"/>
      </w:pPr>
      <w:r>
        <w:rPr>
          <w:color w:val="231F20"/>
        </w:rPr>
        <w:t>following steps to identify practices that are appropriate</w:t>
      </w:r>
      <w:r>
        <w:rPr>
          <w:color w:val="231F20"/>
          <w:spacing w:val="-52"/>
        </w:rPr>
        <w:t> </w:t>
      </w:r>
      <w:r>
        <w:rPr>
          <w:color w:val="231F20"/>
        </w:rPr>
        <w:t>and feasible given available resources and local</w:t>
      </w:r>
      <w:r>
        <w:rPr>
          <w:color w:val="231F20"/>
          <w:spacing w:val="1"/>
        </w:rPr>
        <w:t> </w:t>
      </w:r>
      <w:r>
        <w:rPr>
          <w:color w:val="231F20"/>
        </w:rPr>
        <w:t>characteristics:</w:t>
      </w:r>
    </w:p>
    <w:p>
      <w:pPr>
        <w:pStyle w:val="ListParagraph"/>
        <w:numPr>
          <w:ilvl w:val="0"/>
          <w:numId w:val="19"/>
        </w:numPr>
        <w:tabs>
          <w:tab w:pos="879" w:val="left" w:leader="none"/>
          <w:tab w:pos="880" w:val="left" w:leader="none"/>
        </w:tabs>
        <w:spacing w:line="267" w:lineRule="exact" w:before="143" w:after="0"/>
        <w:ind w:left="879" w:right="0" w:hanging="361"/>
        <w:jc w:val="left"/>
        <w:rPr>
          <w:sz w:val="22"/>
        </w:rPr>
      </w:pPr>
      <w:r>
        <w:rPr>
          <w:color w:val="010202"/>
          <w:sz w:val="22"/>
        </w:rPr>
        <w:t>Identify prevention and treatment priorities</w:t>
      </w:r>
    </w:p>
    <w:p>
      <w:pPr>
        <w:pStyle w:val="ListParagraph"/>
        <w:numPr>
          <w:ilvl w:val="0"/>
          <w:numId w:val="19"/>
        </w:numPr>
        <w:tabs>
          <w:tab w:pos="879" w:val="left" w:leader="none"/>
          <w:tab w:pos="880" w:val="left" w:leader="none"/>
        </w:tabs>
        <w:spacing w:line="264" w:lineRule="exact" w:before="0" w:after="0"/>
        <w:ind w:left="879" w:right="0" w:hanging="361"/>
        <w:jc w:val="left"/>
        <w:rPr>
          <w:sz w:val="22"/>
        </w:rPr>
      </w:pPr>
      <w:r>
        <w:rPr>
          <w:color w:val="010202"/>
          <w:sz w:val="22"/>
        </w:rPr>
        <w:t>Identify</w:t>
      </w:r>
      <w:r>
        <w:rPr>
          <w:color w:val="010202"/>
          <w:spacing w:val="-1"/>
          <w:sz w:val="22"/>
        </w:rPr>
        <w:t> </w:t>
      </w:r>
      <w:r>
        <w:rPr>
          <w:color w:val="010202"/>
          <w:sz w:val="22"/>
        </w:rPr>
        <w:t>desired</w:t>
      </w:r>
      <w:r>
        <w:rPr>
          <w:color w:val="010202"/>
          <w:spacing w:val="-1"/>
          <w:sz w:val="22"/>
        </w:rPr>
        <w:t> </w:t>
      </w:r>
      <w:r>
        <w:rPr>
          <w:color w:val="010202"/>
          <w:sz w:val="22"/>
        </w:rPr>
        <w:t>short-</w:t>
      </w:r>
      <w:r>
        <w:rPr>
          <w:color w:val="010202"/>
          <w:spacing w:val="-2"/>
          <w:sz w:val="22"/>
        </w:rPr>
        <w:t> </w:t>
      </w:r>
      <w:r>
        <w:rPr>
          <w:color w:val="010202"/>
          <w:sz w:val="22"/>
        </w:rPr>
        <w:t>and</w:t>
      </w:r>
      <w:r>
        <w:rPr>
          <w:color w:val="010202"/>
          <w:spacing w:val="-1"/>
          <w:sz w:val="22"/>
        </w:rPr>
        <w:t> </w:t>
      </w:r>
      <w:r>
        <w:rPr>
          <w:color w:val="010202"/>
          <w:sz w:val="22"/>
        </w:rPr>
        <w:t>long-term outcomes</w:t>
      </w:r>
    </w:p>
    <w:p>
      <w:pPr>
        <w:pStyle w:val="ListParagraph"/>
        <w:numPr>
          <w:ilvl w:val="0"/>
          <w:numId w:val="19"/>
        </w:numPr>
        <w:tabs>
          <w:tab w:pos="879" w:val="left" w:leader="none"/>
          <w:tab w:pos="880" w:val="left" w:leader="none"/>
        </w:tabs>
        <w:spacing w:line="249" w:lineRule="auto" w:before="0" w:after="0"/>
        <w:ind w:left="879" w:right="153" w:hanging="360"/>
        <w:jc w:val="left"/>
        <w:rPr>
          <w:sz w:val="22"/>
        </w:rPr>
      </w:pPr>
      <w:r>
        <w:rPr>
          <w:color w:val="010202"/>
          <w:sz w:val="22"/>
        </w:rPr>
        <w:t>Map resources (e.g., housing, employment,</w:t>
      </w:r>
      <w:r>
        <w:rPr>
          <w:color w:val="010202"/>
          <w:spacing w:val="1"/>
          <w:sz w:val="22"/>
        </w:rPr>
        <w:t> </w:t>
      </w:r>
      <w:r>
        <w:rPr>
          <w:color w:val="010202"/>
          <w:sz w:val="22"/>
        </w:rPr>
        <w:t>transportation, legal services) available within</w:t>
      </w:r>
      <w:r>
        <w:rPr>
          <w:color w:val="010202"/>
          <w:spacing w:val="1"/>
          <w:sz w:val="22"/>
        </w:rPr>
        <w:t> </w:t>
      </w:r>
      <w:r>
        <w:rPr>
          <w:color w:val="010202"/>
          <w:sz w:val="22"/>
        </w:rPr>
        <w:t>the</w:t>
      </w:r>
      <w:r>
        <w:rPr>
          <w:color w:val="010202"/>
          <w:spacing w:val="-3"/>
          <w:sz w:val="22"/>
        </w:rPr>
        <w:t> </w:t>
      </w:r>
      <w:r>
        <w:rPr>
          <w:color w:val="010202"/>
          <w:sz w:val="22"/>
        </w:rPr>
        <w:t>local</w:t>
      </w:r>
      <w:r>
        <w:rPr>
          <w:color w:val="010202"/>
          <w:spacing w:val="-3"/>
          <w:sz w:val="22"/>
        </w:rPr>
        <w:t> </w:t>
      </w:r>
      <w:r>
        <w:rPr>
          <w:color w:val="010202"/>
          <w:sz w:val="22"/>
        </w:rPr>
        <w:t>area</w:t>
      </w:r>
      <w:r>
        <w:rPr>
          <w:color w:val="010202"/>
          <w:spacing w:val="-2"/>
          <w:sz w:val="22"/>
        </w:rPr>
        <w:t> </w:t>
      </w:r>
      <w:r>
        <w:rPr>
          <w:color w:val="010202"/>
          <w:sz w:val="22"/>
        </w:rPr>
        <w:t>to</w:t>
      </w:r>
      <w:r>
        <w:rPr>
          <w:color w:val="010202"/>
          <w:spacing w:val="-3"/>
          <w:sz w:val="22"/>
        </w:rPr>
        <w:t> </w:t>
      </w:r>
      <w:r>
        <w:rPr>
          <w:color w:val="010202"/>
          <w:sz w:val="22"/>
        </w:rPr>
        <w:t>effectively</w:t>
      </w:r>
      <w:r>
        <w:rPr>
          <w:color w:val="010202"/>
          <w:spacing w:val="-3"/>
          <w:sz w:val="22"/>
        </w:rPr>
        <w:t> </w:t>
      </w:r>
      <w:r>
        <w:rPr>
          <w:color w:val="010202"/>
          <w:sz w:val="22"/>
        </w:rPr>
        <w:t>connect</w:t>
      </w:r>
      <w:r>
        <w:rPr>
          <w:color w:val="010202"/>
          <w:spacing w:val="-2"/>
          <w:sz w:val="22"/>
        </w:rPr>
        <w:t> </w:t>
      </w:r>
      <w:r>
        <w:rPr>
          <w:color w:val="010202"/>
          <w:sz w:val="22"/>
        </w:rPr>
        <w:t>clients</w:t>
      </w:r>
      <w:r>
        <w:rPr>
          <w:color w:val="010202"/>
          <w:spacing w:val="-3"/>
          <w:sz w:val="22"/>
        </w:rPr>
        <w:t> </w:t>
      </w:r>
      <w:r>
        <w:rPr>
          <w:color w:val="010202"/>
          <w:sz w:val="22"/>
        </w:rPr>
        <w:t>with</w:t>
      </w:r>
      <w:r>
        <w:rPr>
          <w:color w:val="010202"/>
          <w:spacing w:val="-52"/>
          <w:sz w:val="22"/>
        </w:rPr>
        <w:t> </w:t>
      </w:r>
      <w:r>
        <w:rPr>
          <w:color w:val="010202"/>
          <w:sz w:val="22"/>
        </w:rPr>
        <w:t>needed</w:t>
      </w:r>
      <w:r>
        <w:rPr>
          <w:color w:val="010202"/>
          <w:spacing w:val="-1"/>
          <w:sz w:val="22"/>
        </w:rPr>
        <w:t> </w:t>
      </w:r>
      <w:r>
        <w:rPr>
          <w:color w:val="010202"/>
          <w:sz w:val="22"/>
        </w:rPr>
        <w:t>services</w:t>
      </w:r>
    </w:p>
    <w:p>
      <w:pPr>
        <w:pStyle w:val="ListParagraph"/>
        <w:numPr>
          <w:ilvl w:val="0"/>
          <w:numId w:val="19"/>
        </w:numPr>
        <w:tabs>
          <w:tab w:pos="880" w:val="left" w:leader="none"/>
        </w:tabs>
        <w:spacing w:line="249" w:lineRule="auto" w:before="0" w:after="0"/>
        <w:ind w:left="879" w:right="259" w:hanging="360"/>
        <w:jc w:val="both"/>
        <w:rPr>
          <w:sz w:val="22"/>
        </w:rPr>
      </w:pPr>
      <w:r>
        <w:rPr>
          <w:color w:val="010202"/>
          <w:sz w:val="22"/>
        </w:rPr>
        <w:t>Develop a</w:t>
      </w:r>
      <w:r>
        <w:rPr>
          <w:color w:val="3953A4"/>
          <w:sz w:val="22"/>
        </w:rPr>
        <w:t> </w:t>
      </w:r>
      <w:hyperlink r:id="rId230">
        <w:r>
          <w:rPr>
            <w:color w:val="3953A4"/>
            <w:sz w:val="22"/>
            <w:u w:val="single" w:color="3953A4"/>
          </w:rPr>
          <w:t>logic model</w:t>
        </w:r>
        <w:r>
          <w:rPr>
            <w:color w:val="3953A4"/>
            <w:sz w:val="22"/>
          </w:rPr>
          <w:t> </w:t>
        </w:r>
      </w:hyperlink>
      <w:r>
        <w:rPr>
          <w:color w:val="010202"/>
          <w:sz w:val="22"/>
        </w:rPr>
        <w:t>(a graphic depiction of</w:t>
      </w:r>
      <w:r>
        <w:rPr>
          <w:color w:val="010202"/>
          <w:spacing w:val="-52"/>
          <w:sz w:val="22"/>
        </w:rPr>
        <w:t> </w:t>
      </w:r>
      <w:r>
        <w:rPr>
          <w:color w:val="010202"/>
          <w:sz w:val="22"/>
        </w:rPr>
        <w:t>the</w:t>
      </w:r>
      <w:r>
        <w:rPr>
          <w:color w:val="010202"/>
          <w:spacing w:val="-6"/>
          <w:sz w:val="22"/>
        </w:rPr>
        <w:t> </w:t>
      </w:r>
      <w:r>
        <w:rPr>
          <w:color w:val="010202"/>
          <w:sz w:val="22"/>
        </w:rPr>
        <w:t>relationship</w:t>
      </w:r>
      <w:r>
        <w:rPr>
          <w:color w:val="010202"/>
          <w:spacing w:val="-5"/>
          <w:sz w:val="22"/>
        </w:rPr>
        <w:t> </w:t>
      </w:r>
      <w:r>
        <w:rPr>
          <w:color w:val="010202"/>
          <w:sz w:val="22"/>
        </w:rPr>
        <w:t>between</w:t>
      </w:r>
      <w:r>
        <w:rPr>
          <w:color w:val="010202"/>
          <w:spacing w:val="-5"/>
          <w:sz w:val="22"/>
        </w:rPr>
        <w:t> </w:t>
      </w:r>
      <w:r>
        <w:rPr>
          <w:color w:val="010202"/>
          <w:sz w:val="22"/>
        </w:rPr>
        <w:t>a</w:t>
      </w:r>
      <w:r>
        <w:rPr>
          <w:color w:val="010202"/>
          <w:spacing w:val="-5"/>
          <w:sz w:val="22"/>
        </w:rPr>
        <w:t> </w:t>
      </w:r>
      <w:r>
        <w:rPr>
          <w:color w:val="010202"/>
          <w:sz w:val="22"/>
        </w:rPr>
        <w:t>program’s</w:t>
      </w:r>
      <w:r>
        <w:rPr>
          <w:color w:val="010202"/>
          <w:spacing w:val="-6"/>
          <w:sz w:val="22"/>
        </w:rPr>
        <w:t> </w:t>
      </w:r>
      <w:r>
        <w:rPr>
          <w:color w:val="010202"/>
          <w:sz w:val="22"/>
        </w:rPr>
        <w:t>activities</w:t>
      </w:r>
      <w:r>
        <w:rPr>
          <w:color w:val="010202"/>
          <w:spacing w:val="-53"/>
          <w:sz w:val="22"/>
        </w:rPr>
        <w:t> </w:t>
      </w:r>
      <w:r>
        <w:rPr>
          <w:color w:val="010202"/>
          <w:sz w:val="22"/>
        </w:rPr>
        <w:t>and</w:t>
      </w:r>
      <w:r>
        <w:rPr>
          <w:color w:val="010202"/>
          <w:spacing w:val="-1"/>
          <w:sz w:val="22"/>
        </w:rPr>
        <w:t> </w:t>
      </w:r>
      <w:r>
        <w:rPr>
          <w:color w:val="010202"/>
          <w:sz w:val="22"/>
        </w:rPr>
        <w:t>their intended outcomes)</w:t>
      </w:r>
      <w:r>
        <w:rPr>
          <w:color w:val="010202"/>
          <w:sz w:val="22"/>
          <w:vertAlign w:val="superscript"/>
        </w:rPr>
        <w:t>4</w:t>
      </w:r>
    </w:p>
    <w:p>
      <w:pPr>
        <w:pStyle w:val="BodyText"/>
        <w:rPr>
          <w:sz w:val="20"/>
        </w:rPr>
      </w:pPr>
    </w:p>
    <w:p>
      <w:pPr>
        <w:pStyle w:val="Heading2"/>
        <w:spacing w:line="184" w:lineRule="auto" w:before="0"/>
      </w:pPr>
      <w:r>
        <w:rPr>
          <w:color w:val="1C384B"/>
        </w:rPr>
        <w:t>Implementation</w:t>
      </w:r>
      <w:r>
        <w:rPr>
          <w:color w:val="1C384B"/>
          <w:spacing w:val="1"/>
        </w:rPr>
        <w:t> </w:t>
      </w:r>
      <w:r>
        <w:rPr>
          <w:color w:val="1C384B"/>
        </w:rPr>
        <w:t>Challenges</w:t>
      </w:r>
      <w:r>
        <w:rPr>
          <w:color w:val="1C384B"/>
          <w:spacing w:val="-7"/>
        </w:rPr>
        <w:t> </w:t>
      </w:r>
      <w:r>
        <w:rPr>
          <w:color w:val="1C384B"/>
        </w:rPr>
        <w:t>and</w:t>
      </w:r>
      <w:r>
        <w:rPr>
          <w:color w:val="1C384B"/>
          <w:spacing w:val="-6"/>
        </w:rPr>
        <w:t> </w:t>
      </w:r>
      <w:r>
        <w:rPr>
          <w:color w:val="1C384B"/>
        </w:rPr>
        <w:t>Strategies</w:t>
      </w:r>
    </w:p>
    <w:p>
      <w:pPr>
        <w:pStyle w:val="BodyText"/>
        <w:spacing w:line="266" w:lineRule="auto" w:before="111"/>
        <w:ind w:left="160" w:right="284"/>
      </w:pPr>
      <w:r>
        <w:rPr>
          <w:color w:val="231F20"/>
        </w:rPr>
        <w:t>This chapter includes strategies to promote</w:t>
      </w:r>
      <w:r>
        <w:rPr>
          <w:color w:val="231F20"/>
          <w:spacing w:val="1"/>
        </w:rPr>
        <w:t> </w:t>
      </w:r>
      <w:r>
        <w:rPr>
          <w:color w:val="231F20"/>
        </w:rPr>
        <w:t>implementation and appropriate adaptation of</w:t>
      </w:r>
      <w:r>
        <w:rPr>
          <w:color w:val="231F20"/>
          <w:spacing w:val="1"/>
        </w:rPr>
        <w:t> </w:t>
      </w:r>
      <w:r>
        <w:rPr>
          <w:color w:val="231F20"/>
        </w:rPr>
        <w:t>practices</w:t>
      </w:r>
      <w:r>
        <w:rPr>
          <w:color w:val="231F20"/>
          <w:spacing w:val="-3"/>
        </w:rPr>
        <w:t> </w:t>
      </w:r>
      <w:r>
        <w:rPr>
          <w:color w:val="231F20"/>
        </w:rPr>
        <w:t>to</w:t>
      </w:r>
      <w:r>
        <w:rPr>
          <w:color w:val="231F20"/>
          <w:spacing w:val="-2"/>
        </w:rPr>
        <w:t> </w:t>
      </w:r>
      <w:r>
        <w:rPr>
          <w:color w:val="231F20"/>
        </w:rPr>
        <w:t>the</w:t>
      </w:r>
      <w:r>
        <w:rPr>
          <w:color w:val="231F20"/>
          <w:spacing w:val="-3"/>
        </w:rPr>
        <w:t> </w:t>
      </w:r>
      <w:r>
        <w:rPr>
          <w:color w:val="231F20"/>
        </w:rPr>
        <w:t>population</w:t>
      </w:r>
      <w:r>
        <w:rPr>
          <w:color w:val="231F20"/>
          <w:spacing w:val="-2"/>
        </w:rPr>
        <w:t> </w:t>
      </w:r>
      <w:r>
        <w:rPr>
          <w:color w:val="231F20"/>
        </w:rPr>
        <w:t>of</w:t>
      </w:r>
      <w:r>
        <w:rPr>
          <w:color w:val="231F20"/>
          <w:spacing w:val="-3"/>
        </w:rPr>
        <w:t> </w:t>
      </w:r>
      <w:r>
        <w:rPr>
          <w:color w:val="231F20"/>
        </w:rPr>
        <w:t>focus,</w:t>
      </w:r>
      <w:r>
        <w:rPr>
          <w:color w:val="231F20"/>
          <w:spacing w:val="-2"/>
        </w:rPr>
        <w:t> </w:t>
      </w:r>
      <w:r>
        <w:rPr>
          <w:color w:val="231F20"/>
        </w:rPr>
        <w:t>as</w:t>
      </w:r>
      <w:r>
        <w:rPr>
          <w:color w:val="231F20"/>
          <w:spacing w:val="-3"/>
        </w:rPr>
        <w:t> </w:t>
      </w:r>
      <w:r>
        <w:rPr>
          <w:color w:val="231F20"/>
        </w:rPr>
        <w:t>well</w:t>
      </w:r>
      <w:r>
        <w:rPr>
          <w:color w:val="231F20"/>
          <w:spacing w:val="-3"/>
        </w:rPr>
        <w:t> </w:t>
      </w:r>
      <w:r>
        <w:rPr>
          <w:color w:val="231F20"/>
        </w:rPr>
        <w:t>as</w:t>
      </w:r>
      <w:r>
        <w:rPr>
          <w:color w:val="231F20"/>
          <w:spacing w:val="-3"/>
        </w:rPr>
        <w:t> </w:t>
      </w:r>
      <w:r>
        <w:rPr>
          <w:color w:val="231F20"/>
        </w:rPr>
        <w:t>specific</w:t>
      </w:r>
      <w:r>
        <w:rPr>
          <w:color w:val="231F20"/>
          <w:spacing w:val="-52"/>
        </w:rPr>
        <w:t> </w:t>
      </w:r>
      <w:r>
        <w:rPr>
          <w:color w:val="231F20"/>
        </w:rPr>
        <w:t>implementation tools for the programs and practices</w:t>
      </w:r>
      <w:r>
        <w:rPr>
          <w:color w:val="231F20"/>
          <w:spacing w:val="1"/>
        </w:rPr>
        <w:t> </w:t>
      </w:r>
      <w:r>
        <w:rPr>
          <w:color w:val="231F20"/>
        </w:rPr>
        <w:t>described in Chapters 2 and 4. Key considerations</w:t>
      </w:r>
      <w:r>
        <w:rPr>
          <w:color w:val="231F20"/>
          <w:spacing w:val="1"/>
        </w:rPr>
        <w:t> </w:t>
      </w:r>
      <w:r>
        <w:rPr>
          <w:color w:val="231F20"/>
        </w:rPr>
        <w:t>described in this chapter include:</w:t>
      </w:r>
    </w:p>
    <w:p>
      <w:pPr>
        <w:pStyle w:val="ListParagraph"/>
        <w:numPr>
          <w:ilvl w:val="0"/>
          <w:numId w:val="19"/>
        </w:numPr>
        <w:tabs>
          <w:tab w:pos="879" w:val="left" w:leader="none"/>
          <w:tab w:pos="880" w:val="left" w:leader="none"/>
        </w:tabs>
        <w:spacing w:line="249" w:lineRule="auto" w:before="144" w:after="0"/>
        <w:ind w:left="879" w:right="259" w:hanging="360"/>
        <w:jc w:val="left"/>
        <w:rPr>
          <w:sz w:val="22"/>
        </w:rPr>
      </w:pPr>
      <w:r>
        <w:rPr>
          <w:color w:val="010202"/>
          <w:sz w:val="22"/>
        </w:rPr>
        <w:t>Adapting and tailoring the practice to meet the</w:t>
      </w:r>
      <w:r>
        <w:rPr>
          <w:color w:val="010202"/>
          <w:spacing w:val="-52"/>
          <w:sz w:val="22"/>
        </w:rPr>
        <w:t> </w:t>
      </w:r>
      <w:r>
        <w:rPr>
          <w:color w:val="010202"/>
          <w:sz w:val="22"/>
        </w:rPr>
        <w:t>needs of the client population</w:t>
      </w:r>
    </w:p>
    <w:p>
      <w:pPr>
        <w:pStyle w:val="ListParagraph"/>
        <w:numPr>
          <w:ilvl w:val="0"/>
          <w:numId w:val="19"/>
        </w:numPr>
        <w:tabs>
          <w:tab w:pos="879" w:val="left" w:leader="none"/>
          <w:tab w:pos="880" w:val="left" w:leader="none"/>
        </w:tabs>
        <w:spacing w:line="251" w:lineRule="exact" w:before="0" w:after="0"/>
        <w:ind w:left="879" w:right="0" w:hanging="361"/>
        <w:jc w:val="left"/>
        <w:rPr>
          <w:sz w:val="22"/>
        </w:rPr>
      </w:pPr>
      <w:r>
        <w:rPr>
          <w:color w:val="010202"/>
          <w:sz w:val="22"/>
        </w:rPr>
        <w:t>Care coordination</w:t>
      </w:r>
    </w:p>
    <w:p>
      <w:pPr>
        <w:pStyle w:val="ListParagraph"/>
        <w:numPr>
          <w:ilvl w:val="0"/>
          <w:numId w:val="19"/>
        </w:numPr>
        <w:tabs>
          <w:tab w:pos="879" w:val="left" w:leader="none"/>
          <w:tab w:pos="880" w:val="left" w:leader="none"/>
        </w:tabs>
        <w:spacing w:line="264" w:lineRule="exact" w:before="0" w:after="0"/>
        <w:ind w:left="879" w:right="0" w:hanging="361"/>
        <w:jc w:val="left"/>
        <w:rPr>
          <w:sz w:val="22"/>
        </w:rPr>
      </w:pPr>
      <w:r>
        <w:rPr>
          <w:color w:val="010202"/>
          <w:sz w:val="22"/>
        </w:rPr>
        <w:t>Workforce</w:t>
      </w:r>
      <w:r>
        <w:rPr>
          <w:color w:val="010202"/>
          <w:spacing w:val="-5"/>
          <w:sz w:val="22"/>
        </w:rPr>
        <w:t> </w:t>
      </w:r>
      <w:r>
        <w:rPr>
          <w:color w:val="010202"/>
          <w:sz w:val="22"/>
        </w:rPr>
        <w:t>capacity</w:t>
      </w:r>
      <w:r>
        <w:rPr>
          <w:color w:val="010202"/>
          <w:spacing w:val="-4"/>
          <w:sz w:val="22"/>
        </w:rPr>
        <w:t> </w:t>
      </w:r>
      <w:r>
        <w:rPr>
          <w:color w:val="010202"/>
          <w:sz w:val="22"/>
        </w:rPr>
        <w:t>and</w:t>
      </w:r>
      <w:r>
        <w:rPr>
          <w:color w:val="010202"/>
          <w:spacing w:val="-4"/>
          <w:sz w:val="22"/>
        </w:rPr>
        <w:t> </w:t>
      </w:r>
      <w:r>
        <w:rPr>
          <w:color w:val="010202"/>
          <w:sz w:val="22"/>
        </w:rPr>
        <w:t>development</w:t>
      </w:r>
    </w:p>
    <w:p>
      <w:pPr>
        <w:pStyle w:val="ListParagraph"/>
        <w:numPr>
          <w:ilvl w:val="0"/>
          <w:numId w:val="19"/>
        </w:numPr>
        <w:tabs>
          <w:tab w:pos="879" w:val="left" w:leader="none"/>
          <w:tab w:pos="880" w:val="left" w:leader="none"/>
        </w:tabs>
        <w:spacing w:line="264" w:lineRule="exact" w:before="0" w:after="0"/>
        <w:ind w:left="879" w:right="0" w:hanging="361"/>
        <w:jc w:val="left"/>
        <w:rPr>
          <w:sz w:val="22"/>
        </w:rPr>
      </w:pPr>
      <w:r>
        <w:rPr>
          <w:color w:val="010202"/>
          <w:sz w:val="22"/>
        </w:rPr>
        <w:t>Access</w:t>
      </w:r>
      <w:r>
        <w:rPr>
          <w:color w:val="010202"/>
          <w:spacing w:val="-5"/>
          <w:sz w:val="22"/>
        </w:rPr>
        <w:t> </w:t>
      </w:r>
      <w:r>
        <w:rPr>
          <w:color w:val="010202"/>
          <w:sz w:val="22"/>
        </w:rPr>
        <w:t>to</w:t>
      </w:r>
      <w:r>
        <w:rPr>
          <w:color w:val="010202"/>
          <w:spacing w:val="-4"/>
          <w:sz w:val="22"/>
        </w:rPr>
        <w:t> </w:t>
      </w:r>
      <w:r>
        <w:rPr>
          <w:color w:val="010202"/>
          <w:sz w:val="22"/>
        </w:rPr>
        <w:t>services</w:t>
      </w:r>
    </w:p>
    <w:p>
      <w:pPr>
        <w:pStyle w:val="ListParagraph"/>
        <w:numPr>
          <w:ilvl w:val="0"/>
          <w:numId w:val="19"/>
        </w:numPr>
        <w:tabs>
          <w:tab w:pos="879" w:val="left" w:leader="none"/>
          <w:tab w:pos="880" w:val="left" w:leader="none"/>
        </w:tabs>
        <w:spacing w:line="267" w:lineRule="exact" w:before="0" w:after="0"/>
        <w:ind w:left="879" w:right="0" w:hanging="361"/>
        <w:jc w:val="left"/>
        <w:rPr>
          <w:sz w:val="22"/>
        </w:rPr>
      </w:pPr>
      <w:r>
        <w:rPr/>
        <w:pict>
          <v:shape style="position:absolute;margin-left:83.300003pt;margin-top:35.127747pt;width:152.8pt;height:27.65pt;mso-position-horizontal-relative:page;mso-position-vertical-relative:paragraph;z-index:-18132992" type="#_x0000_t202" id="docshape126" filled="false" stroked="false">
            <v:textbox inset="0,0,0,0">
              <w:txbxContent>
                <w:p>
                  <w:pPr>
                    <w:spacing w:line="170" w:lineRule="auto" w:before="58"/>
                    <w:ind w:left="79" w:right="0" w:hanging="80"/>
                    <w:jc w:val="left"/>
                    <w:rPr>
                      <w:rFonts w:ascii="Palatino Linotype"/>
                      <w:sz w:val="24"/>
                    </w:rPr>
                  </w:pPr>
                  <w:r>
                    <w:rPr>
                      <w:rFonts w:ascii="Palatino Linotype"/>
                      <w:w w:val="90"/>
                      <w:sz w:val="24"/>
                    </w:rPr>
                    <w:t>ADAPTING</w:t>
                  </w:r>
                  <w:r>
                    <w:rPr>
                      <w:rFonts w:ascii="Palatino Linotype"/>
                      <w:spacing w:val="28"/>
                      <w:w w:val="90"/>
                      <w:sz w:val="24"/>
                    </w:rPr>
                    <w:t> </w:t>
                  </w:r>
                  <w:r>
                    <w:rPr>
                      <w:rFonts w:ascii="Palatino Linotype"/>
                      <w:w w:val="90"/>
                      <w:sz w:val="24"/>
                    </w:rPr>
                    <w:t>AND</w:t>
                  </w:r>
                  <w:r>
                    <w:rPr>
                      <w:rFonts w:ascii="Palatino Linotype"/>
                      <w:spacing w:val="28"/>
                      <w:w w:val="90"/>
                      <w:sz w:val="24"/>
                    </w:rPr>
                    <w:t> </w:t>
                  </w:r>
                  <w:r>
                    <w:rPr>
                      <w:rFonts w:ascii="Palatino Linotype"/>
                      <w:w w:val="90"/>
                      <w:sz w:val="24"/>
                    </w:rPr>
                    <w:t>TALORING</w:t>
                  </w:r>
                  <w:r>
                    <w:rPr>
                      <w:rFonts w:ascii="Palatino Linotype"/>
                      <w:spacing w:val="-51"/>
                      <w:w w:val="90"/>
                      <w:sz w:val="24"/>
                    </w:rPr>
                    <w:t> </w:t>
                  </w:r>
                  <w:r>
                    <w:rPr>
                      <w:rFonts w:ascii="Palatino Linotype"/>
                      <w:sz w:val="24"/>
                    </w:rPr>
                    <w:t>THE</w:t>
                  </w:r>
                  <w:r>
                    <w:rPr>
                      <w:rFonts w:ascii="Palatino Linotype"/>
                      <w:spacing w:val="-10"/>
                      <w:sz w:val="24"/>
                    </w:rPr>
                    <w:t> </w:t>
                  </w:r>
                  <w:r>
                    <w:rPr>
                      <w:rFonts w:ascii="Palatino Linotype"/>
                      <w:sz w:val="24"/>
                    </w:rPr>
                    <w:t>PRACTICE</w:t>
                  </w:r>
                </w:p>
              </w:txbxContent>
            </v:textbox>
            <w10:wrap type="none"/>
          </v:shape>
        </w:pict>
      </w:r>
      <w:r>
        <w:rPr>
          <w:color w:val="010202"/>
          <w:sz w:val="22"/>
        </w:rPr>
        <w:t>Financing</w:t>
      </w:r>
    </w:p>
    <w:p>
      <w:pPr>
        <w:pStyle w:val="BodyText"/>
        <w:spacing w:before="1"/>
        <w:rPr>
          <w:sz w:val="19"/>
        </w:rPr>
      </w:pPr>
      <w:r>
        <w:rPr/>
        <w:drawing>
          <wp:anchor distT="0" distB="0" distL="0" distR="0" allowOverlap="1" layoutInCell="1" locked="0" behindDoc="0" simplePos="0" relativeHeight="59">
            <wp:simplePos x="0" y="0"/>
            <wp:positionH relativeFrom="page">
              <wp:posOffset>457200</wp:posOffset>
            </wp:positionH>
            <wp:positionV relativeFrom="paragraph">
              <wp:posOffset>155221</wp:posOffset>
            </wp:positionV>
            <wp:extent cx="2728748" cy="590931"/>
            <wp:effectExtent l="0" t="0" r="0" b="0"/>
            <wp:wrapTopAndBottom/>
            <wp:docPr id="69" name="image24.jpeg"/>
            <wp:cNvGraphicFramePr>
              <a:graphicFrameLocks noChangeAspect="1"/>
            </wp:cNvGraphicFramePr>
            <a:graphic>
              <a:graphicData uri="http://schemas.openxmlformats.org/drawingml/2006/picture">
                <pic:pic>
                  <pic:nvPicPr>
                    <pic:cNvPr id="70" name="image24.jpeg"/>
                    <pic:cNvPicPr/>
                  </pic:nvPicPr>
                  <pic:blipFill>
                    <a:blip r:embed="rId231" cstate="print"/>
                    <a:stretch>
                      <a:fillRect/>
                    </a:stretch>
                  </pic:blipFill>
                  <pic:spPr>
                    <a:xfrm>
                      <a:off x="0" y="0"/>
                      <a:ext cx="2728748" cy="590931"/>
                    </a:xfrm>
                    <a:prstGeom prst="rect">
                      <a:avLst/>
                    </a:prstGeom>
                  </pic:spPr>
                </pic:pic>
              </a:graphicData>
            </a:graphic>
          </wp:anchor>
        </w:drawing>
      </w:r>
    </w:p>
    <w:p>
      <w:pPr>
        <w:pStyle w:val="Heading3"/>
        <w:spacing w:before="52"/>
      </w:pPr>
      <w:r>
        <w:rPr>
          <w:color w:val="231F20"/>
        </w:rPr>
        <w:t>Challenge</w:t>
      </w:r>
    </w:p>
    <w:p>
      <w:pPr>
        <w:pStyle w:val="BodyText"/>
        <w:spacing w:line="266" w:lineRule="auto" w:before="223"/>
        <w:ind w:left="160" w:right="366"/>
      </w:pPr>
      <w:r>
        <w:rPr>
          <w:color w:val="231F20"/>
        </w:rPr>
        <w:t>Practices</w:t>
      </w:r>
      <w:r>
        <w:rPr>
          <w:color w:val="231F20"/>
          <w:spacing w:val="7"/>
        </w:rPr>
        <w:t> </w:t>
      </w:r>
      <w:r>
        <w:rPr>
          <w:color w:val="231F20"/>
        </w:rPr>
        <w:t>implemented</w:t>
      </w:r>
      <w:r>
        <w:rPr>
          <w:color w:val="231F20"/>
          <w:spacing w:val="9"/>
        </w:rPr>
        <w:t> </w:t>
      </w:r>
      <w:r>
        <w:rPr>
          <w:color w:val="231F20"/>
        </w:rPr>
        <w:t>without</w:t>
      </w:r>
      <w:r>
        <w:rPr>
          <w:color w:val="231F20"/>
          <w:spacing w:val="8"/>
        </w:rPr>
        <w:t> </w:t>
      </w:r>
      <w:r>
        <w:rPr>
          <w:color w:val="231F20"/>
        </w:rPr>
        <w:t>adaptation</w:t>
      </w:r>
      <w:r>
        <w:rPr>
          <w:color w:val="231F20"/>
          <w:spacing w:val="9"/>
        </w:rPr>
        <w:t> </w:t>
      </w:r>
      <w:r>
        <w:rPr>
          <w:color w:val="231F20"/>
        </w:rPr>
        <w:t>may</w:t>
      </w:r>
      <w:r>
        <w:rPr>
          <w:color w:val="231F20"/>
          <w:spacing w:val="9"/>
        </w:rPr>
        <w:t> </w:t>
      </w:r>
      <w:r>
        <w:rPr>
          <w:color w:val="231F20"/>
        </w:rPr>
        <w:t>not</w:t>
      </w:r>
      <w:r>
        <w:rPr>
          <w:color w:val="231F20"/>
          <w:spacing w:val="1"/>
        </w:rPr>
        <w:t> </w:t>
      </w:r>
      <w:r>
        <w:rPr>
          <w:color w:val="231F20"/>
        </w:rPr>
        <w:t>be</w:t>
      </w:r>
      <w:r>
        <w:rPr>
          <w:color w:val="231F20"/>
          <w:spacing w:val="-3"/>
        </w:rPr>
        <w:t> </w:t>
      </w:r>
      <w:r>
        <w:rPr>
          <w:color w:val="231F20"/>
        </w:rPr>
        <w:t>relevant</w:t>
      </w:r>
      <w:r>
        <w:rPr>
          <w:color w:val="231F20"/>
          <w:spacing w:val="-3"/>
        </w:rPr>
        <w:t> </w:t>
      </w:r>
      <w:r>
        <w:rPr>
          <w:color w:val="231F20"/>
        </w:rPr>
        <w:t>to</w:t>
      </w:r>
      <w:r>
        <w:rPr>
          <w:color w:val="231F20"/>
          <w:spacing w:val="-3"/>
        </w:rPr>
        <w:t> </w:t>
      </w:r>
      <w:r>
        <w:rPr>
          <w:color w:val="231F20"/>
        </w:rPr>
        <w:t>or</w:t>
      </w:r>
      <w:r>
        <w:rPr>
          <w:color w:val="231F20"/>
          <w:spacing w:val="-3"/>
        </w:rPr>
        <w:t> </w:t>
      </w:r>
      <w:r>
        <w:rPr>
          <w:color w:val="231F20"/>
        </w:rPr>
        <w:t>acceptable</w:t>
      </w:r>
      <w:r>
        <w:rPr>
          <w:color w:val="231F20"/>
          <w:spacing w:val="-3"/>
        </w:rPr>
        <w:t> </w:t>
      </w:r>
      <w:r>
        <w:rPr>
          <w:color w:val="231F20"/>
        </w:rPr>
        <w:t>for</w:t>
      </w:r>
      <w:r>
        <w:rPr>
          <w:color w:val="231F20"/>
          <w:spacing w:val="-2"/>
        </w:rPr>
        <w:t> </w:t>
      </w:r>
      <w:r>
        <w:rPr>
          <w:color w:val="231F20"/>
        </w:rPr>
        <w:t>the</w:t>
      </w:r>
      <w:r>
        <w:rPr>
          <w:color w:val="231F20"/>
          <w:spacing w:val="-3"/>
        </w:rPr>
        <w:t> </w:t>
      </w:r>
      <w:r>
        <w:rPr>
          <w:color w:val="231F20"/>
        </w:rPr>
        <w:t>client</w:t>
      </w:r>
      <w:r>
        <w:rPr>
          <w:color w:val="231F20"/>
          <w:spacing w:val="-3"/>
        </w:rPr>
        <w:t> </w:t>
      </w:r>
      <w:r>
        <w:rPr>
          <w:color w:val="231F20"/>
        </w:rPr>
        <w:t>population.</w:t>
      </w:r>
      <w:r>
        <w:rPr>
          <w:color w:val="231F20"/>
          <w:vertAlign w:val="superscript"/>
        </w:rPr>
        <w:t>5</w:t>
      </w:r>
    </w:p>
    <w:p>
      <w:pPr>
        <w:pStyle w:val="BodyText"/>
        <w:spacing w:line="266" w:lineRule="auto"/>
        <w:ind w:left="160" w:right="248"/>
      </w:pPr>
      <w:r>
        <w:rPr>
          <w:color w:val="231F20"/>
        </w:rPr>
        <w:t>Practices should be culturally relevant, available in the</w:t>
      </w:r>
      <w:r>
        <w:rPr>
          <w:color w:val="231F20"/>
          <w:spacing w:val="-52"/>
        </w:rPr>
        <w:t> </w:t>
      </w:r>
      <w:r>
        <w:rPr>
          <w:color w:val="231F20"/>
        </w:rPr>
        <w:t>appropriate language, and produced at the appropriate</w:t>
      </w:r>
      <w:r>
        <w:rPr>
          <w:color w:val="231F20"/>
          <w:spacing w:val="1"/>
        </w:rPr>
        <w:t> </w:t>
      </w:r>
      <w:r>
        <w:rPr>
          <w:color w:val="231F20"/>
        </w:rPr>
        <w:t>reading</w:t>
      </w:r>
      <w:r>
        <w:rPr>
          <w:color w:val="231F20"/>
          <w:spacing w:val="-1"/>
        </w:rPr>
        <w:t> </w:t>
      </w:r>
      <w:r>
        <w:rPr>
          <w:color w:val="231F20"/>
        </w:rPr>
        <w:t>level.</w:t>
      </w:r>
      <w:r>
        <w:rPr>
          <w:color w:val="231F20"/>
          <w:vertAlign w:val="superscript"/>
        </w:rPr>
        <w:t>6-7</w:t>
      </w:r>
    </w:p>
    <w:p>
      <w:pPr>
        <w:spacing w:line="240" w:lineRule="auto" w:before="4" w:after="25"/>
        <w:rPr>
          <w:sz w:val="10"/>
        </w:rPr>
      </w:pPr>
      <w:r>
        <w:rPr/>
        <w:br w:type="column"/>
      </w:r>
      <w:r>
        <w:rPr>
          <w:sz w:val="10"/>
        </w:rPr>
      </w:r>
    </w:p>
    <w:p>
      <w:pPr>
        <w:pStyle w:val="BodyText"/>
        <w:ind w:left="160"/>
        <w:rPr>
          <w:sz w:val="20"/>
        </w:rPr>
      </w:pPr>
      <w:r>
        <w:rPr>
          <w:sz w:val="20"/>
        </w:rPr>
        <w:pict>
          <v:group style="width:252pt;height:83.55pt;mso-position-horizontal-relative:char;mso-position-vertical-relative:line" id="docshapegroup127" coordorigin="0,0" coordsize="5040,1671">
            <v:shape style="position:absolute;left:0;top:0;width:5040;height:1671" id="docshape128" coordorigin="0,0" coordsize="5040,1671" path="m4950,0l90,0,55,7,26,26,7,55,0,90,0,1580,7,1615,26,1644,55,1663,90,1670,4950,1670,4985,1663,5014,1644,5033,1615,5040,1580,5040,90,5033,55,5014,26,4985,7,4950,0xe" filled="true" fillcolor="#f7e0e0" stroked="false">
              <v:path arrowok="t"/>
              <v:fill type="solid"/>
            </v:shape>
            <v:shape style="position:absolute;left:0;top:0;width:5040;height:1671" type="#_x0000_t202" id="docshape129" filled="false" stroked="false">
              <v:textbox inset="0,0,0,0">
                <w:txbxContent>
                  <w:p>
                    <w:pPr>
                      <w:spacing w:line="259" w:lineRule="auto" w:before="136"/>
                      <w:ind w:left="180" w:right="258" w:firstLine="0"/>
                      <w:jc w:val="left"/>
                      <w:rPr>
                        <w:rFonts w:ascii="Arial" w:hAnsi="Arial"/>
                        <w:sz w:val="21"/>
                      </w:rPr>
                    </w:pPr>
                    <w:r>
                      <w:rPr>
                        <w:rFonts w:ascii="Arial" w:hAnsi="Arial"/>
                        <w:color w:val="010202"/>
                        <w:sz w:val="21"/>
                      </w:rPr>
                      <w:t>Core</w:t>
                    </w:r>
                    <w:r>
                      <w:rPr>
                        <w:rFonts w:ascii="Arial" w:hAnsi="Arial"/>
                        <w:color w:val="010202"/>
                        <w:spacing w:val="-3"/>
                        <w:sz w:val="21"/>
                      </w:rPr>
                      <w:t> </w:t>
                    </w:r>
                    <w:r>
                      <w:rPr>
                        <w:rFonts w:ascii="Arial" w:hAnsi="Arial"/>
                        <w:color w:val="010202"/>
                        <w:sz w:val="21"/>
                      </w:rPr>
                      <w:t>components</w:t>
                    </w:r>
                    <w:r>
                      <w:rPr>
                        <w:rFonts w:ascii="Arial" w:hAnsi="Arial"/>
                        <w:color w:val="010202"/>
                        <w:spacing w:val="-2"/>
                        <w:sz w:val="21"/>
                      </w:rPr>
                      <w:t> </w:t>
                    </w:r>
                    <w:r>
                      <w:rPr>
                        <w:rFonts w:ascii="Arial" w:hAnsi="Arial"/>
                        <w:color w:val="010202"/>
                        <w:sz w:val="21"/>
                      </w:rPr>
                      <w:t>are</w:t>
                    </w:r>
                    <w:r>
                      <w:rPr>
                        <w:rFonts w:ascii="Arial" w:hAnsi="Arial"/>
                        <w:color w:val="010202"/>
                        <w:spacing w:val="-3"/>
                        <w:sz w:val="21"/>
                      </w:rPr>
                      <w:t> </w:t>
                    </w:r>
                    <w:r>
                      <w:rPr>
                        <w:rFonts w:ascii="Arial" w:hAnsi="Arial"/>
                        <w:color w:val="010202"/>
                        <w:sz w:val="21"/>
                      </w:rPr>
                      <w:t>defined</w:t>
                    </w:r>
                    <w:r>
                      <w:rPr>
                        <w:rFonts w:ascii="Arial" w:hAnsi="Arial"/>
                        <w:color w:val="010202"/>
                        <w:spacing w:val="-3"/>
                        <w:sz w:val="21"/>
                      </w:rPr>
                      <w:t> </w:t>
                    </w:r>
                    <w:r>
                      <w:rPr>
                        <w:rFonts w:ascii="Arial" w:hAnsi="Arial"/>
                        <w:color w:val="010202"/>
                        <w:sz w:val="21"/>
                      </w:rPr>
                      <w:t>by</w:t>
                    </w:r>
                    <w:r>
                      <w:rPr>
                        <w:rFonts w:ascii="Arial" w:hAnsi="Arial"/>
                        <w:color w:val="010202"/>
                        <w:spacing w:val="-3"/>
                        <w:sz w:val="21"/>
                      </w:rPr>
                      <w:t> </w:t>
                    </w:r>
                    <w:r>
                      <w:rPr>
                        <w:rFonts w:ascii="Arial" w:hAnsi="Arial"/>
                        <w:color w:val="010202"/>
                        <w:sz w:val="21"/>
                      </w:rPr>
                      <w:t>SAMHSA</w:t>
                    </w:r>
                    <w:r>
                      <w:rPr>
                        <w:rFonts w:ascii="Arial" w:hAnsi="Arial"/>
                        <w:color w:val="010202"/>
                        <w:spacing w:val="-13"/>
                        <w:sz w:val="21"/>
                      </w:rPr>
                      <w:t> </w:t>
                    </w:r>
                    <w:r>
                      <w:rPr>
                        <w:rFonts w:ascii="Arial" w:hAnsi="Arial"/>
                        <w:color w:val="010202"/>
                        <w:sz w:val="21"/>
                      </w:rPr>
                      <w:t>in</w:t>
                    </w:r>
                    <w:r>
                      <w:rPr>
                        <w:rFonts w:ascii="Arial" w:hAnsi="Arial"/>
                        <w:color w:val="010202"/>
                        <w:spacing w:val="-3"/>
                        <w:sz w:val="21"/>
                      </w:rPr>
                      <w:t> </w:t>
                    </w:r>
                    <w:r>
                      <w:rPr>
                        <w:rFonts w:ascii="Arial" w:hAnsi="Arial"/>
                        <w:color w:val="010202"/>
                        <w:sz w:val="21"/>
                      </w:rPr>
                      <w:t>the</w:t>
                    </w:r>
                    <w:r>
                      <w:rPr>
                        <w:rFonts w:ascii="Arial" w:hAnsi="Arial"/>
                        <w:color w:val="010202"/>
                        <w:spacing w:val="-56"/>
                        <w:sz w:val="21"/>
                      </w:rPr>
                      <w:t> </w:t>
                    </w:r>
                    <w:r>
                      <w:rPr>
                        <w:rFonts w:ascii="Arial" w:hAnsi="Arial"/>
                        <w:color w:val="010202"/>
                        <w:sz w:val="21"/>
                      </w:rPr>
                      <w:t>Strategic Prevention Framework as “those parts</w:t>
                    </w:r>
                    <w:r>
                      <w:rPr>
                        <w:rFonts w:ascii="Arial" w:hAnsi="Arial"/>
                        <w:color w:val="010202"/>
                        <w:spacing w:val="1"/>
                        <w:sz w:val="21"/>
                      </w:rPr>
                      <w:t> </w:t>
                    </w:r>
                    <w:r>
                      <w:rPr>
                        <w:rFonts w:ascii="Arial" w:hAnsi="Arial"/>
                        <w:color w:val="010202"/>
                        <w:sz w:val="21"/>
                      </w:rPr>
                      <w:t>of</w:t>
                    </w:r>
                    <w:r>
                      <w:rPr>
                        <w:rFonts w:ascii="Arial" w:hAnsi="Arial"/>
                        <w:color w:val="010202"/>
                        <w:spacing w:val="-3"/>
                        <w:sz w:val="21"/>
                      </w:rPr>
                      <w:t> </w:t>
                    </w:r>
                    <w:r>
                      <w:rPr>
                        <w:rFonts w:ascii="Arial" w:hAnsi="Arial"/>
                        <w:color w:val="010202"/>
                        <w:sz w:val="21"/>
                      </w:rPr>
                      <w:t>a</w:t>
                    </w:r>
                    <w:r>
                      <w:rPr>
                        <w:rFonts w:ascii="Arial" w:hAnsi="Arial"/>
                        <w:color w:val="010202"/>
                        <w:spacing w:val="-2"/>
                        <w:sz w:val="21"/>
                      </w:rPr>
                      <w:t> </w:t>
                    </w:r>
                    <w:r>
                      <w:rPr>
                        <w:rFonts w:ascii="Arial" w:hAnsi="Arial"/>
                        <w:color w:val="010202"/>
                        <w:sz w:val="21"/>
                      </w:rPr>
                      <w:t>program</w:t>
                    </w:r>
                    <w:r>
                      <w:rPr>
                        <w:rFonts w:ascii="Arial" w:hAnsi="Arial"/>
                        <w:color w:val="010202"/>
                        <w:spacing w:val="-2"/>
                        <w:sz w:val="21"/>
                      </w:rPr>
                      <w:t> </w:t>
                    </w:r>
                    <w:r>
                      <w:rPr>
                        <w:rFonts w:ascii="Arial" w:hAnsi="Arial"/>
                        <w:color w:val="010202"/>
                        <w:sz w:val="21"/>
                      </w:rPr>
                      <w:t>or</w:t>
                    </w:r>
                    <w:r>
                      <w:rPr>
                        <w:rFonts w:ascii="Arial" w:hAnsi="Arial"/>
                        <w:color w:val="010202"/>
                        <w:spacing w:val="-2"/>
                        <w:sz w:val="21"/>
                      </w:rPr>
                      <w:t> </w:t>
                    </w:r>
                    <w:r>
                      <w:rPr>
                        <w:rFonts w:ascii="Arial" w:hAnsi="Arial"/>
                        <w:color w:val="010202"/>
                        <w:sz w:val="21"/>
                      </w:rPr>
                      <w:t>practice</w:t>
                    </w:r>
                    <w:r>
                      <w:rPr>
                        <w:rFonts w:ascii="Arial" w:hAnsi="Arial"/>
                        <w:color w:val="010202"/>
                        <w:spacing w:val="-2"/>
                        <w:sz w:val="21"/>
                      </w:rPr>
                      <w:t> </w:t>
                    </w:r>
                    <w:r>
                      <w:rPr>
                        <w:rFonts w:ascii="Arial" w:hAnsi="Arial"/>
                        <w:color w:val="010202"/>
                        <w:sz w:val="21"/>
                      </w:rPr>
                      <w:t>that</w:t>
                    </w:r>
                    <w:r>
                      <w:rPr>
                        <w:rFonts w:ascii="Arial" w:hAnsi="Arial"/>
                        <w:color w:val="010202"/>
                        <w:spacing w:val="-1"/>
                        <w:sz w:val="21"/>
                      </w:rPr>
                      <w:t> </w:t>
                    </w:r>
                    <w:r>
                      <w:rPr>
                        <w:rFonts w:ascii="Arial" w:hAnsi="Arial"/>
                        <w:color w:val="010202"/>
                        <w:sz w:val="21"/>
                      </w:rPr>
                      <w:t>are</w:t>
                    </w:r>
                    <w:r>
                      <w:rPr>
                        <w:rFonts w:ascii="Arial" w:hAnsi="Arial"/>
                        <w:color w:val="010202"/>
                        <w:spacing w:val="-3"/>
                        <w:sz w:val="21"/>
                      </w:rPr>
                      <w:t> </w:t>
                    </w:r>
                    <w:r>
                      <w:rPr>
                        <w:rFonts w:ascii="Arial" w:hAnsi="Arial"/>
                        <w:color w:val="010202"/>
                        <w:sz w:val="21"/>
                      </w:rPr>
                      <w:t>responsible</w:t>
                    </w:r>
                  </w:p>
                  <w:p>
                    <w:pPr>
                      <w:spacing w:line="259" w:lineRule="auto" w:before="0"/>
                      <w:ind w:left="180" w:right="0" w:firstLine="0"/>
                      <w:jc w:val="left"/>
                      <w:rPr>
                        <w:rFonts w:ascii="Arial" w:hAnsi="Arial"/>
                        <w:sz w:val="12"/>
                      </w:rPr>
                    </w:pPr>
                    <w:r>
                      <w:rPr>
                        <w:rFonts w:ascii="Arial" w:hAnsi="Arial"/>
                        <w:color w:val="010202"/>
                        <w:sz w:val="21"/>
                      </w:rPr>
                      <w:t>for</w:t>
                    </w:r>
                    <w:r>
                      <w:rPr>
                        <w:rFonts w:ascii="Arial" w:hAnsi="Arial"/>
                        <w:color w:val="010202"/>
                        <w:spacing w:val="-4"/>
                        <w:sz w:val="21"/>
                      </w:rPr>
                      <w:t> </w:t>
                    </w:r>
                    <w:r>
                      <w:rPr>
                        <w:rFonts w:ascii="Arial" w:hAnsi="Arial"/>
                        <w:color w:val="010202"/>
                        <w:sz w:val="21"/>
                      </w:rPr>
                      <w:t>producing</w:t>
                    </w:r>
                    <w:r>
                      <w:rPr>
                        <w:rFonts w:ascii="Arial" w:hAnsi="Arial"/>
                        <w:color w:val="010202"/>
                        <w:spacing w:val="-5"/>
                        <w:sz w:val="21"/>
                      </w:rPr>
                      <w:t> </w:t>
                    </w:r>
                    <w:r>
                      <w:rPr>
                        <w:rFonts w:ascii="Arial" w:hAnsi="Arial"/>
                        <w:color w:val="010202"/>
                        <w:sz w:val="21"/>
                      </w:rPr>
                      <w:t>positive</w:t>
                    </w:r>
                    <w:r>
                      <w:rPr>
                        <w:rFonts w:ascii="Arial" w:hAnsi="Arial"/>
                        <w:color w:val="010202"/>
                        <w:spacing w:val="-5"/>
                        <w:sz w:val="21"/>
                      </w:rPr>
                      <w:t> </w:t>
                    </w:r>
                    <w:r>
                      <w:rPr>
                        <w:rFonts w:ascii="Arial" w:hAnsi="Arial"/>
                        <w:color w:val="010202"/>
                        <w:sz w:val="21"/>
                      </w:rPr>
                      <w:t>outcomes,</w:t>
                    </w:r>
                    <w:r>
                      <w:rPr>
                        <w:rFonts w:ascii="Arial" w:hAnsi="Arial"/>
                        <w:color w:val="010202"/>
                        <w:spacing w:val="-5"/>
                        <w:sz w:val="21"/>
                      </w:rPr>
                      <w:t> </w:t>
                    </w:r>
                    <w:r>
                      <w:rPr>
                        <w:rFonts w:ascii="Arial" w:hAnsi="Arial"/>
                        <w:color w:val="010202"/>
                        <w:sz w:val="21"/>
                      </w:rPr>
                      <w:t>and</w:t>
                    </w:r>
                    <w:r>
                      <w:rPr>
                        <w:rFonts w:ascii="Arial" w:hAnsi="Arial"/>
                        <w:color w:val="010202"/>
                        <w:spacing w:val="-5"/>
                        <w:sz w:val="21"/>
                      </w:rPr>
                      <w:t> </w:t>
                    </w:r>
                    <w:r>
                      <w:rPr>
                        <w:rFonts w:ascii="Arial" w:hAnsi="Arial"/>
                        <w:color w:val="010202"/>
                        <w:sz w:val="21"/>
                      </w:rPr>
                      <w:t>thus</w:t>
                    </w:r>
                    <w:r>
                      <w:rPr>
                        <w:rFonts w:ascii="Arial" w:hAnsi="Arial"/>
                        <w:color w:val="010202"/>
                        <w:spacing w:val="-3"/>
                        <w:sz w:val="21"/>
                      </w:rPr>
                      <w:t> </w:t>
                    </w:r>
                    <w:r>
                      <w:rPr>
                        <w:rFonts w:ascii="Arial" w:hAnsi="Arial"/>
                        <w:color w:val="010202"/>
                        <w:sz w:val="21"/>
                      </w:rPr>
                      <w:t>most</w:t>
                    </w:r>
                    <w:r>
                      <w:rPr>
                        <w:rFonts w:ascii="Arial" w:hAnsi="Arial"/>
                        <w:color w:val="010202"/>
                        <w:spacing w:val="-56"/>
                        <w:sz w:val="21"/>
                      </w:rPr>
                      <w:t> </w:t>
                    </w:r>
                    <w:r>
                      <w:rPr>
                        <w:rFonts w:ascii="Arial" w:hAnsi="Arial"/>
                        <w:color w:val="010202"/>
                        <w:sz w:val="21"/>
                      </w:rPr>
                      <w:t>essential</w:t>
                    </w:r>
                    <w:r>
                      <w:rPr>
                        <w:rFonts w:ascii="Arial" w:hAnsi="Arial"/>
                        <w:color w:val="010202"/>
                        <w:spacing w:val="-2"/>
                        <w:sz w:val="21"/>
                      </w:rPr>
                      <w:t> </w:t>
                    </w:r>
                    <w:r>
                      <w:rPr>
                        <w:rFonts w:ascii="Arial" w:hAnsi="Arial"/>
                        <w:color w:val="010202"/>
                        <w:sz w:val="21"/>
                      </w:rPr>
                      <w:t>and</w:t>
                    </w:r>
                    <w:r>
                      <w:rPr>
                        <w:rFonts w:ascii="Arial" w:hAnsi="Arial"/>
                        <w:color w:val="010202"/>
                        <w:spacing w:val="-2"/>
                        <w:sz w:val="21"/>
                      </w:rPr>
                      <w:t> </w:t>
                    </w:r>
                    <w:r>
                      <w:rPr>
                        <w:rFonts w:ascii="Arial" w:hAnsi="Arial"/>
                        <w:color w:val="010202"/>
                        <w:sz w:val="21"/>
                      </w:rPr>
                      <w:t>indispensable.”</w:t>
                    </w:r>
                    <w:r>
                      <w:rPr>
                        <w:rFonts w:ascii="Arial" w:hAnsi="Arial"/>
                        <w:color w:val="010202"/>
                        <w:position w:val="7"/>
                        <w:sz w:val="12"/>
                      </w:rPr>
                      <w:t>8</w:t>
                    </w:r>
                  </w:p>
                </w:txbxContent>
              </v:textbox>
              <w10:wrap type="none"/>
            </v:shape>
          </v:group>
        </w:pict>
      </w:r>
      <w:r>
        <w:rPr>
          <w:sz w:val="20"/>
        </w:rPr>
      </w:r>
    </w:p>
    <w:p>
      <w:pPr>
        <w:pStyle w:val="Heading3"/>
        <w:spacing w:before="177"/>
      </w:pPr>
      <w:r>
        <w:rPr>
          <w:color w:val="231F20"/>
        </w:rPr>
        <w:t>Strategies</w:t>
      </w:r>
    </w:p>
    <w:p>
      <w:pPr>
        <w:pStyle w:val="BodyText"/>
        <w:spacing w:before="223"/>
        <w:ind w:left="160"/>
      </w:pPr>
      <w:r>
        <w:rPr>
          <w:color w:val="231F20"/>
          <w:spacing w:val="-1"/>
        </w:rPr>
        <w:t>Program</w:t>
      </w:r>
      <w:r>
        <w:rPr>
          <w:color w:val="231F20"/>
          <w:spacing w:val="-12"/>
        </w:rPr>
        <w:t> </w:t>
      </w:r>
      <w:r>
        <w:rPr>
          <w:color w:val="231F20"/>
          <w:spacing w:val="-1"/>
        </w:rPr>
        <w:t>administrators</w:t>
      </w:r>
      <w:r>
        <w:rPr>
          <w:color w:val="231F20"/>
          <w:spacing w:val="-11"/>
        </w:rPr>
        <w:t> </w:t>
      </w:r>
      <w:r>
        <w:rPr>
          <w:color w:val="231F20"/>
          <w:spacing w:val="-1"/>
        </w:rPr>
        <w:t>and</w:t>
      </w:r>
      <w:r>
        <w:rPr>
          <w:color w:val="231F20"/>
          <w:spacing w:val="-11"/>
        </w:rPr>
        <w:t> </w:t>
      </w:r>
      <w:r>
        <w:rPr>
          <w:color w:val="231F20"/>
          <w:spacing w:val="-1"/>
        </w:rPr>
        <w:t>clinic</w:t>
      </w:r>
      <w:r>
        <w:rPr>
          <w:color w:val="231F20"/>
          <w:spacing w:val="-11"/>
        </w:rPr>
        <w:t> </w:t>
      </w:r>
      <w:r>
        <w:rPr>
          <w:color w:val="231F20"/>
          <w:spacing w:val="-1"/>
        </w:rPr>
        <w:t>leadership</w:t>
      </w:r>
      <w:r>
        <w:rPr>
          <w:color w:val="231F20"/>
          <w:spacing w:val="-11"/>
        </w:rPr>
        <w:t> </w:t>
      </w:r>
      <w:r>
        <w:rPr>
          <w:color w:val="231F20"/>
        </w:rPr>
        <w:t>can:</w:t>
      </w:r>
    </w:p>
    <w:p>
      <w:pPr>
        <w:pStyle w:val="ListParagraph"/>
        <w:numPr>
          <w:ilvl w:val="0"/>
          <w:numId w:val="19"/>
        </w:numPr>
        <w:tabs>
          <w:tab w:pos="879" w:val="left" w:leader="none"/>
          <w:tab w:pos="880" w:val="left" w:leader="none"/>
        </w:tabs>
        <w:spacing w:line="249" w:lineRule="auto" w:before="175" w:after="0"/>
        <w:ind w:left="879" w:right="948" w:hanging="360"/>
        <w:jc w:val="left"/>
        <w:rPr>
          <w:sz w:val="22"/>
        </w:rPr>
      </w:pPr>
      <w:r>
        <w:rPr>
          <w:color w:val="010202"/>
          <w:sz w:val="22"/>
        </w:rPr>
        <w:t>Identify and consistently implement key</w:t>
      </w:r>
      <w:r>
        <w:rPr>
          <w:color w:val="010202"/>
          <w:spacing w:val="1"/>
          <w:sz w:val="22"/>
        </w:rPr>
        <w:t> </w:t>
      </w:r>
      <w:r>
        <w:rPr>
          <w:color w:val="010202"/>
          <w:sz w:val="22"/>
        </w:rPr>
        <w:t>characteristics (or core components) of each</w:t>
      </w:r>
      <w:r>
        <w:rPr>
          <w:color w:val="010202"/>
          <w:spacing w:val="1"/>
          <w:sz w:val="22"/>
        </w:rPr>
        <w:t> </w:t>
      </w:r>
      <w:r>
        <w:rPr>
          <w:color w:val="010202"/>
          <w:w w:val="95"/>
          <w:sz w:val="22"/>
        </w:rPr>
        <w:t>practice</w:t>
      </w:r>
      <w:r>
        <w:rPr>
          <w:color w:val="010202"/>
          <w:spacing w:val="1"/>
          <w:w w:val="95"/>
          <w:sz w:val="22"/>
        </w:rPr>
        <w:t> </w:t>
      </w:r>
      <w:r>
        <w:rPr>
          <w:color w:val="010202"/>
          <w:w w:val="95"/>
          <w:sz w:val="22"/>
        </w:rPr>
        <w:t>to</w:t>
      </w:r>
      <w:r>
        <w:rPr>
          <w:color w:val="010202"/>
          <w:spacing w:val="1"/>
          <w:w w:val="95"/>
          <w:sz w:val="22"/>
        </w:rPr>
        <w:t> </w:t>
      </w:r>
      <w:r>
        <w:rPr>
          <w:color w:val="010202"/>
          <w:w w:val="95"/>
          <w:sz w:val="22"/>
        </w:rPr>
        <w:t>generate</w:t>
      </w:r>
      <w:r>
        <w:rPr>
          <w:color w:val="010202"/>
          <w:spacing w:val="1"/>
          <w:w w:val="95"/>
          <w:sz w:val="22"/>
        </w:rPr>
        <w:t> </w:t>
      </w:r>
      <w:r>
        <w:rPr>
          <w:color w:val="010202"/>
          <w:w w:val="95"/>
          <w:sz w:val="22"/>
        </w:rPr>
        <w:t>anticipated</w:t>
      </w:r>
      <w:r>
        <w:rPr>
          <w:color w:val="010202"/>
          <w:spacing w:val="1"/>
          <w:w w:val="95"/>
          <w:sz w:val="22"/>
        </w:rPr>
        <w:t> </w:t>
      </w:r>
      <w:r>
        <w:rPr>
          <w:color w:val="010202"/>
          <w:w w:val="95"/>
          <w:sz w:val="22"/>
        </w:rPr>
        <w:t>outcomes.</w:t>
      </w:r>
      <w:r>
        <w:rPr>
          <w:color w:val="010202"/>
          <w:w w:val="95"/>
          <w:sz w:val="22"/>
          <w:vertAlign w:val="superscript"/>
        </w:rPr>
        <w:t>1,</w:t>
      </w:r>
      <w:r>
        <w:rPr>
          <w:color w:val="010202"/>
          <w:w w:val="95"/>
          <w:sz w:val="22"/>
          <w:vertAlign w:val="baseline"/>
        </w:rPr>
        <w:t> </w:t>
      </w:r>
      <w:r>
        <w:rPr>
          <w:color w:val="010202"/>
          <w:w w:val="95"/>
          <w:sz w:val="22"/>
          <w:vertAlign w:val="superscript"/>
        </w:rPr>
        <w:t>9</w:t>
      </w:r>
      <w:r>
        <w:rPr>
          <w:color w:val="010202"/>
          <w:spacing w:val="1"/>
          <w:w w:val="95"/>
          <w:sz w:val="22"/>
          <w:vertAlign w:val="baseline"/>
        </w:rPr>
        <w:t> </w:t>
      </w:r>
      <w:r>
        <w:rPr>
          <w:color w:val="010202"/>
          <w:sz w:val="22"/>
          <w:vertAlign w:val="baseline"/>
        </w:rPr>
        <w:t>Outside</w:t>
      </w:r>
      <w:r>
        <w:rPr>
          <w:color w:val="010202"/>
          <w:spacing w:val="-4"/>
          <w:sz w:val="22"/>
          <w:vertAlign w:val="baseline"/>
        </w:rPr>
        <w:t> </w:t>
      </w:r>
      <w:r>
        <w:rPr>
          <w:color w:val="010202"/>
          <w:sz w:val="22"/>
          <w:vertAlign w:val="baseline"/>
        </w:rPr>
        <w:t>of</w:t>
      </w:r>
      <w:r>
        <w:rPr>
          <w:color w:val="010202"/>
          <w:spacing w:val="-4"/>
          <w:sz w:val="22"/>
          <w:vertAlign w:val="baseline"/>
        </w:rPr>
        <w:t> </w:t>
      </w:r>
      <w:r>
        <w:rPr>
          <w:color w:val="010202"/>
          <w:sz w:val="22"/>
          <w:vertAlign w:val="baseline"/>
        </w:rPr>
        <w:t>the</w:t>
      </w:r>
      <w:r>
        <w:rPr>
          <w:color w:val="010202"/>
          <w:spacing w:val="-4"/>
          <w:sz w:val="22"/>
          <w:vertAlign w:val="baseline"/>
        </w:rPr>
        <w:t> </w:t>
      </w:r>
      <w:r>
        <w:rPr>
          <w:color w:val="010202"/>
          <w:sz w:val="22"/>
          <w:vertAlign w:val="baseline"/>
        </w:rPr>
        <w:t>core</w:t>
      </w:r>
      <w:r>
        <w:rPr>
          <w:color w:val="010202"/>
          <w:spacing w:val="-4"/>
          <w:sz w:val="22"/>
          <w:vertAlign w:val="baseline"/>
        </w:rPr>
        <w:t> </w:t>
      </w:r>
      <w:r>
        <w:rPr>
          <w:color w:val="010202"/>
          <w:sz w:val="22"/>
          <w:vertAlign w:val="baseline"/>
        </w:rPr>
        <w:t>components,</w:t>
      </w:r>
      <w:r>
        <w:rPr>
          <w:color w:val="010202"/>
          <w:spacing w:val="-4"/>
          <w:sz w:val="22"/>
          <w:vertAlign w:val="baseline"/>
        </w:rPr>
        <w:t> </w:t>
      </w:r>
      <w:r>
        <w:rPr>
          <w:color w:val="010202"/>
          <w:sz w:val="22"/>
          <w:vertAlign w:val="baseline"/>
        </w:rPr>
        <w:t>organizations</w:t>
      </w:r>
      <w:r>
        <w:rPr>
          <w:color w:val="010202"/>
          <w:spacing w:val="-52"/>
          <w:sz w:val="22"/>
          <w:vertAlign w:val="baseline"/>
        </w:rPr>
        <w:t> </w:t>
      </w:r>
      <w:r>
        <w:rPr>
          <w:color w:val="010202"/>
          <w:sz w:val="22"/>
          <w:vertAlign w:val="baseline"/>
        </w:rPr>
        <w:t>can use their needs assessment to identify</w:t>
      </w:r>
    </w:p>
    <w:p>
      <w:pPr>
        <w:pStyle w:val="BodyText"/>
        <w:spacing w:line="249" w:lineRule="auto" w:before="3"/>
        <w:ind w:left="879" w:right="787"/>
      </w:pPr>
      <w:r>
        <w:rPr>
          <w:color w:val="010202"/>
        </w:rPr>
        <w:t>local-level adaptations that will improve service</w:t>
      </w:r>
      <w:r>
        <w:rPr>
          <w:color w:val="010202"/>
          <w:spacing w:val="-52"/>
        </w:rPr>
        <w:t> </w:t>
      </w:r>
      <w:r>
        <w:rPr>
          <w:color w:val="010202"/>
        </w:rPr>
        <w:t>delivery</w:t>
      </w:r>
      <w:r>
        <w:rPr>
          <w:color w:val="010202"/>
          <w:spacing w:val="-1"/>
        </w:rPr>
        <w:t> </w:t>
      </w:r>
      <w:r>
        <w:rPr>
          <w:color w:val="010202"/>
        </w:rPr>
        <w:t>to</w:t>
      </w:r>
      <w:r>
        <w:rPr>
          <w:color w:val="010202"/>
          <w:spacing w:val="-1"/>
        </w:rPr>
        <w:t> </w:t>
      </w:r>
      <w:r>
        <w:rPr>
          <w:color w:val="010202"/>
        </w:rPr>
        <w:t>their client</w:t>
      </w:r>
      <w:r>
        <w:rPr>
          <w:color w:val="010202"/>
          <w:spacing w:val="-1"/>
        </w:rPr>
        <w:t> </w:t>
      </w:r>
      <w:r>
        <w:rPr>
          <w:color w:val="010202"/>
        </w:rPr>
        <w:t>population.</w:t>
      </w:r>
      <w:r>
        <w:rPr>
          <w:color w:val="010202"/>
          <w:vertAlign w:val="superscript"/>
        </w:rPr>
        <w:t>10</w:t>
      </w:r>
    </w:p>
    <w:p>
      <w:pPr>
        <w:pStyle w:val="ListParagraph"/>
        <w:numPr>
          <w:ilvl w:val="0"/>
          <w:numId w:val="19"/>
        </w:numPr>
        <w:tabs>
          <w:tab w:pos="879" w:val="left" w:leader="none"/>
          <w:tab w:pos="880" w:val="left" w:leader="none"/>
        </w:tabs>
        <w:spacing w:line="256" w:lineRule="exact" w:before="0" w:after="0"/>
        <w:ind w:left="879" w:right="0" w:hanging="360"/>
        <w:jc w:val="left"/>
        <w:rPr>
          <w:sz w:val="22"/>
        </w:rPr>
      </w:pPr>
      <w:r>
        <w:rPr>
          <w:color w:val="010202"/>
          <w:sz w:val="22"/>
        </w:rPr>
        <w:t>When</w:t>
      </w:r>
      <w:r>
        <w:rPr>
          <w:color w:val="010202"/>
          <w:spacing w:val="-2"/>
          <w:sz w:val="22"/>
        </w:rPr>
        <w:t> </w:t>
      </w:r>
      <w:r>
        <w:rPr>
          <w:color w:val="010202"/>
          <w:sz w:val="22"/>
        </w:rPr>
        <w:t>adapting</w:t>
      </w:r>
      <w:r>
        <w:rPr>
          <w:color w:val="010202"/>
          <w:spacing w:val="-2"/>
          <w:sz w:val="22"/>
        </w:rPr>
        <w:t> </w:t>
      </w:r>
      <w:r>
        <w:rPr>
          <w:color w:val="010202"/>
          <w:sz w:val="22"/>
        </w:rPr>
        <w:t>a</w:t>
      </w:r>
      <w:r>
        <w:rPr>
          <w:color w:val="010202"/>
          <w:spacing w:val="-2"/>
          <w:sz w:val="22"/>
        </w:rPr>
        <w:t> </w:t>
      </w:r>
      <w:r>
        <w:rPr>
          <w:color w:val="010202"/>
          <w:sz w:val="22"/>
        </w:rPr>
        <w:t>program,</w:t>
      </w:r>
      <w:r>
        <w:rPr>
          <w:color w:val="010202"/>
          <w:spacing w:val="-1"/>
          <w:sz w:val="22"/>
        </w:rPr>
        <w:t> </w:t>
      </w:r>
      <w:r>
        <w:rPr>
          <w:color w:val="010202"/>
          <w:sz w:val="22"/>
        </w:rPr>
        <w:t>organizations</w:t>
      </w:r>
      <w:r>
        <w:rPr>
          <w:color w:val="010202"/>
          <w:spacing w:val="-2"/>
          <w:sz w:val="22"/>
        </w:rPr>
        <w:t> </w:t>
      </w:r>
      <w:r>
        <w:rPr>
          <w:color w:val="010202"/>
          <w:sz w:val="22"/>
        </w:rPr>
        <w:t>should</w:t>
      </w:r>
    </w:p>
    <w:p>
      <w:pPr>
        <w:pStyle w:val="BodyText"/>
        <w:spacing w:line="249" w:lineRule="auto" w:before="10"/>
        <w:ind w:left="879" w:right="891"/>
      </w:pPr>
      <w:r>
        <w:rPr>
          <w:color w:val="010202"/>
        </w:rPr>
        <w:t>strive to preserve the setting (e.g., outpatient</w:t>
      </w:r>
      <w:r>
        <w:rPr>
          <w:color w:val="010202"/>
          <w:spacing w:val="1"/>
        </w:rPr>
        <w:t> </w:t>
      </w:r>
      <w:r>
        <w:rPr>
          <w:color w:val="010202"/>
        </w:rPr>
        <w:t>clinic, mobile health unit), maintain the</w:t>
      </w:r>
      <w:r>
        <w:rPr>
          <w:color w:val="010202"/>
          <w:spacing w:val="1"/>
        </w:rPr>
        <w:t> </w:t>
      </w:r>
      <w:r>
        <w:rPr>
          <w:color w:val="010202"/>
        </w:rPr>
        <w:t>prescribed</w:t>
      </w:r>
      <w:r>
        <w:rPr>
          <w:color w:val="010202"/>
          <w:spacing w:val="-5"/>
        </w:rPr>
        <w:t> </w:t>
      </w:r>
      <w:r>
        <w:rPr>
          <w:color w:val="010202"/>
        </w:rPr>
        <w:t>dosage,</w:t>
      </w:r>
      <w:r>
        <w:rPr>
          <w:color w:val="010202"/>
          <w:spacing w:val="-5"/>
        </w:rPr>
        <w:t> </w:t>
      </w:r>
      <w:r>
        <w:rPr>
          <w:color w:val="010202"/>
        </w:rPr>
        <w:t>and,</w:t>
      </w:r>
      <w:r>
        <w:rPr>
          <w:color w:val="010202"/>
          <w:spacing w:val="-5"/>
        </w:rPr>
        <w:t> </w:t>
      </w:r>
      <w:r>
        <w:rPr>
          <w:color w:val="010202"/>
        </w:rPr>
        <w:t>if</w:t>
      </w:r>
      <w:r>
        <w:rPr>
          <w:color w:val="010202"/>
          <w:spacing w:val="-5"/>
        </w:rPr>
        <w:t> </w:t>
      </w:r>
      <w:r>
        <w:rPr>
          <w:color w:val="010202"/>
        </w:rPr>
        <w:t>necessary,</w:t>
      </w:r>
      <w:r>
        <w:rPr>
          <w:color w:val="010202"/>
          <w:spacing w:val="-5"/>
        </w:rPr>
        <w:t> </w:t>
      </w:r>
      <w:r>
        <w:rPr>
          <w:color w:val="010202"/>
        </w:rPr>
        <w:t>add</w:t>
      </w:r>
      <w:r>
        <w:rPr>
          <w:color w:val="010202"/>
          <w:spacing w:val="-5"/>
        </w:rPr>
        <w:t> </w:t>
      </w:r>
      <w:r>
        <w:rPr>
          <w:color w:val="010202"/>
        </w:rPr>
        <w:t>rather</w:t>
      </w:r>
      <w:r>
        <w:rPr>
          <w:color w:val="010202"/>
          <w:spacing w:val="-52"/>
        </w:rPr>
        <w:t> </w:t>
      </w:r>
      <w:r>
        <w:rPr>
          <w:color w:val="010202"/>
        </w:rPr>
        <w:t>than</w:t>
      </w:r>
      <w:r>
        <w:rPr>
          <w:color w:val="010202"/>
          <w:spacing w:val="-1"/>
        </w:rPr>
        <w:t> </w:t>
      </w:r>
      <w:r>
        <w:rPr>
          <w:color w:val="010202"/>
        </w:rPr>
        <w:t>remove</w:t>
      </w:r>
      <w:r>
        <w:rPr>
          <w:color w:val="010202"/>
          <w:spacing w:val="-1"/>
        </w:rPr>
        <w:t> </w:t>
      </w:r>
      <w:r>
        <w:rPr>
          <w:color w:val="010202"/>
        </w:rPr>
        <w:t>content.</w:t>
      </w:r>
      <w:r>
        <w:rPr>
          <w:color w:val="010202"/>
          <w:vertAlign w:val="superscript"/>
        </w:rPr>
        <w:t>11</w:t>
      </w:r>
    </w:p>
    <w:p>
      <w:pPr>
        <w:pStyle w:val="ListParagraph"/>
        <w:numPr>
          <w:ilvl w:val="0"/>
          <w:numId w:val="19"/>
        </w:numPr>
        <w:tabs>
          <w:tab w:pos="879" w:val="left" w:leader="none"/>
          <w:tab w:pos="880" w:val="left" w:leader="none"/>
        </w:tabs>
        <w:spacing w:line="249" w:lineRule="auto" w:before="0" w:after="0"/>
        <w:ind w:left="879" w:right="747" w:hanging="360"/>
        <w:jc w:val="left"/>
        <w:rPr>
          <w:sz w:val="22"/>
        </w:rPr>
      </w:pPr>
      <w:r>
        <w:rPr>
          <w:color w:val="010202"/>
          <w:spacing w:val="-2"/>
          <w:sz w:val="22"/>
        </w:rPr>
        <w:t>Use </w:t>
      </w:r>
      <w:r>
        <w:rPr>
          <w:color w:val="010202"/>
          <w:spacing w:val="-1"/>
          <w:sz w:val="22"/>
        </w:rPr>
        <w:t>a systematic process, such as the ADAPT-</w:t>
      </w:r>
      <w:r>
        <w:rPr>
          <w:color w:val="010202"/>
          <w:sz w:val="22"/>
        </w:rPr>
        <w:t> ITT model, to balance local program adaptation</w:t>
      </w:r>
      <w:r>
        <w:rPr>
          <w:color w:val="010202"/>
          <w:spacing w:val="1"/>
          <w:sz w:val="22"/>
        </w:rPr>
        <w:t> </w:t>
      </w:r>
      <w:r>
        <w:rPr>
          <w:color w:val="010202"/>
          <w:sz w:val="22"/>
        </w:rPr>
        <w:t>needs and adherence to the instructions provided</w:t>
      </w:r>
      <w:r>
        <w:rPr>
          <w:color w:val="010202"/>
          <w:spacing w:val="-52"/>
          <w:sz w:val="22"/>
        </w:rPr>
        <w:t> </w:t>
      </w:r>
      <w:r>
        <w:rPr>
          <w:color w:val="010202"/>
          <w:sz w:val="22"/>
        </w:rPr>
        <w:t>in</w:t>
      </w:r>
      <w:r>
        <w:rPr>
          <w:color w:val="010202"/>
          <w:spacing w:val="-1"/>
          <w:sz w:val="22"/>
        </w:rPr>
        <w:t> </w:t>
      </w:r>
      <w:r>
        <w:rPr>
          <w:color w:val="010202"/>
          <w:sz w:val="22"/>
        </w:rPr>
        <w:t>the original model.</w:t>
      </w:r>
      <w:r>
        <w:rPr>
          <w:color w:val="010202"/>
          <w:sz w:val="22"/>
          <w:vertAlign w:val="superscript"/>
        </w:rPr>
        <w:t>5</w:t>
      </w:r>
    </w:p>
    <w:p>
      <w:pPr>
        <w:pStyle w:val="ListParagraph"/>
        <w:numPr>
          <w:ilvl w:val="0"/>
          <w:numId w:val="19"/>
        </w:numPr>
        <w:tabs>
          <w:tab w:pos="879" w:val="left" w:leader="none"/>
          <w:tab w:pos="880" w:val="left" w:leader="none"/>
        </w:tabs>
        <w:spacing w:line="249" w:lineRule="auto" w:before="0" w:after="0"/>
        <w:ind w:left="879" w:right="730" w:hanging="360"/>
        <w:jc w:val="left"/>
        <w:rPr>
          <w:sz w:val="22"/>
        </w:rPr>
      </w:pPr>
      <w:r>
        <w:rPr>
          <w:color w:val="010202"/>
          <w:sz w:val="22"/>
        </w:rPr>
        <w:t>Engage existing and potential clients in project</w:t>
      </w:r>
      <w:r>
        <w:rPr>
          <w:color w:val="010202"/>
          <w:spacing w:val="1"/>
          <w:sz w:val="22"/>
        </w:rPr>
        <w:t> </w:t>
      </w:r>
      <w:r>
        <w:rPr>
          <w:color w:val="010202"/>
          <w:sz w:val="22"/>
        </w:rPr>
        <w:t>planning, practice selection, and materials</w:t>
      </w:r>
      <w:r>
        <w:rPr>
          <w:color w:val="010202"/>
          <w:spacing w:val="1"/>
          <w:sz w:val="22"/>
        </w:rPr>
        <w:t> </w:t>
      </w:r>
      <w:r>
        <w:rPr>
          <w:color w:val="010202"/>
          <w:sz w:val="22"/>
        </w:rPr>
        <w:t>development. Members of the client community</w:t>
      </w:r>
      <w:r>
        <w:rPr>
          <w:color w:val="010202"/>
          <w:spacing w:val="1"/>
          <w:sz w:val="22"/>
        </w:rPr>
        <w:t> </w:t>
      </w:r>
      <w:r>
        <w:rPr>
          <w:color w:val="010202"/>
          <w:sz w:val="22"/>
        </w:rPr>
        <w:t>will have insight into ways to make programs</w:t>
      </w:r>
      <w:r>
        <w:rPr>
          <w:color w:val="010202"/>
          <w:spacing w:val="1"/>
          <w:sz w:val="22"/>
        </w:rPr>
        <w:t> </w:t>
      </w:r>
      <w:r>
        <w:rPr>
          <w:color w:val="010202"/>
          <w:sz w:val="22"/>
        </w:rPr>
        <w:t>culturally appropriate, reflecting a community’s</w:t>
      </w:r>
      <w:r>
        <w:rPr>
          <w:color w:val="010202"/>
          <w:spacing w:val="1"/>
          <w:sz w:val="22"/>
        </w:rPr>
        <w:t> </w:t>
      </w:r>
      <w:r>
        <w:rPr>
          <w:color w:val="010202"/>
          <w:sz w:val="22"/>
        </w:rPr>
        <w:t>preferred language, attitudes, beliefs, values, and</w:t>
      </w:r>
      <w:r>
        <w:rPr>
          <w:color w:val="010202"/>
          <w:spacing w:val="-52"/>
          <w:sz w:val="22"/>
        </w:rPr>
        <w:t> </w:t>
      </w:r>
      <w:r>
        <w:rPr>
          <w:color w:val="010202"/>
          <w:sz w:val="22"/>
        </w:rPr>
        <w:t>experiences.</w:t>
      </w:r>
    </w:p>
    <w:p>
      <w:pPr>
        <w:pStyle w:val="ListParagraph"/>
        <w:numPr>
          <w:ilvl w:val="0"/>
          <w:numId w:val="19"/>
        </w:numPr>
        <w:tabs>
          <w:tab w:pos="879" w:val="left" w:leader="none"/>
          <w:tab w:pos="880" w:val="left" w:leader="none"/>
        </w:tabs>
        <w:spacing w:line="249" w:lineRule="auto" w:before="0" w:after="0"/>
        <w:ind w:left="879" w:right="759" w:hanging="360"/>
        <w:jc w:val="left"/>
        <w:rPr>
          <w:sz w:val="22"/>
        </w:rPr>
      </w:pPr>
      <w:r>
        <w:rPr>
          <w:color w:val="010202"/>
          <w:spacing w:val="-4"/>
          <w:sz w:val="22"/>
        </w:rPr>
        <w:t>Assess and address staff and client </w:t>
      </w:r>
      <w:r>
        <w:rPr>
          <w:color w:val="010202"/>
          <w:spacing w:val="-3"/>
          <w:sz w:val="22"/>
        </w:rPr>
        <w:t>health</w:t>
      </w:r>
      <w:r>
        <w:rPr>
          <w:color w:val="010202"/>
          <w:spacing w:val="-2"/>
          <w:sz w:val="22"/>
        </w:rPr>
        <w:t> </w:t>
      </w:r>
      <w:r>
        <w:rPr>
          <w:color w:val="010202"/>
          <w:spacing w:val="-1"/>
          <w:w w:val="95"/>
          <w:sz w:val="22"/>
        </w:rPr>
        <w:t>literacy,</w:t>
      </w:r>
      <w:r>
        <w:rPr>
          <w:color w:val="010202"/>
          <w:spacing w:val="-1"/>
          <w:w w:val="95"/>
          <w:sz w:val="22"/>
          <w:vertAlign w:val="superscript"/>
        </w:rPr>
        <w:t>12-13</w:t>
      </w:r>
      <w:r>
        <w:rPr>
          <w:color w:val="010202"/>
          <w:spacing w:val="-8"/>
          <w:w w:val="95"/>
          <w:sz w:val="22"/>
          <w:vertAlign w:val="baseline"/>
        </w:rPr>
        <w:t> </w:t>
      </w:r>
      <w:r>
        <w:rPr>
          <w:color w:val="010202"/>
          <w:w w:val="95"/>
          <w:sz w:val="22"/>
          <w:vertAlign w:val="baseline"/>
        </w:rPr>
        <w:t>and</w:t>
      </w:r>
      <w:r>
        <w:rPr>
          <w:color w:val="010202"/>
          <w:spacing w:val="-10"/>
          <w:w w:val="95"/>
          <w:sz w:val="22"/>
          <w:vertAlign w:val="baseline"/>
        </w:rPr>
        <w:t> </w:t>
      </w:r>
      <w:r>
        <w:rPr>
          <w:color w:val="010202"/>
          <w:w w:val="95"/>
          <w:sz w:val="22"/>
          <w:vertAlign w:val="baseline"/>
        </w:rPr>
        <w:t>ensure</w:t>
      </w:r>
      <w:r>
        <w:rPr>
          <w:color w:val="010202"/>
          <w:spacing w:val="-9"/>
          <w:w w:val="95"/>
          <w:sz w:val="22"/>
          <w:vertAlign w:val="baseline"/>
        </w:rPr>
        <w:t> </w:t>
      </w:r>
      <w:r>
        <w:rPr>
          <w:color w:val="010202"/>
          <w:w w:val="95"/>
          <w:sz w:val="22"/>
          <w:vertAlign w:val="baseline"/>
        </w:rPr>
        <w:t>materials</w:t>
      </w:r>
      <w:r>
        <w:rPr>
          <w:color w:val="010202"/>
          <w:spacing w:val="-10"/>
          <w:w w:val="95"/>
          <w:sz w:val="22"/>
          <w:vertAlign w:val="baseline"/>
        </w:rPr>
        <w:t> </w:t>
      </w:r>
      <w:r>
        <w:rPr>
          <w:color w:val="010202"/>
          <w:w w:val="95"/>
          <w:sz w:val="22"/>
          <w:vertAlign w:val="baseline"/>
        </w:rPr>
        <w:t>meet</w:t>
      </w:r>
      <w:r>
        <w:rPr>
          <w:color w:val="010202"/>
          <w:spacing w:val="-9"/>
          <w:w w:val="95"/>
          <w:sz w:val="22"/>
          <w:vertAlign w:val="baseline"/>
        </w:rPr>
        <w:t> </w:t>
      </w:r>
      <w:r>
        <w:rPr>
          <w:color w:val="010202"/>
          <w:w w:val="95"/>
          <w:sz w:val="22"/>
          <w:vertAlign w:val="baseline"/>
        </w:rPr>
        <w:t>federal</w:t>
      </w:r>
      <w:r>
        <w:rPr>
          <w:color w:val="010202"/>
          <w:spacing w:val="-10"/>
          <w:w w:val="95"/>
          <w:sz w:val="22"/>
          <w:vertAlign w:val="baseline"/>
        </w:rPr>
        <w:t> </w:t>
      </w:r>
      <w:r>
        <w:rPr>
          <w:color w:val="010202"/>
          <w:w w:val="95"/>
          <w:sz w:val="22"/>
          <w:vertAlign w:val="baseline"/>
        </w:rPr>
        <w:t>plain</w:t>
      </w:r>
    </w:p>
    <w:p>
      <w:pPr>
        <w:pStyle w:val="BodyText"/>
        <w:spacing w:line="249" w:lineRule="auto"/>
        <w:ind w:left="879" w:right="709"/>
      </w:pPr>
      <w:r>
        <w:rPr>
          <w:color w:val="010202"/>
          <w:spacing w:val="-5"/>
        </w:rPr>
        <w:t>language and National </w:t>
      </w:r>
      <w:r>
        <w:rPr>
          <w:color w:val="010202"/>
          <w:spacing w:val="-4"/>
        </w:rPr>
        <w:t>Standards for Culturally and</w:t>
      </w:r>
      <w:r>
        <w:rPr>
          <w:color w:val="010202"/>
          <w:spacing w:val="-52"/>
        </w:rPr>
        <w:t> </w:t>
      </w:r>
      <w:r>
        <w:rPr>
          <w:color w:val="010202"/>
          <w:spacing w:val="-1"/>
          <w:w w:val="95"/>
        </w:rPr>
        <w:t>Linguistically</w:t>
      </w:r>
      <w:r>
        <w:rPr>
          <w:color w:val="010202"/>
          <w:spacing w:val="-17"/>
          <w:w w:val="95"/>
        </w:rPr>
        <w:t> </w:t>
      </w:r>
      <w:r>
        <w:rPr>
          <w:color w:val="010202"/>
          <w:spacing w:val="-1"/>
          <w:w w:val="95"/>
        </w:rPr>
        <w:t>Appropriate</w:t>
      </w:r>
      <w:r>
        <w:rPr>
          <w:color w:val="010202"/>
          <w:spacing w:val="-4"/>
          <w:w w:val="95"/>
        </w:rPr>
        <w:t> </w:t>
      </w:r>
      <w:r>
        <w:rPr>
          <w:color w:val="010202"/>
          <w:spacing w:val="-1"/>
          <w:w w:val="95"/>
        </w:rPr>
        <w:t>Services</w:t>
      </w:r>
      <w:r>
        <w:rPr>
          <w:color w:val="010202"/>
          <w:spacing w:val="-4"/>
          <w:w w:val="95"/>
        </w:rPr>
        <w:t> </w:t>
      </w:r>
      <w:r>
        <w:rPr>
          <w:color w:val="010202"/>
          <w:spacing w:val="-1"/>
          <w:w w:val="95"/>
        </w:rPr>
        <w:t>guidelines.</w:t>
      </w:r>
      <w:r>
        <w:rPr>
          <w:color w:val="010202"/>
          <w:spacing w:val="-1"/>
          <w:w w:val="95"/>
          <w:vertAlign w:val="superscript"/>
        </w:rPr>
        <w:t>14-15</w:t>
      </w:r>
    </w:p>
    <w:p>
      <w:pPr>
        <w:pStyle w:val="ListParagraph"/>
        <w:numPr>
          <w:ilvl w:val="0"/>
          <w:numId w:val="19"/>
        </w:numPr>
        <w:tabs>
          <w:tab w:pos="879" w:val="left" w:leader="none"/>
          <w:tab w:pos="880" w:val="left" w:leader="none"/>
        </w:tabs>
        <w:spacing w:line="256" w:lineRule="exact" w:before="0" w:after="0"/>
        <w:ind w:left="879" w:right="0" w:hanging="361"/>
        <w:jc w:val="left"/>
        <w:rPr>
          <w:sz w:val="22"/>
        </w:rPr>
      </w:pPr>
      <w:r>
        <w:rPr>
          <w:color w:val="010202"/>
          <w:spacing w:val="-1"/>
          <w:sz w:val="22"/>
        </w:rPr>
        <w:t>Adapt</w:t>
      </w:r>
      <w:r>
        <w:rPr>
          <w:color w:val="010202"/>
          <w:spacing w:val="-13"/>
          <w:sz w:val="22"/>
        </w:rPr>
        <w:t> </w:t>
      </w:r>
      <w:r>
        <w:rPr>
          <w:color w:val="010202"/>
          <w:spacing w:val="-1"/>
          <w:sz w:val="22"/>
        </w:rPr>
        <w:t>and</w:t>
      </w:r>
      <w:r>
        <w:rPr>
          <w:color w:val="010202"/>
          <w:spacing w:val="-12"/>
          <w:sz w:val="22"/>
        </w:rPr>
        <w:t> </w:t>
      </w:r>
      <w:r>
        <w:rPr>
          <w:color w:val="010202"/>
          <w:spacing w:val="-1"/>
          <w:sz w:val="22"/>
        </w:rPr>
        <w:t>tailor</w:t>
      </w:r>
      <w:r>
        <w:rPr>
          <w:color w:val="010202"/>
          <w:spacing w:val="-12"/>
          <w:sz w:val="22"/>
        </w:rPr>
        <w:t> </w:t>
      </w:r>
      <w:r>
        <w:rPr>
          <w:color w:val="010202"/>
          <w:spacing w:val="-1"/>
          <w:sz w:val="22"/>
        </w:rPr>
        <w:t>client</w:t>
      </w:r>
      <w:r>
        <w:rPr>
          <w:color w:val="010202"/>
          <w:spacing w:val="-12"/>
          <w:sz w:val="22"/>
        </w:rPr>
        <w:t> </w:t>
      </w:r>
      <w:r>
        <w:rPr>
          <w:color w:val="010202"/>
          <w:spacing w:val="-1"/>
          <w:sz w:val="22"/>
        </w:rPr>
        <w:t>care</w:t>
      </w:r>
      <w:r>
        <w:rPr>
          <w:color w:val="010202"/>
          <w:spacing w:val="-13"/>
          <w:sz w:val="22"/>
        </w:rPr>
        <w:t> </w:t>
      </w:r>
      <w:r>
        <w:rPr>
          <w:color w:val="010202"/>
          <w:sz w:val="22"/>
        </w:rPr>
        <w:t>plans</w:t>
      </w:r>
      <w:r>
        <w:rPr>
          <w:color w:val="010202"/>
          <w:spacing w:val="-12"/>
          <w:sz w:val="22"/>
        </w:rPr>
        <w:t> </w:t>
      </w:r>
      <w:r>
        <w:rPr>
          <w:color w:val="010202"/>
          <w:sz w:val="22"/>
        </w:rPr>
        <w:t>and</w:t>
      </w:r>
    </w:p>
    <w:p>
      <w:pPr>
        <w:pStyle w:val="BodyText"/>
        <w:spacing w:line="249" w:lineRule="auto"/>
        <w:ind w:left="879" w:right="733"/>
      </w:pPr>
      <w:r>
        <w:rPr>
          <w:color w:val="010202"/>
          <w:spacing w:val="-1"/>
        </w:rPr>
        <w:t>individualize </w:t>
      </w:r>
      <w:r>
        <w:rPr>
          <w:color w:val="010202"/>
        </w:rPr>
        <w:t>case management approaches to</w:t>
      </w:r>
      <w:r>
        <w:rPr>
          <w:color w:val="010202"/>
          <w:spacing w:val="1"/>
        </w:rPr>
        <w:t> </w:t>
      </w:r>
      <w:r>
        <w:rPr>
          <w:color w:val="010202"/>
          <w:spacing w:val="-1"/>
        </w:rPr>
        <w:t>meet</w:t>
      </w:r>
      <w:r>
        <w:rPr>
          <w:color w:val="010202"/>
          <w:spacing w:val="-13"/>
        </w:rPr>
        <w:t> </w:t>
      </w:r>
      <w:r>
        <w:rPr>
          <w:color w:val="010202"/>
          <w:spacing w:val="-1"/>
        </w:rPr>
        <w:t>the</w:t>
      </w:r>
      <w:r>
        <w:rPr>
          <w:color w:val="010202"/>
          <w:spacing w:val="-13"/>
        </w:rPr>
        <w:t> </w:t>
      </w:r>
      <w:r>
        <w:rPr>
          <w:color w:val="010202"/>
          <w:spacing w:val="-1"/>
        </w:rPr>
        <w:t>unique</w:t>
      </w:r>
      <w:r>
        <w:rPr>
          <w:color w:val="010202"/>
          <w:spacing w:val="-12"/>
        </w:rPr>
        <w:t> </w:t>
      </w:r>
      <w:r>
        <w:rPr>
          <w:color w:val="010202"/>
          <w:spacing w:val="-1"/>
        </w:rPr>
        <w:t>needs</w:t>
      </w:r>
      <w:r>
        <w:rPr>
          <w:color w:val="010202"/>
          <w:spacing w:val="-13"/>
        </w:rPr>
        <w:t> </w:t>
      </w:r>
      <w:r>
        <w:rPr>
          <w:color w:val="010202"/>
          <w:spacing w:val="-1"/>
        </w:rPr>
        <w:t>of</w:t>
      </w:r>
      <w:r>
        <w:rPr>
          <w:color w:val="010202"/>
          <w:spacing w:val="-12"/>
        </w:rPr>
        <w:t> </w:t>
      </w:r>
      <w:r>
        <w:rPr>
          <w:color w:val="010202"/>
          <w:spacing w:val="-1"/>
        </w:rPr>
        <w:t>the</w:t>
      </w:r>
      <w:r>
        <w:rPr>
          <w:color w:val="010202"/>
          <w:spacing w:val="-13"/>
        </w:rPr>
        <w:t> </w:t>
      </w:r>
      <w:r>
        <w:rPr>
          <w:color w:val="010202"/>
          <w:spacing w:val="-1"/>
        </w:rPr>
        <w:t>client.</w:t>
      </w:r>
      <w:r>
        <w:rPr>
          <w:color w:val="010202"/>
          <w:spacing w:val="-12"/>
        </w:rPr>
        <w:t> </w:t>
      </w:r>
      <w:r>
        <w:rPr>
          <w:color w:val="010202"/>
          <w:spacing w:val="-1"/>
        </w:rPr>
        <w:t>Effective</w:t>
      </w:r>
      <w:r>
        <w:rPr>
          <w:color w:val="010202"/>
          <w:spacing w:val="-13"/>
        </w:rPr>
        <w:t> </w:t>
      </w:r>
      <w:r>
        <w:rPr>
          <w:color w:val="010202"/>
          <w:spacing w:val="-1"/>
        </w:rPr>
        <w:t>case</w:t>
      </w:r>
      <w:r>
        <w:rPr>
          <w:color w:val="010202"/>
          <w:spacing w:val="-52"/>
        </w:rPr>
        <w:t> </w:t>
      </w:r>
      <w:r>
        <w:rPr>
          <w:color w:val="010202"/>
          <w:spacing w:val="-1"/>
        </w:rPr>
        <w:t>management is a client-driven process where </w:t>
      </w:r>
      <w:r>
        <w:rPr>
          <w:color w:val="010202"/>
        </w:rPr>
        <w:t>the</w:t>
      </w:r>
      <w:r>
        <w:rPr>
          <w:color w:val="010202"/>
          <w:spacing w:val="1"/>
        </w:rPr>
        <w:t> </w:t>
      </w:r>
      <w:r>
        <w:rPr>
          <w:color w:val="010202"/>
        </w:rPr>
        <w:t>case manager and client collaborate on a care</w:t>
      </w:r>
      <w:r>
        <w:rPr>
          <w:color w:val="010202"/>
          <w:spacing w:val="1"/>
        </w:rPr>
        <w:t> </w:t>
      </w:r>
      <w:r>
        <w:rPr>
          <w:color w:val="010202"/>
          <w:spacing w:val="-1"/>
        </w:rPr>
        <w:t>plan, including specific </w:t>
      </w:r>
      <w:r>
        <w:rPr>
          <w:color w:val="010202"/>
        </w:rPr>
        <w:t>goals for prevention or</w:t>
      </w:r>
      <w:r>
        <w:rPr>
          <w:color w:val="010202"/>
          <w:spacing w:val="1"/>
        </w:rPr>
        <w:t> </w:t>
      </w:r>
      <w:r>
        <w:rPr>
          <w:color w:val="010202"/>
          <w:spacing w:val="-1"/>
        </w:rPr>
        <w:t>treatment, and then continue </w:t>
      </w:r>
      <w:r>
        <w:rPr>
          <w:color w:val="010202"/>
        </w:rPr>
        <w:t>to communicate to</w:t>
      </w:r>
      <w:r>
        <w:rPr>
          <w:color w:val="010202"/>
          <w:spacing w:val="1"/>
        </w:rPr>
        <w:t> </w:t>
      </w:r>
      <w:r>
        <w:rPr>
          <w:color w:val="010202"/>
        </w:rPr>
        <w:t>ensure</w:t>
      </w:r>
      <w:r>
        <w:rPr>
          <w:color w:val="010202"/>
          <w:spacing w:val="-10"/>
        </w:rPr>
        <w:t> </w:t>
      </w:r>
      <w:r>
        <w:rPr>
          <w:color w:val="010202"/>
        </w:rPr>
        <w:t>the</w:t>
      </w:r>
      <w:r>
        <w:rPr>
          <w:color w:val="010202"/>
          <w:spacing w:val="-10"/>
        </w:rPr>
        <w:t> </w:t>
      </w:r>
      <w:r>
        <w:rPr>
          <w:color w:val="010202"/>
        </w:rPr>
        <w:t>client</w:t>
      </w:r>
      <w:r>
        <w:rPr>
          <w:color w:val="010202"/>
          <w:spacing w:val="-10"/>
        </w:rPr>
        <w:t> </w:t>
      </w:r>
      <w:r>
        <w:rPr>
          <w:color w:val="010202"/>
        </w:rPr>
        <w:t>is</w:t>
      </w:r>
      <w:r>
        <w:rPr>
          <w:color w:val="010202"/>
          <w:spacing w:val="-9"/>
        </w:rPr>
        <w:t> </w:t>
      </w:r>
      <w:r>
        <w:rPr>
          <w:color w:val="010202"/>
        </w:rPr>
        <w:t>able</w:t>
      </w:r>
      <w:r>
        <w:rPr>
          <w:color w:val="010202"/>
          <w:spacing w:val="-10"/>
        </w:rPr>
        <w:t> </w:t>
      </w:r>
      <w:r>
        <w:rPr>
          <w:color w:val="010202"/>
        </w:rPr>
        <w:t>to</w:t>
      </w:r>
      <w:r>
        <w:rPr>
          <w:color w:val="010202"/>
          <w:spacing w:val="-10"/>
        </w:rPr>
        <w:t> </w:t>
      </w:r>
      <w:r>
        <w:rPr>
          <w:color w:val="010202"/>
        </w:rPr>
        <w:t>reach</w:t>
      </w:r>
      <w:r>
        <w:rPr>
          <w:color w:val="010202"/>
          <w:spacing w:val="-10"/>
        </w:rPr>
        <w:t> </w:t>
      </w:r>
      <w:r>
        <w:rPr>
          <w:color w:val="010202"/>
        </w:rPr>
        <w:t>their</w:t>
      </w:r>
      <w:r>
        <w:rPr>
          <w:color w:val="010202"/>
          <w:spacing w:val="-9"/>
        </w:rPr>
        <w:t> </w:t>
      </w:r>
      <w:r>
        <w:rPr>
          <w:color w:val="010202"/>
        </w:rPr>
        <w:t>goals.</w:t>
      </w:r>
    </w:p>
    <w:p>
      <w:pPr>
        <w:spacing w:after="0" w:line="249" w:lineRule="auto"/>
        <w:sectPr>
          <w:type w:val="continuous"/>
          <w:pgSz w:w="12240" w:h="15840"/>
          <w:pgMar w:header="0" w:footer="666" w:top="1500" w:bottom="0" w:left="560" w:right="0"/>
          <w:cols w:num="2" w:equalWidth="0">
            <w:col w:w="5242" w:space="518"/>
            <w:col w:w="5920"/>
          </w:cols>
        </w:sectPr>
      </w:pPr>
    </w:p>
    <w:p>
      <w:pPr>
        <w:pStyle w:val="BodyText"/>
        <w:rPr>
          <w:sz w:val="20"/>
        </w:rPr>
      </w:pPr>
    </w:p>
    <w:p>
      <w:pPr>
        <w:pStyle w:val="BodyText"/>
        <w:rPr>
          <w:sz w:val="20"/>
        </w:rPr>
      </w:pPr>
    </w:p>
    <w:p>
      <w:pPr>
        <w:pStyle w:val="BodyText"/>
        <w:spacing w:before="6"/>
        <w:rPr>
          <w:sz w:val="20"/>
        </w:rPr>
      </w:pPr>
    </w:p>
    <w:p>
      <w:pPr>
        <w:pStyle w:val="BodyText"/>
        <w:ind w:left="644"/>
        <w:rPr>
          <w:sz w:val="20"/>
        </w:rPr>
      </w:pPr>
      <w:r>
        <w:rPr>
          <w:sz w:val="20"/>
        </w:rPr>
        <w:drawing>
          <wp:inline distT="0" distB="0" distL="0" distR="0">
            <wp:extent cx="6245351" cy="4212336"/>
            <wp:effectExtent l="0" t="0" r="0" b="0"/>
            <wp:docPr id="71" name="image25.jpeg" descr=" This graphic depicts an 8-row vertical table, which each row beginning with a letter spelling out the acronym ADAPT-ITT.Ž The first row is titled AssessmentŽ and text next to the title reads Conduct an assessment to understand the population of interest and organization-level capacity to implement the intervention.Ž The second row is titled DecisionŽ and the text reads Select the intervention.Ž The third row is titled AdaptationŽ and the text reads Pre-test the intervention with the population of interest.Ž The fourth row is titled ProductionŽ and the text reads Produce a revised draft of the intervention guide maintaining fidelity to the core elements, behavioral theory, and internal logic of the initial intervention.Ž The fifth row is titled Topical ExpertsŽ and the text reads Engage subject-matter experts in a review of the intervention guide produced in Production step.Ž The sixth row is titled IntegrationŽ and the text reads Integrate feedback from the Topical Experts and Production steps, and produce a second draft.Ž The seventh row is titled TrainŽ and the text reads Train facilitators, recruiters and retention staff, interviewers, and data management staff to ensure consistent implementation and data collection efforts.Ž The eighth and final box is titled TestŽ and the text reads, Pilot test the intervention and integrate findings into a third draft. Conduct a second pilot test to determine if the intervention will be effective in the organizations service delivery area and with the population of interest.Ž  "/>
            <wp:cNvGraphicFramePr>
              <a:graphicFrameLocks noChangeAspect="1"/>
            </wp:cNvGraphicFramePr>
            <a:graphic>
              <a:graphicData uri="http://schemas.openxmlformats.org/drawingml/2006/picture">
                <pic:pic>
                  <pic:nvPicPr>
                    <pic:cNvPr id="72" name="image25.jpeg"/>
                    <pic:cNvPicPr/>
                  </pic:nvPicPr>
                  <pic:blipFill>
                    <a:blip r:embed="rId232" cstate="print"/>
                    <a:stretch>
                      <a:fillRect/>
                    </a:stretch>
                  </pic:blipFill>
                  <pic:spPr>
                    <a:xfrm>
                      <a:off x="0" y="0"/>
                      <a:ext cx="6245351" cy="4212336"/>
                    </a:xfrm>
                    <a:prstGeom prst="rect">
                      <a:avLst/>
                    </a:prstGeom>
                  </pic:spPr>
                </pic:pic>
              </a:graphicData>
            </a:graphic>
          </wp:inline>
        </w:drawing>
      </w:r>
      <w:r>
        <w:rPr>
          <w:sz w:val="20"/>
        </w:rPr>
      </w:r>
    </w:p>
    <w:p>
      <w:pPr>
        <w:pStyle w:val="BodyText"/>
        <w:spacing w:before="6"/>
        <w:rPr>
          <w:sz w:val="26"/>
        </w:rPr>
      </w:pPr>
    </w:p>
    <w:p>
      <w:pPr>
        <w:spacing w:after="0"/>
        <w:rPr>
          <w:sz w:val="26"/>
        </w:rPr>
        <w:sectPr>
          <w:pgSz w:w="12240" w:h="15840"/>
          <w:pgMar w:header="0" w:footer="666" w:top="380" w:bottom="860" w:left="560" w:right="0"/>
        </w:sectPr>
      </w:pPr>
    </w:p>
    <w:p>
      <w:pPr>
        <w:pStyle w:val="BodyText"/>
        <w:spacing w:before="1" w:after="1"/>
        <w:rPr>
          <w:sz w:val="13"/>
        </w:rPr>
      </w:pPr>
    </w:p>
    <w:p>
      <w:pPr>
        <w:pStyle w:val="BodyText"/>
        <w:ind w:left="160"/>
        <w:rPr>
          <w:sz w:val="20"/>
        </w:rPr>
      </w:pPr>
      <w:r>
        <w:rPr>
          <w:sz w:val="20"/>
        </w:rPr>
        <w:drawing>
          <wp:inline distT="0" distB="0" distL="0" distR="0">
            <wp:extent cx="2733342" cy="595122"/>
            <wp:effectExtent l="0" t="0" r="0" b="0"/>
            <wp:docPr id="73" name="image26.jpeg"/>
            <wp:cNvGraphicFramePr>
              <a:graphicFrameLocks noChangeAspect="1"/>
            </wp:cNvGraphicFramePr>
            <a:graphic>
              <a:graphicData uri="http://schemas.openxmlformats.org/drawingml/2006/picture">
                <pic:pic>
                  <pic:nvPicPr>
                    <pic:cNvPr id="74" name="image26.jpeg"/>
                    <pic:cNvPicPr/>
                  </pic:nvPicPr>
                  <pic:blipFill>
                    <a:blip r:embed="rId233" cstate="print"/>
                    <a:stretch>
                      <a:fillRect/>
                    </a:stretch>
                  </pic:blipFill>
                  <pic:spPr>
                    <a:xfrm>
                      <a:off x="0" y="0"/>
                      <a:ext cx="2733342" cy="595122"/>
                    </a:xfrm>
                    <a:prstGeom prst="rect">
                      <a:avLst/>
                    </a:prstGeom>
                  </pic:spPr>
                </pic:pic>
              </a:graphicData>
            </a:graphic>
          </wp:inline>
        </w:drawing>
      </w:r>
      <w:r>
        <w:rPr>
          <w:sz w:val="20"/>
        </w:rPr>
      </w:r>
    </w:p>
    <w:p>
      <w:pPr>
        <w:pStyle w:val="Heading3"/>
        <w:spacing w:before="71"/>
      </w:pPr>
      <w:r>
        <w:rPr/>
        <w:pict>
          <v:shape style="position:absolute;margin-left:84.622002pt;margin-top:-31.019876pt;width:125.75pt;height:16.2pt;mso-position-horizontal-relative:page;mso-position-vertical-relative:paragraph;z-index:-18132480" type="#_x0000_t202" id="docshape130" filled="false" stroked="false">
            <v:textbox inset="0,0,0,0">
              <w:txbxContent>
                <w:p>
                  <w:pPr>
                    <w:spacing w:line="309" w:lineRule="exact" w:before="0"/>
                    <w:ind w:left="0" w:right="0" w:firstLine="0"/>
                    <w:jc w:val="left"/>
                    <w:rPr>
                      <w:rFonts w:ascii="Palatino Linotype"/>
                      <w:sz w:val="24"/>
                    </w:rPr>
                  </w:pPr>
                  <w:r>
                    <w:rPr>
                      <w:rFonts w:ascii="Palatino Linotype"/>
                      <w:w w:val="90"/>
                      <w:sz w:val="24"/>
                    </w:rPr>
                    <w:t>COORDINATING</w:t>
                  </w:r>
                  <w:r>
                    <w:rPr>
                      <w:rFonts w:ascii="Palatino Linotype"/>
                      <w:spacing w:val="50"/>
                      <w:w w:val="90"/>
                      <w:sz w:val="24"/>
                    </w:rPr>
                    <w:t> </w:t>
                  </w:r>
                  <w:r>
                    <w:rPr>
                      <w:rFonts w:ascii="Palatino Linotype"/>
                      <w:w w:val="90"/>
                      <w:sz w:val="24"/>
                    </w:rPr>
                    <w:t>CARE</w:t>
                  </w:r>
                </w:p>
              </w:txbxContent>
            </v:textbox>
            <w10:wrap type="none"/>
          </v:shape>
        </w:pict>
      </w:r>
      <w:bookmarkStart w:name="COORDINATING CARE" w:id="87"/>
      <w:bookmarkEnd w:id="87"/>
      <w:r>
        <w:rPr>
          <w:b w:val="0"/>
        </w:rPr>
      </w:r>
      <w:bookmarkStart w:name="Challenge" w:id="88"/>
      <w:bookmarkEnd w:id="88"/>
      <w:r>
        <w:rPr>
          <w:b w:val="0"/>
        </w:rPr>
      </w:r>
      <w:bookmarkStart w:name="Strategies" w:id="89"/>
      <w:bookmarkEnd w:id="89"/>
      <w:r>
        <w:rPr>
          <w:b w:val="0"/>
        </w:rPr>
      </w:r>
      <w:r>
        <w:rPr>
          <w:color w:val="231F20"/>
        </w:rPr>
        <w:t>Challenge</w:t>
      </w:r>
    </w:p>
    <w:p>
      <w:pPr>
        <w:pStyle w:val="BodyText"/>
        <w:spacing w:line="266" w:lineRule="auto" w:before="223"/>
        <w:ind w:left="160" w:right="29"/>
      </w:pPr>
      <w:r>
        <w:rPr>
          <w:color w:val="231F20"/>
          <w:spacing w:val="-1"/>
        </w:rPr>
        <w:t>People</w:t>
      </w:r>
      <w:r>
        <w:rPr>
          <w:color w:val="231F20"/>
          <w:spacing w:val="-10"/>
        </w:rPr>
        <w:t> </w:t>
      </w:r>
      <w:r>
        <w:rPr>
          <w:color w:val="231F20"/>
          <w:spacing w:val="-1"/>
        </w:rPr>
        <w:t>at</w:t>
      </w:r>
      <w:r>
        <w:rPr>
          <w:color w:val="231F20"/>
          <w:spacing w:val="-9"/>
        </w:rPr>
        <w:t> </w:t>
      </w:r>
      <w:r>
        <w:rPr>
          <w:color w:val="231F20"/>
          <w:spacing w:val="-1"/>
        </w:rPr>
        <w:t>risk</w:t>
      </w:r>
      <w:r>
        <w:rPr>
          <w:color w:val="231F20"/>
          <w:spacing w:val="-9"/>
        </w:rPr>
        <w:t> </w:t>
      </w:r>
      <w:r>
        <w:rPr>
          <w:color w:val="231F20"/>
          <w:spacing w:val="-1"/>
        </w:rPr>
        <w:t>for</w:t>
      </w:r>
      <w:r>
        <w:rPr>
          <w:color w:val="231F20"/>
          <w:spacing w:val="-9"/>
        </w:rPr>
        <w:t> </w:t>
      </w:r>
      <w:r>
        <w:rPr>
          <w:color w:val="231F20"/>
          <w:spacing w:val="-1"/>
        </w:rPr>
        <w:t>or</w:t>
      </w:r>
      <w:r>
        <w:rPr>
          <w:color w:val="231F20"/>
          <w:spacing w:val="-9"/>
        </w:rPr>
        <w:t> </w:t>
      </w:r>
      <w:r>
        <w:rPr>
          <w:color w:val="231F20"/>
          <w:spacing w:val="-1"/>
        </w:rPr>
        <w:t>with</w:t>
      </w:r>
      <w:r>
        <w:rPr>
          <w:color w:val="231F20"/>
          <w:spacing w:val="-10"/>
        </w:rPr>
        <w:t> </w:t>
      </w:r>
      <w:r>
        <w:rPr>
          <w:color w:val="231F20"/>
          <w:spacing w:val="-1"/>
        </w:rPr>
        <w:t>HIV</w:t>
      </w:r>
      <w:r>
        <w:rPr>
          <w:color w:val="231F20"/>
          <w:spacing w:val="-13"/>
        </w:rPr>
        <w:t> </w:t>
      </w:r>
      <w:r>
        <w:rPr>
          <w:color w:val="231F20"/>
          <w:spacing w:val="-1"/>
        </w:rPr>
        <w:t>who</w:t>
      </w:r>
      <w:r>
        <w:rPr>
          <w:color w:val="231F20"/>
          <w:spacing w:val="-10"/>
        </w:rPr>
        <w:t> </w:t>
      </w:r>
      <w:r>
        <w:rPr>
          <w:color w:val="231F20"/>
          <w:spacing w:val="-1"/>
        </w:rPr>
        <w:t>also</w:t>
      </w:r>
      <w:r>
        <w:rPr>
          <w:color w:val="231F20"/>
          <w:spacing w:val="-9"/>
        </w:rPr>
        <w:t> </w:t>
      </w:r>
      <w:r>
        <w:rPr>
          <w:color w:val="231F20"/>
          <w:spacing w:val="-1"/>
        </w:rPr>
        <w:t>have</w:t>
      </w:r>
      <w:r>
        <w:rPr>
          <w:color w:val="231F20"/>
          <w:spacing w:val="-9"/>
        </w:rPr>
        <w:t> </w:t>
      </w:r>
      <w:r>
        <w:rPr>
          <w:color w:val="231F20"/>
        </w:rPr>
        <w:t>co-occurring</w:t>
      </w:r>
      <w:r>
        <w:rPr>
          <w:color w:val="231F20"/>
          <w:spacing w:val="-52"/>
        </w:rPr>
        <w:t> </w:t>
      </w:r>
      <w:r>
        <w:rPr>
          <w:color w:val="231F20"/>
        </w:rPr>
        <w:t>mental illness and/or SUD experience complex medical</w:t>
      </w:r>
      <w:r>
        <w:rPr>
          <w:color w:val="231F20"/>
          <w:spacing w:val="1"/>
        </w:rPr>
        <w:t> </w:t>
      </w:r>
      <w:r>
        <w:rPr>
          <w:color w:val="231F20"/>
        </w:rPr>
        <w:t>comorbidities. Fragmented behavioral health and HIV</w:t>
      </w:r>
      <w:r>
        <w:rPr>
          <w:color w:val="231F20"/>
          <w:spacing w:val="1"/>
        </w:rPr>
        <w:t> </w:t>
      </w:r>
      <w:r>
        <w:rPr>
          <w:color w:val="231F20"/>
          <w:spacing w:val="-1"/>
        </w:rPr>
        <w:t>primary care services make it difficult </w:t>
      </w:r>
      <w:r>
        <w:rPr>
          <w:color w:val="231F20"/>
        </w:rPr>
        <w:t>for practitioners to</w:t>
      </w:r>
      <w:r>
        <w:rPr>
          <w:color w:val="231F20"/>
          <w:spacing w:val="-52"/>
        </w:rPr>
        <w:t> </w:t>
      </w:r>
      <w:r>
        <w:rPr>
          <w:color w:val="231F20"/>
          <w:spacing w:val="-1"/>
        </w:rPr>
        <w:t>communicate</w:t>
      </w:r>
      <w:r>
        <w:rPr>
          <w:color w:val="231F20"/>
          <w:spacing w:val="-12"/>
        </w:rPr>
        <w:t> </w:t>
      </w:r>
      <w:r>
        <w:rPr>
          <w:color w:val="231F20"/>
          <w:spacing w:val="-1"/>
        </w:rPr>
        <w:t>with</w:t>
      </w:r>
      <w:r>
        <w:rPr>
          <w:color w:val="231F20"/>
          <w:spacing w:val="-13"/>
        </w:rPr>
        <w:t> </w:t>
      </w:r>
      <w:r>
        <w:rPr>
          <w:color w:val="231F20"/>
          <w:spacing w:val="-1"/>
        </w:rPr>
        <w:t>each</w:t>
      </w:r>
      <w:r>
        <w:rPr>
          <w:color w:val="231F20"/>
          <w:spacing w:val="-12"/>
        </w:rPr>
        <w:t> </w:t>
      </w:r>
      <w:r>
        <w:rPr>
          <w:color w:val="231F20"/>
          <w:spacing w:val="-1"/>
        </w:rPr>
        <w:t>other</w:t>
      </w:r>
      <w:r>
        <w:rPr>
          <w:color w:val="231F20"/>
          <w:spacing w:val="-12"/>
        </w:rPr>
        <w:t> </w:t>
      </w:r>
      <w:r>
        <w:rPr>
          <w:color w:val="231F20"/>
          <w:spacing w:val="-1"/>
        </w:rPr>
        <w:t>and</w:t>
      </w:r>
      <w:r>
        <w:rPr>
          <w:color w:val="231F20"/>
          <w:spacing w:val="-11"/>
        </w:rPr>
        <w:t> </w:t>
      </w:r>
      <w:r>
        <w:rPr>
          <w:color w:val="231F20"/>
          <w:spacing w:val="-1"/>
        </w:rPr>
        <w:t>their</w:t>
      </w:r>
      <w:r>
        <w:rPr>
          <w:color w:val="231F20"/>
          <w:spacing w:val="-12"/>
        </w:rPr>
        <w:t> </w:t>
      </w:r>
      <w:r>
        <w:rPr>
          <w:color w:val="231F20"/>
        </w:rPr>
        <w:t>clients,</w:t>
      </w:r>
      <w:r>
        <w:rPr>
          <w:color w:val="231F20"/>
          <w:spacing w:val="-12"/>
        </w:rPr>
        <w:t> </w:t>
      </w:r>
      <w:r>
        <w:rPr>
          <w:color w:val="231F20"/>
        </w:rPr>
        <w:t>potentially</w:t>
      </w:r>
      <w:r>
        <w:rPr>
          <w:color w:val="231F20"/>
          <w:spacing w:val="-52"/>
        </w:rPr>
        <w:t> </w:t>
      </w:r>
      <w:r>
        <w:rPr>
          <w:color w:val="231F20"/>
        </w:rPr>
        <w:t>leading to poor HIV and mental illness and/or SUD</w:t>
      </w:r>
      <w:r>
        <w:rPr>
          <w:color w:val="231F20"/>
          <w:spacing w:val="1"/>
        </w:rPr>
        <w:t> </w:t>
      </w:r>
      <w:r>
        <w:rPr>
          <w:color w:val="231F20"/>
        </w:rPr>
        <w:t>outcomes.</w:t>
      </w:r>
      <w:r>
        <w:rPr>
          <w:color w:val="231F20"/>
          <w:vertAlign w:val="superscript"/>
        </w:rPr>
        <w:t>16</w:t>
      </w:r>
    </w:p>
    <w:p>
      <w:pPr>
        <w:pStyle w:val="BodyText"/>
        <w:spacing w:line="266" w:lineRule="auto" w:before="174"/>
        <w:ind w:left="160" w:right="420"/>
      </w:pPr>
      <w:r>
        <w:rPr>
          <w:color w:val="231F20"/>
        </w:rPr>
        <w:t>Moreover, fragmented care systems place a burden</w:t>
      </w:r>
      <w:r>
        <w:rPr>
          <w:color w:val="231F20"/>
          <w:spacing w:val="1"/>
        </w:rPr>
        <w:t> </w:t>
      </w:r>
      <w:r>
        <w:rPr>
          <w:color w:val="231F20"/>
        </w:rPr>
        <w:t>on</w:t>
      </w:r>
      <w:r>
        <w:rPr>
          <w:color w:val="231F20"/>
          <w:spacing w:val="-14"/>
        </w:rPr>
        <w:t> </w:t>
      </w:r>
      <w:r>
        <w:rPr>
          <w:color w:val="231F20"/>
        </w:rPr>
        <w:t>the</w:t>
      </w:r>
      <w:r>
        <w:rPr>
          <w:color w:val="231F20"/>
          <w:spacing w:val="-13"/>
        </w:rPr>
        <w:t> </w:t>
      </w:r>
      <w:r>
        <w:rPr>
          <w:color w:val="231F20"/>
        </w:rPr>
        <w:t>clients</w:t>
      </w:r>
      <w:r>
        <w:rPr>
          <w:color w:val="231F20"/>
          <w:spacing w:val="-13"/>
        </w:rPr>
        <w:t> </w:t>
      </w:r>
      <w:r>
        <w:rPr>
          <w:color w:val="231F20"/>
        </w:rPr>
        <w:t>as</w:t>
      </w:r>
      <w:r>
        <w:rPr>
          <w:color w:val="231F20"/>
          <w:spacing w:val="-13"/>
        </w:rPr>
        <w:t> </w:t>
      </w:r>
      <w:r>
        <w:rPr>
          <w:color w:val="231F20"/>
        </w:rPr>
        <w:t>they</w:t>
      </w:r>
      <w:r>
        <w:rPr>
          <w:color w:val="231F20"/>
          <w:spacing w:val="-14"/>
        </w:rPr>
        <w:t> </w:t>
      </w:r>
      <w:r>
        <w:rPr>
          <w:color w:val="231F20"/>
        </w:rPr>
        <w:t>become</w:t>
      </w:r>
      <w:r>
        <w:rPr>
          <w:color w:val="231F20"/>
          <w:spacing w:val="-13"/>
        </w:rPr>
        <w:t> </w:t>
      </w:r>
      <w:r>
        <w:rPr>
          <w:color w:val="231F20"/>
        </w:rPr>
        <w:t>the</w:t>
      </w:r>
      <w:r>
        <w:rPr>
          <w:color w:val="231F20"/>
          <w:spacing w:val="-13"/>
        </w:rPr>
        <w:t> </w:t>
      </w:r>
      <w:r>
        <w:rPr>
          <w:color w:val="231F20"/>
        </w:rPr>
        <w:t>ones</w:t>
      </w:r>
      <w:r>
        <w:rPr>
          <w:color w:val="231F20"/>
          <w:spacing w:val="-13"/>
        </w:rPr>
        <w:t> </w:t>
      </w:r>
      <w:r>
        <w:rPr>
          <w:color w:val="231F20"/>
        </w:rPr>
        <w:t>responsible</w:t>
      </w:r>
      <w:r>
        <w:rPr>
          <w:color w:val="231F20"/>
          <w:spacing w:val="-14"/>
        </w:rPr>
        <w:t> </w:t>
      </w:r>
      <w:r>
        <w:rPr>
          <w:color w:val="231F20"/>
        </w:rPr>
        <w:t>for</w:t>
      </w:r>
    </w:p>
    <w:p>
      <w:pPr>
        <w:pStyle w:val="BodyText"/>
        <w:spacing w:line="266" w:lineRule="auto"/>
        <w:ind w:left="160" w:right="263"/>
      </w:pPr>
      <w:r>
        <w:rPr>
          <w:color w:val="231F20"/>
          <w:spacing w:val="-2"/>
        </w:rPr>
        <w:t>communicating</w:t>
      </w:r>
      <w:r>
        <w:rPr>
          <w:color w:val="231F20"/>
          <w:spacing w:val="-11"/>
        </w:rPr>
        <w:t> </w:t>
      </w:r>
      <w:r>
        <w:rPr>
          <w:color w:val="231F20"/>
          <w:spacing w:val="-1"/>
        </w:rPr>
        <w:t>sometimes</w:t>
      </w:r>
      <w:r>
        <w:rPr>
          <w:color w:val="231F20"/>
          <w:spacing w:val="-12"/>
        </w:rPr>
        <w:t> </w:t>
      </w:r>
      <w:r>
        <w:rPr>
          <w:color w:val="231F20"/>
          <w:spacing w:val="-1"/>
        </w:rPr>
        <w:t>complex</w:t>
      </w:r>
      <w:r>
        <w:rPr>
          <w:color w:val="231F20"/>
          <w:spacing w:val="-11"/>
        </w:rPr>
        <w:t> </w:t>
      </w:r>
      <w:r>
        <w:rPr>
          <w:color w:val="231F20"/>
          <w:spacing w:val="-1"/>
        </w:rPr>
        <w:t>health</w:t>
      </w:r>
      <w:r>
        <w:rPr>
          <w:color w:val="231F20"/>
          <w:spacing w:val="-11"/>
        </w:rPr>
        <w:t> </w:t>
      </w:r>
      <w:r>
        <w:rPr>
          <w:color w:val="231F20"/>
          <w:spacing w:val="-1"/>
        </w:rPr>
        <w:t>information</w:t>
      </w:r>
      <w:r>
        <w:rPr>
          <w:color w:val="231F20"/>
          <w:spacing w:val="-52"/>
        </w:rPr>
        <w:t> </w:t>
      </w:r>
      <w:r>
        <w:rPr>
          <w:color w:val="231F20"/>
          <w:spacing w:val="-2"/>
        </w:rPr>
        <w:t>among practitioners. Ancillary needs (e.g., housing,</w:t>
      </w:r>
      <w:r>
        <w:rPr>
          <w:color w:val="231F20"/>
          <w:spacing w:val="-1"/>
        </w:rPr>
        <w:t> </w:t>
      </w:r>
      <w:r>
        <w:rPr>
          <w:color w:val="231F20"/>
          <w:spacing w:val="-2"/>
        </w:rPr>
        <w:t>childcare,</w:t>
      </w:r>
      <w:r>
        <w:rPr>
          <w:color w:val="231F20"/>
          <w:spacing w:val="-12"/>
        </w:rPr>
        <w:t> </w:t>
      </w:r>
      <w:r>
        <w:rPr>
          <w:color w:val="231F20"/>
          <w:spacing w:val="-2"/>
        </w:rPr>
        <w:t>transportation,</w:t>
      </w:r>
      <w:r>
        <w:rPr>
          <w:color w:val="231F20"/>
          <w:spacing w:val="-11"/>
        </w:rPr>
        <w:t> </w:t>
      </w:r>
      <w:r>
        <w:rPr>
          <w:color w:val="231F20"/>
          <w:spacing w:val="-2"/>
        </w:rPr>
        <w:t>food</w:t>
      </w:r>
      <w:r>
        <w:rPr>
          <w:color w:val="231F20"/>
          <w:spacing w:val="-11"/>
        </w:rPr>
        <w:t> </w:t>
      </w:r>
      <w:r>
        <w:rPr>
          <w:color w:val="231F20"/>
          <w:spacing w:val="-2"/>
        </w:rPr>
        <w:t>insecurity,</w:t>
      </w:r>
      <w:r>
        <w:rPr>
          <w:color w:val="231F20"/>
          <w:spacing w:val="-12"/>
        </w:rPr>
        <w:t> </w:t>
      </w:r>
      <w:r>
        <w:rPr>
          <w:color w:val="231F20"/>
          <w:spacing w:val="-1"/>
        </w:rPr>
        <w:t>employment),</w:t>
      </w:r>
      <w:r>
        <w:rPr>
          <w:color w:val="231F20"/>
          <w:spacing w:val="-52"/>
        </w:rPr>
        <w:t> </w:t>
      </w:r>
      <w:r>
        <w:rPr>
          <w:color w:val="231F20"/>
        </w:rPr>
        <w:t>which are critical to clients seeking or engaging in</w:t>
      </w:r>
      <w:r>
        <w:rPr>
          <w:color w:val="231F20"/>
          <w:spacing w:val="1"/>
        </w:rPr>
        <w:t> </w:t>
      </w:r>
      <w:r>
        <w:rPr>
          <w:color w:val="231F20"/>
        </w:rPr>
        <w:t>care, may also be difficult to address in a fragmented</w:t>
      </w:r>
      <w:r>
        <w:rPr>
          <w:color w:val="231F20"/>
          <w:spacing w:val="1"/>
        </w:rPr>
        <w:t> </w:t>
      </w:r>
      <w:r>
        <w:rPr>
          <w:color w:val="231F20"/>
        </w:rPr>
        <w:t>system.</w:t>
      </w:r>
      <w:r>
        <w:rPr>
          <w:color w:val="231F20"/>
          <w:vertAlign w:val="superscript"/>
        </w:rPr>
        <w:t>17-20</w:t>
      </w:r>
    </w:p>
    <w:p>
      <w:pPr>
        <w:pStyle w:val="Heading3"/>
      </w:pPr>
      <w:r>
        <w:rPr>
          <w:b w:val="0"/>
        </w:rPr>
        <w:br w:type="column"/>
      </w:r>
      <w:r>
        <w:rPr>
          <w:color w:val="231F20"/>
        </w:rPr>
        <w:t>Strategies</w:t>
      </w:r>
    </w:p>
    <w:p>
      <w:pPr>
        <w:pStyle w:val="BodyText"/>
        <w:spacing w:line="266" w:lineRule="auto" w:before="222"/>
        <w:ind w:left="160" w:right="855"/>
      </w:pPr>
      <w:r>
        <w:rPr>
          <w:color w:val="231F20"/>
          <w:spacing w:val="-2"/>
        </w:rPr>
        <w:t>Effectively</w:t>
      </w:r>
      <w:r>
        <w:rPr>
          <w:color w:val="231F20"/>
          <w:spacing w:val="-12"/>
        </w:rPr>
        <w:t> </w:t>
      </w:r>
      <w:r>
        <w:rPr>
          <w:color w:val="231F20"/>
          <w:spacing w:val="-2"/>
        </w:rPr>
        <w:t>addressing</w:t>
      </w:r>
      <w:r>
        <w:rPr>
          <w:color w:val="231F20"/>
          <w:spacing w:val="-11"/>
        </w:rPr>
        <w:t> </w:t>
      </w:r>
      <w:r>
        <w:rPr>
          <w:color w:val="231F20"/>
          <w:spacing w:val="-1"/>
        </w:rPr>
        <w:t>these</w:t>
      </w:r>
      <w:r>
        <w:rPr>
          <w:color w:val="231F20"/>
          <w:spacing w:val="-11"/>
        </w:rPr>
        <w:t> </w:t>
      </w:r>
      <w:r>
        <w:rPr>
          <w:color w:val="231F20"/>
          <w:spacing w:val="-1"/>
        </w:rPr>
        <w:t>interrelated</w:t>
      </w:r>
      <w:r>
        <w:rPr>
          <w:color w:val="231F20"/>
          <w:spacing w:val="-12"/>
        </w:rPr>
        <w:t> </w:t>
      </w:r>
      <w:r>
        <w:rPr>
          <w:color w:val="231F20"/>
          <w:spacing w:val="-1"/>
        </w:rPr>
        <w:t>conditions</w:t>
      </w:r>
      <w:r>
        <w:rPr>
          <w:color w:val="231F20"/>
          <w:spacing w:val="-11"/>
        </w:rPr>
        <w:t> </w:t>
      </w:r>
      <w:r>
        <w:rPr>
          <w:color w:val="231F20"/>
          <w:spacing w:val="-1"/>
        </w:rPr>
        <w:t>takes</w:t>
      </w:r>
      <w:r>
        <w:rPr>
          <w:color w:val="231F20"/>
          <w:spacing w:val="-52"/>
        </w:rPr>
        <w:t> </w:t>
      </w:r>
      <w:r>
        <w:rPr>
          <w:color w:val="231F20"/>
        </w:rPr>
        <w:t>a</w:t>
      </w:r>
      <w:r>
        <w:rPr>
          <w:color w:val="231F20"/>
          <w:spacing w:val="-12"/>
        </w:rPr>
        <w:t> </w:t>
      </w:r>
      <w:r>
        <w:rPr>
          <w:color w:val="231F20"/>
        </w:rPr>
        <w:t>coordinated</w:t>
      </w:r>
      <w:r>
        <w:rPr>
          <w:color w:val="231F20"/>
          <w:spacing w:val="-12"/>
        </w:rPr>
        <w:t> </w:t>
      </w:r>
      <w:r>
        <w:rPr>
          <w:color w:val="231F20"/>
        </w:rPr>
        <w:t>approach</w:t>
      </w:r>
      <w:r>
        <w:rPr>
          <w:color w:val="231F20"/>
          <w:vertAlign w:val="superscript"/>
        </w:rPr>
        <w:t>21</w:t>
      </w:r>
      <w:r>
        <w:rPr>
          <w:color w:val="231F20"/>
          <w:spacing w:val="-11"/>
          <w:vertAlign w:val="baseline"/>
        </w:rPr>
        <w:t> </w:t>
      </w:r>
      <w:r>
        <w:rPr>
          <w:color w:val="231F20"/>
          <w:vertAlign w:val="baseline"/>
        </w:rPr>
        <w:t>between</w:t>
      </w:r>
      <w:r>
        <w:rPr>
          <w:color w:val="231F20"/>
          <w:spacing w:val="-12"/>
          <w:vertAlign w:val="baseline"/>
        </w:rPr>
        <w:t> </w:t>
      </w:r>
      <w:r>
        <w:rPr>
          <w:color w:val="231F20"/>
          <w:vertAlign w:val="baseline"/>
        </w:rPr>
        <w:t>mental</w:t>
      </w:r>
      <w:r>
        <w:rPr>
          <w:color w:val="231F20"/>
          <w:spacing w:val="-11"/>
          <w:vertAlign w:val="baseline"/>
        </w:rPr>
        <w:t> </w:t>
      </w:r>
      <w:r>
        <w:rPr>
          <w:color w:val="231F20"/>
          <w:vertAlign w:val="baseline"/>
        </w:rPr>
        <w:t>illness</w:t>
      </w:r>
      <w:r>
        <w:rPr>
          <w:color w:val="231F20"/>
          <w:spacing w:val="-12"/>
          <w:vertAlign w:val="baseline"/>
        </w:rPr>
        <w:t> </w:t>
      </w:r>
      <w:r>
        <w:rPr>
          <w:color w:val="231F20"/>
          <w:vertAlign w:val="baseline"/>
        </w:rPr>
        <w:t>and/</w:t>
      </w:r>
    </w:p>
    <w:p>
      <w:pPr>
        <w:pStyle w:val="BodyText"/>
        <w:spacing w:line="266" w:lineRule="auto"/>
        <w:ind w:left="160" w:right="801"/>
      </w:pPr>
      <w:r>
        <w:rPr>
          <w:color w:val="231F20"/>
          <w:spacing w:val="-1"/>
        </w:rPr>
        <w:t>or </w:t>
      </w:r>
      <w:r>
        <w:rPr>
          <w:color w:val="231F20"/>
        </w:rPr>
        <w:t>SUD and HIV care providers, and other agencies and</w:t>
      </w:r>
      <w:r>
        <w:rPr>
          <w:color w:val="231F20"/>
          <w:spacing w:val="-52"/>
        </w:rPr>
        <w:t> </w:t>
      </w:r>
      <w:r>
        <w:rPr>
          <w:color w:val="231F20"/>
          <w:spacing w:val="-2"/>
        </w:rPr>
        <w:t>stakeholders</w:t>
      </w:r>
      <w:r>
        <w:rPr>
          <w:color w:val="231F20"/>
          <w:spacing w:val="-12"/>
        </w:rPr>
        <w:t> </w:t>
      </w:r>
      <w:r>
        <w:rPr>
          <w:color w:val="231F20"/>
          <w:spacing w:val="-2"/>
        </w:rPr>
        <w:t>that</w:t>
      </w:r>
      <w:r>
        <w:rPr>
          <w:color w:val="231F20"/>
          <w:spacing w:val="-10"/>
        </w:rPr>
        <w:t> </w:t>
      </w:r>
      <w:r>
        <w:rPr>
          <w:color w:val="231F20"/>
          <w:spacing w:val="-2"/>
        </w:rPr>
        <w:t>are</w:t>
      </w:r>
      <w:r>
        <w:rPr>
          <w:color w:val="231F20"/>
          <w:spacing w:val="-11"/>
        </w:rPr>
        <w:t> </w:t>
      </w:r>
      <w:r>
        <w:rPr>
          <w:color w:val="231F20"/>
          <w:spacing w:val="-1"/>
        </w:rPr>
        <w:t>well-positioned</w:t>
      </w:r>
      <w:r>
        <w:rPr>
          <w:color w:val="231F20"/>
          <w:spacing w:val="-11"/>
        </w:rPr>
        <w:t> </w:t>
      </w:r>
      <w:r>
        <w:rPr>
          <w:color w:val="231F20"/>
          <w:spacing w:val="-1"/>
        </w:rPr>
        <w:t>to</w:t>
      </w:r>
      <w:r>
        <w:rPr>
          <w:color w:val="231F20"/>
          <w:spacing w:val="-11"/>
        </w:rPr>
        <w:t> </w:t>
      </w:r>
      <w:r>
        <w:rPr>
          <w:color w:val="231F20"/>
          <w:spacing w:val="-1"/>
        </w:rPr>
        <w:t>address</w:t>
      </w:r>
      <w:r>
        <w:rPr>
          <w:color w:val="231F20"/>
          <w:spacing w:val="-10"/>
        </w:rPr>
        <w:t> </w:t>
      </w:r>
      <w:r>
        <w:rPr>
          <w:color w:val="231F20"/>
          <w:spacing w:val="-1"/>
        </w:rPr>
        <w:t>the</w:t>
      </w:r>
      <w:r>
        <w:rPr>
          <w:color w:val="231F20"/>
          <w:spacing w:val="-11"/>
        </w:rPr>
        <w:t> </w:t>
      </w:r>
      <w:r>
        <w:rPr>
          <w:color w:val="231F20"/>
          <w:spacing w:val="-1"/>
        </w:rPr>
        <w:t>social</w:t>
      </w:r>
      <w:r>
        <w:rPr>
          <w:color w:val="231F20"/>
          <w:spacing w:val="-52"/>
        </w:rPr>
        <w:t> </w:t>
      </w:r>
      <w:r>
        <w:rPr>
          <w:color w:val="231F20"/>
          <w:spacing w:val="-1"/>
        </w:rPr>
        <w:t>determinants of </w:t>
      </w:r>
      <w:r>
        <w:rPr>
          <w:color w:val="231F20"/>
        </w:rPr>
        <w:t>health. Coordinated models may feature</w:t>
      </w:r>
      <w:r>
        <w:rPr>
          <w:color w:val="231F20"/>
          <w:spacing w:val="-52"/>
        </w:rPr>
        <w:t> </w:t>
      </w:r>
      <w:r>
        <w:rPr>
          <w:color w:val="231F20"/>
          <w:spacing w:val="-1"/>
        </w:rPr>
        <w:t>screening for mental </w:t>
      </w:r>
      <w:r>
        <w:rPr>
          <w:color w:val="231F20"/>
        </w:rPr>
        <w:t>illness and/or SUD using validated</w:t>
      </w:r>
      <w:r>
        <w:rPr>
          <w:color w:val="231F20"/>
          <w:spacing w:val="-52"/>
        </w:rPr>
        <w:t> </w:t>
      </w:r>
      <w:r>
        <w:rPr>
          <w:color w:val="231F20"/>
        </w:rPr>
        <w:t>tools;</w:t>
      </w:r>
      <w:r>
        <w:rPr>
          <w:color w:val="231F20"/>
          <w:spacing w:val="-10"/>
        </w:rPr>
        <w:t> </w:t>
      </w:r>
      <w:r>
        <w:rPr>
          <w:color w:val="231F20"/>
        </w:rPr>
        <w:t>team-based</w:t>
      </w:r>
      <w:r>
        <w:rPr>
          <w:color w:val="231F20"/>
          <w:spacing w:val="-10"/>
        </w:rPr>
        <w:t> </w:t>
      </w:r>
      <w:r>
        <w:rPr>
          <w:color w:val="231F20"/>
        </w:rPr>
        <w:t>care,</w:t>
      </w:r>
      <w:r>
        <w:rPr>
          <w:color w:val="231F20"/>
          <w:spacing w:val="-9"/>
        </w:rPr>
        <w:t> </w:t>
      </w:r>
      <w:r>
        <w:rPr>
          <w:color w:val="231F20"/>
        </w:rPr>
        <w:t>including</w:t>
      </w:r>
      <w:r>
        <w:rPr>
          <w:color w:val="231F20"/>
          <w:spacing w:val="-10"/>
        </w:rPr>
        <w:t> </w:t>
      </w:r>
      <w:r>
        <w:rPr>
          <w:color w:val="231F20"/>
        </w:rPr>
        <w:t>both</w:t>
      </w:r>
      <w:r>
        <w:rPr>
          <w:color w:val="231F20"/>
          <w:spacing w:val="-9"/>
        </w:rPr>
        <w:t> </w:t>
      </w:r>
      <w:r>
        <w:rPr>
          <w:color w:val="231F20"/>
        </w:rPr>
        <w:t>physician</w:t>
      </w:r>
      <w:r>
        <w:rPr>
          <w:color w:val="231F20"/>
          <w:spacing w:val="-10"/>
        </w:rPr>
        <w:t> </w:t>
      </w:r>
      <w:r>
        <w:rPr>
          <w:color w:val="231F20"/>
        </w:rPr>
        <w:t>and</w:t>
      </w:r>
    </w:p>
    <w:p>
      <w:pPr>
        <w:spacing w:line="268" w:lineRule="auto" w:before="0"/>
        <w:ind w:left="160" w:right="941" w:firstLine="0"/>
        <w:jc w:val="left"/>
        <w:rPr>
          <w:sz w:val="21"/>
        </w:rPr>
      </w:pPr>
      <w:r>
        <w:rPr>
          <w:color w:val="231F20"/>
          <w:spacing w:val="-1"/>
          <w:sz w:val="22"/>
        </w:rPr>
        <w:t>non-physician staff; shared IT and electronic </w:t>
      </w:r>
      <w:r>
        <w:rPr>
          <w:color w:val="231F20"/>
          <w:sz w:val="22"/>
        </w:rPr>
        <w:t>medical</w:t>
      </w:r>
      <w:r>
        <w:rPr>
          <w:color w:val="231F20"/>
          <w:spacing w:val="1"/>
          <w:sz w:val="22"/>
        </w:rPr>
        <w:t> </w:t>
      </w:r>
      <w:r>
        <w:rPr>
          <w:color w:val="231F20"/>
          <w:spacing w:val="-1"/>
          <w:sz w:val="22"/>
        </w:rPr>
        <w:t>record systems to facilitate communication </w:t>
      </w:r>
      <w:r>
        <w:rPr>
          <w:color w:val="231F20"/>
          <w:sz w:val="22"/>
        </w:rPr>
        <w:t>within care</w:t>
      </w:r>
      <w:r>
        <w:rPr>
          <w:color w:val="231F20"/>
          <w:spacing w:val="-52"/>
          <w:sz w:val="22"/>
        </w:rPr>
        <w:t> </w:t>
      </w:r>
      <w:r>
        <w:rPr>
          <w:color w:val="231F20"/>
          <w:spacing w:val="-1"/>
          <w:sz w:val="22"/>
        </w:rPr>
        <w:t>teams;</w:t>
      </w:r>
      <w:r>
        <w:rPr>
          <w:color w:val="231F20"/>
          <w:spacing w:val="-13"/>
          <w:sz w:val="22"/>
        </w:rPr>
        <w:t> </w:t>
      </w:r>
      <w:r>
        <w:rPr>
          <w:color w:val="231F20"/>
          <w:spacing w:val="-1"/>
          <w:sz w:val="22"/>
        </w:rPr>
        <w:t>and</w:t>
      </w:r>
      <w:r>
        <w:rPr>
          <w:color w:val="231F20"/>
          <w:spacing w:val="-12"/>
          <w:sz w:val="22"/>
        </w:rPr>
        <w:t> </w:t>
      </w:r>
      <w:r>
        <w:rPr>
          <w:color w:val="231F20"/>
          <w:spacing w:val="-1"/>
          <w:sz w:val="22"/>
        </w:rPr>
        <w:t>syste</w:t>
      </w:r>
      <w:r>
        <w:rPr>
          <w:color w:val="231F20"/>
          <w:spacing w:val="-1"/>
          <w:sz w:val="21"/>
        </w:rPr>
        <w:t>matic</w:t>
      </w:r>
      <w:r>
        <w:rPr>
          <w:color w:val="231F20"/>
          <w:spacing w:val="-11"/>
          <w:sz w:val="21"/>
        </w:rPr>
        <w:t> </w:t>
      </w:r>
      <w:r>
        <w:rPr>
          <w:color w:val="231F20"/>
          <w:spacing w:val="-1"/>
          <w:sz w:val="21"/>
        </w:rPr>
        <w:t>measurement</w:t>
      </w:r>
      <w:r>
        <w:rPr>
          <w:color w:val="231F20"/>
          <w:spacing w:val="-12"/>
          <w:sz w:val="21"/>
        </w:rPr>
        <w:t> </w:t>
      </w:r>
      <w:r>
        <w:rPr>
          <w:color w:val="231F20"/>
          <w:sz w:val="21"/>
        </w:rPr>
        <w:t>and</w:t>
      </w:r>
      <w:r>
        <w:rPr>
          <w:color w:val="231F20"/>
          <w:spacing w:val="-12"/>
          <w:sz w:val="21"/>
        </w:rPr>
        <w:t> </w:t>
      </w:r>
      <w:r>
        <w:rPr>
          <w:color w:val="231F20"/>
          <w:sz w:val="21"/>
        </w:rPr>
        <w:t>review</w:t>
      </w:r>
      <w:r>
        <w:rPr>
          <w:color w:val="231F20"/>
          <w:spacing w:val="-12"/>
          <w:sz w:val="21"/>
        </w:rPr>
        <w:t> </w:t>
      </w:r>
      <w:r>
        <w:rPr>
          <w:color w:val="231F20"/>
          <w:sz w:val="21"/>
        </w:rPr>
        <w:t>of</w:t>
      </w:r>
      <w:r>
        <w:rPr>
          <w:color w:val="231F20"/>
          <w:spacing w:val="-11"/>
          <w:sz w:val="21"/>
        </w:rPr>
        <w:t> </w:t>
      </w:r>
      <w:r>
        <w:rPr>
          <w:color w:val="231F20"/>
          <w:sz w:val="21"/>
        </w:rPr>
        <w:t>patient</w:t>
      </w:r>
      <w:r>
        <w:rPr>
          <w:color w:val="231F20"/>
          <w:spacing w:val="-50"/>
          <w:sz w:val="21"/>
        </w:rPr>
        <w:t> </w:t>
      </w:r>
      <w:r>
        <w:rPr>
          <w:color w:val="231F20"/>
          <w:sz w:val="21"/>
        </w:rPr>
        <w:t>outcomes.</w:t>
      </w:r>
    </w:p>
    <w:p>
      <w:pPr>
        <w:pStyle w:val="BodyText"/>
        <w:spacing w:line="266" w:lineRule="auto" w:before="174"/>
        <w:ind w:left="160" w:right="800"/>
      </w:pPr>
      <w:r>
        <w:rPr>
          <w:color w:val="231F20"/>
          <w:spacing w:val="-1"/>
        </w:rPr>
        <w:t>When</w:t>
      </w:r>
      <w:r>
        <w:rPr>
          <w:color w:val="231F20"/>
          <w:spacing w:val="-9"/>
        </w:rPr>
        <w:t> </w:t>
      </w:r>
      <w:r>
        <w:rPr>
          <w:color w:val="231F20"/>
          <w:spacing w:val="-1"/>
        </w:rPr>
        <w:t>HIV</w:t>
      </w:r>
      <w:r>
        <w:rPr>
          <w:color w:val="231F20"/>
          <w:spacing w:val="-12"/>
        </w:rPr>
        <w:t> </w:t>
      </w:r>
      <w:r>
        <w:rPr>
          <w:color w:val="231F20"/>
          <w:spacing w:val="-1"/>
        </w:rPr>
        <w:t>clinics</w:t>
      </w:r>
      <w:r>
        <w:rPr>
          <w:color w:val="231F20"/>
          <w:spacing w:val="-9"/>
        </w:rPr>
        <w:t> </w:t>
      </w:r>
      <w:r>
        <w:rPr>
          <w:color w:val="231F20"/>
          <w:spacing w:val="-1"/>
        </w:rPr>
        <w:t>screen</w:t>
      </w:r>
      <w:r>
        <w:rPr>
          <w:color w:val="231F20"/>
          <w:spacing w:val="-10"/>
        </w:rPr>
        <w:t> </w:t>
      </w:r>
      <w:r>
        <w:rPr>
          <w:color w:val="231F20"/>
          <w:spacing w:val="-1"/>
        </w:rPr>
        <w:t>for</w:t>
      </w:r>
      <w:r>
        <w:rPr>
          <w:color w:val="231F20"/>
          <w:spacing w:val="-8"/>
        </w:rPr>
        <w:t> </w:t>
      </w:r>
      <w:r>
        <w:rPr>
          <w:color w:val="231F20"/>
          <w:spacing w:val="-1"/>
        </w:rPr>
        <w:t>mental</w:t>
      </w:r>
      <w:r>
        <w:rPr>
          <w:color w:val="231F20"/>
          <w:spacing w:val="-9"/>
        </w:rPr>
        <w:t> </w:t>
      </w:r>
      <w:r>
        <w:rPr>
          <w:color w:val="231F20"/>
          <w:spacing w:val="-1"/>
        </w:rPr>
        <w:t>illness</w:t>
      </w:r>
      <w:r>
        <w:rPr>
          <w:color w:val="231F20"/>
          <w:spacing w:val="-9"/>
        </w:rPr>
        <w:t> </w:t>
      </w:r>
      <w:r>
        <w:rPr>
          <w:color w:val="231F20"/>
        </w:rPr>
        <w:t>and</w:t>
      </w:r>
      <w:r>
        <w:rPr>
          <w:color w:val="231F20"/>
          <w:spacing w:val="-8"/>
        </w:rPr>
        <w:t> </w:t>
      </w:r>
      <w:r>
        <w:rPr>
          <w:color w:val="231F20"/>
        </w:rPr>
        <w:t>SUD</w:t>
      </w:r>
      <w:r>
        <w:rPr>
          <w:color w:val="231F20"/>
          <w:spacing w:val="-10"/>
        </w:rPr>
        <w:t> </w:t>
      </w:r>
      <w:r>
        <w:rPr>
          <w:color w:val="231F20"/>
        </w:rPr>
        <w:t>and</w:t>
      </w:r>
      <w:r>
        <w:rPr>
          <w:color w:val="231F20"/>
          <w:spacing w:val="-52"/>
        </w:rPr>
        <w:t> </w:t>
      </w:r>
      <w:r>
        <w:rPr>
          <w:color w:val="231F20"/>
        </w:rPr>
        <w:t>are able to provide coordinated care to address mental</w:t>
      </w:r>
      <w:r>
        <w:rPr>
          <w:color w:val="231F20"/>
          <w:spacing w:val="1"/>
        </w:rPr>
        <w:t> </w:t>
      </w:r>
      <w:r>
        <w:rPr>
          <w:color w:val="231F20"/>
        </w:rPr>
        <w:t>illness, SUD, and HIV, clients are more likely to reach</w:t>
      </w:r>
      <w:r>
        <w:rPr>
          <w:color w:val="231F20"/>
          <w:spacing w:val="1"/>
        </w:rPr>
        <w:t> </w:t>
      </w:r>
      <w:r>
        <w:rPr>
          <w:color w:val="231F20"/>
        </w:rPr>
        <w:t>viral suppression than their counterparts visiting HIV</w:t>
      </w:r>
      <w:r>
        <w:rPr>
          <w:color w:val="231F20"/>
          <w:spacing w:val="1"/>
        </w:rPr>
        <w:t> </w:t>
      </w:r>
      <w:r>
        <w:rPr>
          <w:color w:val="231F20"/>
          <w:spacing w:val="-1"/>
        </w:rPr>
        <w:t>primary care services without coordinated </w:t>
      </w:r>
      <w:r>
        <w:rPr>
          <w:color w:val="231F20"/>
        </w:rPr>
        <w:t>mental health</w:t>
      </w:r>
      <w:r>
        <w:rPr>
          <w:color w:val="231F20"/>
          <w:spacing w:val="-52"/>
        </w:rPr>
        <w:t> </w:t>
      </w:r>
      <w:r>
        <w:rPr>
          <w:color w:val="231F20"/>
          <w:spacing w:val="-1"/>
        </w:rPr>
        <w:t>and substance use services.</w:t>
      </w:r>
      <w:r>
        <w:rPr>
          <w:color w:val="231F20"/>
          <w:spacing w:val="-1"/>
          <w:vertAlign w:val="superscript"/>
        </w:rPr>
        <w:t>32</w:t>
      </w:r>
      <w:r>
        <w:rPr>
          <w:color w:val="231F20"/>
          <w:spacing w:val="-1"/>
          <w:vertAlign w:val="baseline"/>
        </w:rPr>
        <w:t> Coordinated services </w:t>
      </w:r>
      <w:r>
        <w:rPr>
          <w:color w:val="231F20"/>
          <w:vertAlign w:val="baseline"/>
        </w:rPr>
        <w:t>help</w:t>
      </w:r>
      <w:r>
        <w:rPr>
          <w:color w:val="231F20"/>
          <w:spacing w:val="1"/>
          <w:vertAlign w:val="baseline"/>
        </w:rPr>
        <w:t> </w:t>
      </w:r>
      <w:r>
        <w:rPr>
          <w:color w:val="231F20"/>
          <w:spacing w:val="-2"/>
          <w:vertAlign w:val="baseline"/>
        </w:rPr>
        <w:t>practitioners</w:t>
      </w:r>
      <w:r>
        <w:rPr>
          <w:color w:val="231F20"/>
          <w:spacing w:val="-11"/>
          <w:vertAlign w:val="baseline"/>
        </w:rPr>
        <w:t> </w:t>
      </w:r>
      <w:r>
        <w:rPr>
          <w:color w:val="231F20"/>
          <w:spacing w:val="-1"/>
          <w:vertAlign w:val="baseline"/>
        </w:rPr>
        <w:t>streamline</w:t>
      </w:r>
      <w:r>
        <w:rPr>
          <w:color w:val="231F20"/>
          <w:spacing w:val="-12"/>
          <w:vertAlign w:val="baseline"/>
        </w:rPr>
        <w:t> </w:t>
      </w:r>
      <w:r>
        <w:rPr>
          <w:color w:val="231F20"/>
          <w:spacing w:val="-1"/>
          <w:vertAlign w:val="baseline"/>
        </w:rPr>
        <w:t>service</w:t>
      </w:r>
      <w:r>
        <w:rPr>
          <w:color w:val="231F20"/>
          <w:spacing w:val="-11"/>
          <w:vertAlign w:val="baseline"/>
        </w:rPr>
        <w:t> </w:t>
      </w:r>
      <w:r>
        <w:rPr>
          <w:color w:val="231F20"/>
          <w:spacing w:val="-1"/>
          <w:vertAlign w:val="baseline"/>
        </w:rPr>
        <w:t>delivery</w:t>
      </w:r>
      <w:r>
        <w:rPr>
          <w:color w:val="231F20"/>
          <w:spacing w:val="-11"/>
          <w:vertAlign w:val="baseline"/>
        </w:rPr>
        <w:t> </w:t>
      </w:r>
      <w:r>
        <w:rPr>
          <w:color w:val="231F20"/>
          <w:spacing w:val="-1"/>
          <w:vertAlign w:val="baseline"/>
        </w:rPr>
        <w:t>to</w:t>
      </w:r>
      <w:r>
        <w:rPr>
          <w:color w:val="231F20"/>
          <w:spacing w:val="-10"/>
          <w:vertAlign w:val="baseline"/>
        </w:rPr>
        <w:t> </w:t>
      </w:r>
      <w:r>
        <w:rPr>
          <w:color w:val="231F20"/>
          <w:spacing w:val="-1"/>
          <w:vertAlign w:val="baseline"/>
        </w:rPr>
        <w:t>address</w:t>
      </w:r>
      <w:r>
        <w:rPr>
          <w:color w:val="231F20"/>
          <w:spacing w:val="-11"/>
          <w:vertAlign w:val="baseline"/>
        </w:rPr>
        <w:t> </w:t>
      </w:r>
      <w:r>
        <w:rPr>
          <w:color w:val="231F20"/>
          <w:spacing w:val="-1"/>
          <w:vertAlign w:val="baseline"/>
        </w:rPr>
        <w:t>unmet</w:t>
      </w:r>
      <w:r>
        <w:rPr>
          <w:color w:val="231F20"/>
          <w:spacing w:val="-52"/>
          <w:vertAlign w:val="baseline"/>
        </w:rPr>
        <w:t> </w:t>
      </w:r>
      <w:r>
        <w:rPr>
          <w:color w:val="231F20"/>
          <w:vertAlign w:val="baseline"/>
        </w:rPr>
        <w:t>needs.</w:t>
      </w:r>
    </w:p>
    <w:p>
      <w:pPr>
        <w:spacing w:after="0" w:line="266" w:lineRule="auto"/>
        <w:sectPr>
          <w:type w:val="continuous"/>
          <w:pgSz w:w="12240" w:h="15840"/>
          <w:pgMar w:header="0" w:footer="666" w:top="1500" w:bottom="0" w:left="560" w:right="0"/>
          <w:cols w:num="2" w:equalWidth="0">
            <w:col w:w="5215" w:space="545"/>
            <w:col w:w="5920"/>
          </w:cols>
        </w:sectPr>
      </w:pPr>
    </w:p>
    <w:p>
      <w:pPr>
        <w:pStyle w:val="BodyText"/>
        <w:rPr>
          <w:sz w:val="20"/>
        </w:rPr>
      </w:pPr>
    </w:p>
    <w:p>
      <w:pPr>
        <w:pStyle w:val="BodyText"/>
        <w:rPr>
          <w:sz w:val="20"/>
        </w:rPr>
      </w:pPr>
    </w:p>
    <w:p>
      <w:pPr>
        <w:pStyle w:val="BodyText"/>
        <w:spacing w:before="7" w:after="1"/>
        <w:rPr>
          <w:sz w:val="19"/>
        </w:rPr>
      </w:pPr>
    </w:p>
    <w:p>
      <w:pPr>
        <w:pStyle w:val="BodyText"/>
        <w:ind w:left="160"/>
        <w:rPr>
          <w:sz w:val="20"/>
        </w:rPr>
      </w:pPr>
      <w:r>
        <w:rPr>
          <w:sz w:val="20"/>
        </w:rPr>
        <w:pict>
          <v:group style="width:540pt;height:238.35pt;mso-position-horizontal-relative:char;mso-position-vertical-relative:line" id="docshapegroup131" coordorigin="0,0" coordsize="10800,4767">
            <v:shape style="position:absolute;left:0;top:0;width:10800;height:4767" id="docshape132" coordorigin="0,0" coordsize="10800,4767" path="m10710,0l90,0,55,7,26,26,7,55,0,90,0,4676,7,4711,26,4740,55,4759,90,4766,10710,4766,10745,4759,10774,4740,10793,4711,10800,4676,10800,90,10793,55,10774,26,10745,7,10710,0xe" filled="true" fillcolor="#f7e0e0" stroked="false">
              <v:path arrowok="t"/>
              <v:fill type="solid"/>
            </v:shape>
            <v:shape style="position:absolute;left:0;top:0;width:10800;height:4767" type="#_x0000_t202" id="docshape133" filled="false" stroked="false">
              <v:textbox inset="0,0,0,0">
                <w:txbxContent>
                  <w:p>
                    <w:pPr>
                      <w:spacing w:line="259" w:lineRule="auto" w:before="156"/>
                      <w:ind w:left="180" w:right="276" w:firstLine="0"/>
                      <w:jc w:val="left"/>
                      <w:rPr>
                        <w:rFonts w:ascii="Arial"/>
                        <w:sz w:val="12"/>
                      </w:rPr>
                    </w:pPr>
                    <w:bookmarkStart w:name="WORKFORCE CAPACITY AND DEVELOPMENT" w:id="90"/>
                    <w:bookmarkEnd w:id="90"/>
                    <w:r>
                      <w:rPr/>
                    </w:r>
                    <w:bookmarkStart w:name="eChallenge" w:id="91"/>
                    <w:bookmarkEnd w:id="91"/>
                    <w:r>
                      <w:rPr/>
                    </w:r>
                    <w:r>
                      <w:rPr>
                        <w:rFonts w:ascii="Arial"/>
                        <w:b/>
                        <w:color w:val="CE372E"/>
                        <w:sz w:val="21"/>
                      </w:rPr>
                      <w:t>Collaborative Care </w:t>
                    </w:r>
                    <w:r>
                      <w:rPr>
                        <w:rFonts w:ascii="Arial"/>
                        <w:color w:val="010202"/>
                        <w:sz w:val="21"/>
                      </w:rPr>
                      <w:t>involves increased collaboration between behavioral healthcare management, mental</w:t>
                    </w:r>
                    <w:r>
                      <w:rPr>
                        <w:rFonts w:ascii="Arial"/>
                        <w:color w:val="010202"/>
                        <w:spacing w:val="1"/>
                        <w:sz w:val="21"/>
                      </w:rPr>
                      <w:t> </w:t>
                    </w:r>
                    <w:r>
                      <w:rPr>
                        <w:rFonts w:ascii="Arial"/>
                        <w:color w:val="010202"/>
                        <w:sz w:val="21"/>
                      </w:rPr>
                      <w:t>health, and primary care providers. This model includes taking a team-based, client-centered, collaborative</w:t>
                    </w:r>
                    <w:r>
                      <w:rPr>
                        <w:rFonts w:ascii="Arial"/>
                        <w:color w:val="010202"/>
                        <w:spacing w:val="1"/>
                        <w:sz w:val="21"/>
                      </w:rPr>
                      <w:t> </w:t>
                    </w:r>
                    <w:r>
                      <w:rPr>
                        <w:rFonts w:ascii="Arial"/>
                        <w:color w:val="010202"/>
                        <w:sz w:val="21"/>
                      </w:rPr>
                      <w:t>approach</w:t>
                    </w:r>
                    <w:r>
                      <w:rPr>
                        <w:rFonts w:ascii="Arial"/>
                        <w:color w:val="010202"/>
                        <w:spacing w:val="-4"/>
                        <w:sz w:val="21"/>
                      </w:rPr>
                      <w:t> </w:t>
                    </w:r>
                    <w:r>
                      <w:rPr>
                        <w:rFonts w:ascii="Arial"/>
                        <w:color w:val="010202"/>
                        <w:sz w:val="21"/>
                      </w:rPr>
                      <w:t>to</w:t>
                    </w:r>
                    <w:r>
                      <w:rPr>
                        <w:rFonts w:ascii="Arial"/>
                        <w:color w:val="010202"/>
                        <w:spacing w:val="-2"/>
                        <w:sz w:val="21"/>
                      </w:rPr>
                      <w:t> </w:t>
                    </w:r>
                    <w:r>
                      <w:rPr>
                        <w:rFonts w:ascii="Arial"/>
                        <w:color w:val="010202"/>
                        <w:sz w:val="21"/>
                      </w:rPr>
                      <w:t>elements</w:t>
                    </w:r>
                    <w:r>
                      <w:rPr>
                        <w:rFonts w:ascii="Arial"/>
                        <w:color w:val="010202"/>
                        <w:spacing w:val="-3"/>
                        <w:sz w:val="21"/>
                      </w:rPr>
                      <w:t> </w:t>
                    </w:r>
                    <w:r>
                      <w:rPr>
                        <w:rFonts w:ascii="Arial"/>
                        <w:color w:val="010202"/>
                        <w:sz w:val="21"/>
                      </w:rPr>
                      <w:t>of</w:t>
                    </w:r>
                    <w:r>
                      <w:rPr>
                        <w:rFonts w:ascii="Arial"/>
                        <w:color w:val="010202"/>
                        <w:spacing w:val="-3"/>
                        <w:sz w:val="21"/>
                      </w:rPr>
                      <w:t> </w:t>
                    </w:r>
                    <w:r>
                      <w:rPr>
                        <w:rFonts w:ascii="Arial"/>
                        <w:color w:val="010202"/>
                        <w:sz w:val="21"/>
                      </w:rPr>
                      <w:t>client</w:t>
                    </w:r>
                    <w:r>
                      <w:rPr>
                        <w:rFonts w:ascii="Arial"/>
                        <w:color w:val="010202"/>
                        <w:spacing w:val="-3"/>
                        <w:sz w:val="21"/>
                      </w:rPr>
                      <w:t> </w:t>
                    </w:r>
                    <w:r>
                      <w:rPr>
                        <w:rFonts w:ascii="Arial"/>
                        <w:color w:val="010202"/>
                        <w:sz w:val="21"/>
                      </w:rPr>
                      <w:t>care,</w:t>
                    </w:r>
                    <w:r>
                      <w:rPr>
                        <w:rFonts w:ascii="Arial"/>
                        <w:color w:val="010202"/>
                        <w:spacing w:val="-2"/>
                        <w:sz w:val="21"/>
                      </w:rPr>
                      <w:t> </w:t>
                    </w:r>
                    <w:r>
                      <w:rPr>
                        <w:rFonts w:ascii="Arial"/>
                        <w:color w:val="010202"/>
                        <w:sz w:val="21"/>
                      </w:rPr>
                      <w:t>such</w:t>
                    </w:r>
                    <w:r>
                      <w:rPr>
                        <w:rFonts w:ascii="Arial"/>
                        <w:color w:val="010202"/>
                        <w:spacing w:val="-2"/>
                        <w:sz w:val="21"/>
                      </w:rPr>
                      <w:t> </w:t>
                    </w:r>
                    <w:r>
                      <w:rPr>
                        <w:rFonts w:ascii="Arial"/>
                        <w:color w:val="010202"/>
                        <w:sz w:val="21"/>
                      </w:rPr>
                      <w:t>as</w:t>
                    </w:r>
                    <w:r>
                      <w:rPr>
                        <w:rFonts w:ascii="Arial"/>
                        <w:color w:val="010202"/>
                        <w:spacing w:val="-3"/>
                        <w:sz w:val="21"/>
                      </w:rPr>
                      <w:t> </w:t>
                    </w:r>
                    <w:r>
                      <w:rPr>
                        <w:rFonts w:ascii="Arial"/>
                        <w:color w:val="010202"/>
                        <w:sz w:val="21"/>
                      </w:rPr>
                      <w:t>client</w:t>
                    </w:r>
                    <w:r>
                      <w:rPr>
                        <w:rFonts w:ascii="Arial"/>
                        <w:color w:val="010202"/>
                        <w:spacing w:val="-3"/>
                        <w:sz w:val="21"/>
                      </w:rPr>
                      <w:t> </w:t>
                    </w:r>
                    <w:r>
                      <w:rPr>
                        <w:rFonts w:ascii="Arial"/>
                        <w:color w:val="010202"/>
                        <w:sz w:val="21"/>
                      </w:rPr>
                      <w:t>registries,</w:t>
                    </w:r>
                    <w:r>
                      <w:rPr>
                        <w:rFonts w:ascii="Arial"/>
                        <w:color w:val="010202"/>
                        <w:spacing w:val="-2"/>
                        <w:sz w:val="21"/>
                      </w:rPr>
                      <w:t> </w:t>
                    </w:r>
                    <w:r>
                      <w:rPr>
                        <w:rFonts w:ascii="Arial"/>
                        <w:color w:val="010202"/>
                        <w:sz w:val="21"/>
                      </w:rPr>
                      <w:t>client</w:t>
                    </w:r>
                    <w:r>
                      <w:rPr>
                        <w:rFonts w:ascii="Arial"/>
                        <w:color w:val="010202"/>
                        <w:spacing w:val="-2"/>
                        <w:sz w:val="21"/>
                      </w:rPr>
                      <w:t> </w:t>
                    </w:r>
                    <w:r>
                      <w:rPr>
                        <w:rFonts w:ascii="Arial"/>
                        <w:color w:val="010202"/>
                        <w:sz w:val="21"/>
                      </w:rPr>
                      <w:t>education,</w:t>
                    </w:r>
                    <w:r>
                      <w:rPr>
                        <w:rFonts w:ascii="Arial"/>
                        <w:color w:val="010202"/>
                        <w:spacing w:val="-3"/>
                        <w:sz w:val="21"/>
                      </w:rPr>
                      <w:t> </w:t>
                    </w:r>
                    <w:r>
                      <w:rPr>
                        <w:rFonts w:ascii="Arial"/>
                        <w:color w:val="010202"/>
                        <w:sz w:val="21"/>
                      </w:rPr>
                      <w:t>screening</w:t>
                    </w:r>
                    <w:r>
                      <w:rPr>
                        <w:rFonts w:ascii="Arial"/>
                        <w:color w:val="010202"/>
                        <w:spacing w:val="-2"/>
                        <w:sz w:val="21"/>
                      </w:rPr>
                      <w:t> </w:t>
                    </w:r>
                    <w:r>
                      <w:rPr>
                        <w:rFonts w:ascii="Arial"/>
                        <w:color w:val="010202"/>
                        <w:sz w:val="21"/>
                      </w:rPr>
                      <w:t>or</w:t>
                    </w:r>
                    <w:r>
                      <w:rPr>
                        <w:rFonts w:ascii="Arial"/>
                        <w:color w:val="010202"/>
                        <w:spacing w:val="-4"/>
                        <w:sz w:val="21"/>
                      </w:rPr>
                      <w:t> </w:t>
                    </w:r>
                    <w:r>
                      <w:rPr>
                        <w:rFonts w:ascii="Arial"/>
                        <w:color w:val="010202"/>
                        <w:sz w:val="21"/>
                      </w:rPr>
                      <w:t>assessment</w:t>
                    </w:r>
                    <w:r>
                      <w:rPr>
                        <w:rFonts w:ascii="Arial"/>
                        <w:color w:val="010202"/>
                        <w:spacing w:val="-3"/>
                        <w:sz w:val="21"/>
                      </w:rPr>
                      <w:t> </w:t>
                    </w:r>
                    <w:r>
                      <w:rPr>
                        <w:rFonts w:ascii="Arial"/>
                        <w:color w:val="010202"/>
                        <w:sz w:val="21"/>
                      </w:rPr>
                      <w:t>tools,</w:t>
                    </w:r>
                    <w:r>
                      <w:rPr>
                        <w:rFonts w:ascii="Arial"/>
                        <w:color w:val="010202"/>
                        <w:spacing w:val="-56"/>
                        <w:sz w:val="21"/>
                      </w:rPr>
                      <w:t> </w:t>
                    </w:r>
                    <w:r>
                      <w:rPr>
                        <w:rFonts w:ascii="Arial"/>
                        <w:color w:val="010202"/>
                        <w:sz w:val="21"/>
                      </w:rPr>
                      <w:t>adherence</w:t>
                    </w:r>
                    <w:r>
                      <w:rPr>
                        <w:rFonts w:ascii="Arial"/>
                        <w:color w:val="010202"/>
                        <w:spacing w:val="-2"/>
                        <w:sz w:val="21"/>
                      </w:rPr>
                      <w:t> </w:t>
                    </w:r>
                    <w:r>
                      <w:rPr>
                        <w:rFonts w:ascii="Arial"/>
                        <w:color w:val="010202"/>
                        <w:sz w:val="21"/>
                      </w:rPr>
                      <w:t>monitoring, and</w:t>
                    </w:r>
                    <w:r>
                      <w:rPr>
                        <w:rFonts w:ascii="Arial"/>
                        <w:color w:val="010202"/>
                        <w:spacing w:val="-2"/>
                        <w:sz w:val="21"/>
                      </w:rPr>
                      <w:t> </w:t>
                    </w:r>
                    <w:r>
                      <w:rPr>
                        <w:rFonts w:ascii="Arial"/>
                        <w:color w:val="010202"/>
                        <w:sz w:val="21"/>
                      </w:rPr>
                      <w:t>evidence-based</w:t>
                    </w:r>
                    <w:r>
                      <w:rPr>
                        <w:rFonts w:ascii="Arial"/>
                        <w:color w:val="010202"/>
                        <w:spacing w:val="-1"/>
                        <w:sz w:val="21"/>
                      </w:rPr>
                      <w:t> </w:t>
                    </w:r>
                    <w:r>
                      <w:rPr>
                        <w:rFonts w:ascii="Arial"/>
                        <w:color w:val="010202"/>
                        <w:sz w:val="21"/>
                      </w:rPr>
                      <w:t>treatment</w:t>
                    </w:r>
                    <w:r>
                      <w:rPr>
                        <w:rFonts w:ascii="Arial"/>
                        <w:color w:val="010202"/>
                        <w:spacing w:val="-1"/>
                        <w:sz w:val="21"/>
                      </w:rPr>
                      <w:t> </w:t>
                    </w:r>
                    <w:r>
                      <w:rPr>
                        <w:rFonts w:ascii="Arial"/>
                        <w:color w:val="010202"/>
                        <w:sz w:val="21"/>
                      </w:rPr>
                      <w:t>guidelines.</w:t>
                    </w:r>
                    <w:r>
                      <w:rPr>
                        <w:rFonts w:ascii="Arial"/>
                        <w:color w:val="010202"/>
                        <w:position w:val="7"/>
                        <w:sz w:val="12"/>
                      </w:rPr>
                      <w:t>22-23</w:t>
                    </w:r>
                  </w:p>
                  <w:p>
                    <w:pPr>
                      <w:spacing w:line="259" w:lineRule="auto" w:before="176"/>
                      <w:ind w:left="180" w:right="276" w:firstLine="0"/>
                      <w:jc w:val="left"/>
                      <w:rPr>
                        <w:rFonts w:ascii="Arial"/>
                        <w:sz w:val="12"/>
                      </w:rPr>
                    </w:pPr>
                    <w:r>
                      <w:rPr>
                        <w:rFonts w:ascii="Arial"/>
                        <w:b/>
                        <w:color w:val="CE372E"/>
                        <w:sz w:val="21"/>
                      </w:rPr>
                      <w:t>Integrated Care </w:t>
                    </w:r>
                    <w:r>
                      <w:rPr>
                        <w:rFonts w:ascii="Arial"/>
                        <w:color w:val="010202"/>
                        <w:sz w:val="21"/>
                      </w:rPr>
                      <w:t>involves merging primary health care, mental illness and/or SUD screening and treatment,</w:t>
                    </w:r>
                    <w:r>
                      <w:rPr>
                        <w:rFonts w:ascii="Arial"/>
                        <w:color w:val="010202"/>
                        <w:spacing w:val="1"/>
                        <w:sz w:val="21"/>
                      </w:rPr>
                      <w:t> </w:t>
                    </w:r>
                    <w:r>
                      <w:rPr>
                        <w:rFonts w:ascii="Arial"/>
                        <w:color w:val="010202"/>
                        <w:sz w:val="21"/>
                      </w:rPr>
                      <w:t>additional medical services (e.g., hepatology, dermatology), and social services (e.g., housing, employment)</w:t>
                    </w:r>
                    <w:r>
                      <w:rPr>
                        <w:rFonts w:ascii="Arial"/>
                        <w:color w:val="010202"/>
                        <w:spacing w:val="1"/>
                        <w:sz w:val="21"/>
                      </w:rPr>
                      <w:t> </w:t>
                    </w:r>
                    <w:r>
                      <w:rPr>
                        <w:rFonts w:ascii="Arial"/>
                        <w:color w:val="010202"/>
                        <w:sz w:val="21"/>
                      </w:rPr>
                      <w:t>into</w:t>
                    </w:r>
                    <w:r>
                      <w:rPr>
                        <w:rFonts w:ascii="Arial"/>
                        <w:color w:val="010202"/>
                        <w:spacing w:val="-4"/>
                        <w:sz w:val="21"/>
                      </w:rPr>
                      <w:t> </w:t>
                    </w:r>
                    <w:r>
                      <w:rPr>
                        <w:rFonts w:ascii="Arial"/>
                        <w:color w:val="010202"/>
                        <w:sz w:val="21"/>
                      </w:rPr>
                      <w:t>one</w:t>
                    </w:r>
                    <w:r>
                      <w:rPr>
                        <w:rFonts w:ascii="Arial"/>
                        <w:color w:val="010202"/>
                        <w:spacing w:val="-3"/>
                        <w:sz w:val="21"/>
                      </w:rPr>
                      <w:t> </w:t>
                    </w:r>
                    <w:r>
                      <w:rPr>
                        <w:rFonts w:ascii="Arial"/>
                        <w:color w:val="010202"/>
                        <w:sz w:val="21"/>
                      </w:rPr>
                      <w:t>treatment</w:t>
                    </w:r>
                    <w:r>
                      <w:rPr>
                        <w:rFonts w:ascii="Arial"/>
                        <w:color w:val="010202"/>
                        <w:spacing w:val="-2"/>
                        <w:sz w:val="21"/>
                      </w:rPr>
                      <w:t> </w:t>
                    </w:r>
                    <w:r>
                      <w:rPr>
                        <w:rFonts w:ascii="Arial"/>
                        <w:color w:val="010202"/>
                        <w:sz w:val="21"/>
                      </w:rPr>
                      <w:t>plan.</w:t>
                    </w:r>
                    <w:r>
                      <w:rPr>
                        <w:rFonts w:ascii="Arial"/>
                        <w:color w:val="010202"/>
                        <w:spacing w:val="-7"/>
                        <w:sz w:val="21"/>
                      </w:rPr>
                      <w:t> </w:t>
                    </w:r>
                    <w:r>
                      <w:rPr>
                        <w:rFonts w:ascii="Arial"/>
                        <w:color w:val="010202"/>
                        <w:sz w:val="21"/>
                      </w:rPr>
                      <w:t>These</w:t>
                    </w:r>
                    <w:r>
                      <w:rPr>
                        <w:rFonts w:ascii="Arial"/>
                        <w:color w:val="010202"/>
                        <w:spacing w:val="-2"/>
                        <w:sz w:val="21"/>
                      </w:rPr>
                      <w:t> </w:t>
                    </w:r>
                    <w:r>
                      <w:rPr>
                        <w:rFonts w:ascii="Arial"/>
                        <w:color w:val="010202"/>
                        <w:sz w:val="21"/>
                      </w:rPr>
                      <w:t>linkages</w:t>
                    </w:r>
                    <w:r>
                      <w:rPr>
                        <w:rFonts w:ascii="Arial"/>
                        <w:color w:val="010202"/>
                        <w:spacing w:val="-3"/>
                        <w:sz w:val="21"/>
                      </w:rPr>
                      <w:t> </w:t>
                    </w:r>
                    <w:r>
                      <w:rPr>
                        <w:rFonts w:ascii="Arial"/>
                        <w:color w:val="010202"/>
                        <w:sz w:val="21"/>
                      </w:rPr>
                      <w:t>improve</w:t>
                    </w:r>
                    <w:r>
                      <w:rPr>
                        <w:rFonts w:ascii="Arial"/>
                        <w:color w:val="010202"/>
                        <w:spacing w:val="-3"/>
                        <w:sz w:val="21"/>
                      </w:rPr>
                      <w:t> </w:t>
                    </w:r>
                    <w:r>
                      <w:rPr>
                        <w:rFonts w:ascii="Arial"/>
                        <w:color w:val="010202"/>
                        <w:sz w:val="21"/>
                      </w:rPr>
                      <w:t>client</w:t>
                    </w:r>
                    <w:r>
                      <w:rPr>
                        <w:rFonts w:ascii="Arial"/>
                        <w:color w:val="010202"/>
                        <w:spacing w:val="-3"/>
                        <w:sz w:val="21"/>
                      </w:rPr>
                      <w:t> </w:t>
                    </w:r>
                    <w:r>
                      <w:rPr>
                        <w:rFonts w:ascii="Arial"/>
                        <w:color w:val="010202"/>
                        <w:sz w:val="21"/>
                      </w:rPr>
                      <w:t>outcomes</w:t>
                    </w:r>
                    <w:r>
                      <w:rPr>
                        <w:rFonts w:ascii="Arial"/>
                        <w:color w:val="010202"/>
                        <w:spacing w:val="-3"/>
                        <w:sz w:val="21"/>
                      </w:rPr>
                      <w:t> </w:t>
                    </w:r>
                    <w:r>
                      <w:rPr>
                        <w:rFonts w:ascii="Arial"/>
                        <w:color w:val="010202"/>
                        <w:sz w:val="21"/>
                      </w:rPr>
                      <w:t>by</w:t>
                    </w:r>
                    <w:r>
                      <w:rPr>
                        <w:rFonts w:ascii="Arial"/>
                        <w:color w:val="010202"/>
                        <w:spacing w:val="-3"/>
                        <w:sz w:val="21"/>
                      </w:rPr>
                      <w:t> </w:t>
                    </w:r>
                    <w:r>
                      <w:rPr>
                        <w:rFonts w:ascii="Arial"/>
                        <w:color w:val="010202"/>
                        <w:sz w:val="21"/>
                      </w:rPr>
                      <w:t>combining</w:t>
                    </w:r>
                    <w:r>
                      <w:rPr>
                        <w:rFonts w:ascii="Arial"/>
                        <w:color w:val="010202"/>
                        <w:spacing w:val="-3"/>
                        <w:sz w:val="21"/>
                      </w:rPr>
                      <w:t> </w:t>
                    </w:r>
                    <w:r>
                      <w:rPr>
                        <w:rFonts w:ascii="Arial"/>
                        <w:color w:val="010202"/>
                        <w:sz w:val="21"/>
                      </w:rPr>
                      <w:t>efforts</w:t>
                    </w:r>
                    <w:r>
                      <w:rPr>
                        <w:rFonts w:ascii="Arial"/>
                        <w:color w:val="010202"/>
                        <w:spacing w:val="-2"/>
                        <w:sz w:val="21"/>
                      </w:rPr>
                      <w:t> </w:t>
                    </w:r>
                    <w:r>
                      <w:rPr>
                        <w:rFonts w:ascii="Arial"/>
                        <w:color w:val="010202"/>
                        <w:sz w:val="21"/>
                      </w:rPr>
                      <w:t>such</w:t>
                    </w:r>
                    <w:r>
                      <w:rPr>
                        <w:rFonts w:ascii="Arial"/>
                        <w:color w:val="010202"/>
                        <w:spacing w:val="-2"/>
                        <w:sz w:val="21"/>
                      </w:rPr>
                      <w:t> </w:t>
                    </w:r>
                    <w:r>
                      <w:rPr>
                        <w:rFonts w:ascii="Arial"/>
                        <w:color w:val="010202"/>
                        <w:sz w:val="21"/>
                      </w:rPr>
                      <w:t>as</w:t>
                    </w:r>
                    <w:r>
                      <w:rPr>
                        <w:rFonts w:ascii="Arial"/>
                        <w:color w:val="010202"/>
                        <w:spacing w:val="-4"/>
                        <w:sz w:val="21"/>
                      </w:rPr>
                      <w:t> </w:t>
                    </w:r>
                    <w:r>
                      <w:rPr>
                        <w:rFonts w:ascii="Arial"/>
                        <w:color w:val="010202"/>
                        <w:sz w:val="21"/>
                      </w:rPr>
                      <w:t>referrals,</w:t>
                    </w:r>
                    <w:r>
                      <w:rPr>
                        <w:rFonts w:ascii="Arial"/>
                        <w:color w:val="010202"/>
                        <w:spacing w:val="-2"/>
                        <w:sz w:val="21"/>
                      </w:rPr>
                      <w:t> </w:t>
                    </w:r>
                    <w:r>
                      <w:rPr>
                        <w:rFonts w:ascii="Arial"/>
                        <w:color w:val="010202"/>
                        <w:sz w:val="21"/>
                      </w:rPr>
                      <w:t>case</w:t>
                    </w:r>
                    <w:r>
                      <w:rPr>
                        <w:rFonts w:ascii="Arial"/>
                        <w:color w:val="010202"/>
                        <w:spacing w:val="-56"/>
                        <w:sz w:val="21"/>
                      </w:rPr>
                      <w:t> </w:t>
                    </w:r>
                    <w:r>
                      <w:rPr>
                        <w:rFonts w:ascii="Arial"/>
                        <w:color w:val="010202"/>
                        <w:sz w:val="21"/>
                      </w:rPr>
                      <w:t>planning,</w:t>
                    </w:r>
                    <w:r>
                      <w:rPr>
                        <w:rFonts w:ascii="Arial"/>
                        <w:color w:val="010202"/>
                        <w:spacing w:val="-2"/>
                        <w:sz w:val="21"/>
                      </w:rPr>
                      <w:t> </w:t>
                    </w:r>
                    <w:r>
                      <w:rPr>
                        <w:rFonts w:ascii="Arial"/>
                        <w:color w:val="010202"/>
                        <w:sz w:val="21"/>
                      </w:rPr>
                      <w:t>and</w:t>
                    </w:r>
                    <w:r>
                      <w:rPr>
                        <w:rFonts w:ascii="Arial"/>
                        <w:color w:val="010202"/>
                        <w:spacing w:val="-1"/>
                        <w:sz w:val="21"/>
                      </w:rPr>
                      <w:t> </w:t>
                    </w:r>
                    <w:r>
                      <w:rPr>
                        <w:rFonts w:ascii="Arial"/>
                        <w:color w:val="010202"/>
                        <w:sz w:val="21"/>
                      </w:rPr>
                      <w:t>resources.</w:t>
                    </w:r>
                    <w:r>
                      <w:rPr>
                        <w:rFonts w:ascii="Arial"/>
                        <w:color w:val="010202"/>
                        <w:position w:val="7"/>
                        <w:sz w:val="12"/>
                      </w:rPr>
                      <w:t>23-26</w:t>
                    </w:r>
                  </w:p>
                  <w:p>
                    <w:pPr>
                      <w:spacing w:line="259" w:lineRule="auto" w:before="177"/>
                      <w:ind w:left="179" w:right="0" w:firstLine="0"/>
                      <w:jc w:val="left"/>
                      <w:rPr>
                        <w:rFonts w:ascii="Arial"/>
                        <w:sz w:val="21"/>
                      </w:rPr>
                    </w:pPr>
                    <w:r>
                      <w:rPr>
                        <w:rFonts w:ascii="Arial"/>
                        <w:color w:val="010202"/>
                        <w:sz w:val="21"/>
                      </w:rPr>
                      <w:t>The two terms are not interchangeable, and exist on a continuum.</w:t>
                    </w:r>
                    <w:r>
                      <w:rPr>
                        <w:rFonts w:ascii="Arial"/>
                        <w:color w:val="010202"/>
                        <w:position w:val="7"/>
                        <w:sz w:val="12"/>
                      </w:rPr>
                      <w:t>27 </w:t>
                    </w:r>
                    <w:r>
                      <w:rPr>
                        <w:rFonts w:ascii="Arial"/>
                        <w:color w:val="010202"/>
                        <w:sz w:val="21"/>
                      </w:rPr>
                      <w:t>For example, a system can collaborate while</w:t>
                    </w:r>
                    <w:r>
                      <w:rPr>
                        <w:rFonts w:ascii="Arial"/>
                        <w:color w:val="010202"/>
                        <w:spacing w:val="-56"/>
                        <w:sz w:val="21"/>
                      </w:rPr>
                      <w:t> </w:t>
                    </w:r>
                    <w:r>
                      <w:rPr>
                        <w:rFonts w:ascii="Arial"/>
                        <w:color w:val="010202"/>
                        <w:sz w:val="21"/>
                      </w:rPr>
                      <w:t>having separate EHR, billing, and scheduling systems. A system can also have integrated care with co-located</w:t>
                    </w:r>
                    <w:r>
                      <w:rPr>
                        <w:rFonts w:ascii="Arial"/>
                        <w:color w:val="010202"/>
                        <w:spacing w:val="1"/>
                        <w:sz w:val="21"/>
                      </w:rPr>
                      <w:t> </w:t>
                    </w:r>
                    <w:r>
                      <w:rPr>
                        <w:rFonts w:ascii="Arial"/>
                        <w:color w:val="010202"/>
                        <w:sz w:val="21"/>
                      </w:rPr>
                      <w:t>services</w:t>
                    </w:r>
                    <w:r>
                      <w:rPr>
                        <w:rFonts w:ascii="Arial"/>
                        <w:color w:val="010202"/>
                        <w:spacing w:val="-1"/>
                        <w:sz w:val="21"/>
                      </w:rPr>
                      <w:t> </w:t>
                    </w:r>
                    <w:r>
                      <w:rPr>
                        <w:rFonts w:ascii="Arial"/>
                        <w:color w:val="010202"/>
                        <w:sz w:val="21"/>
                      </w:rPr>
                      <w:t>where</w:t>
                    </w:r>
                    <w:r>
                      <w:rPr>
                        <w:rFonts w:ascii="Arial"/>
                        <w:color w:val="010202"/>
                        <w:spacing w:val="-1"/>
                        <w:sz w:val="21"/>
                      </w:rPr>
                      <w:t> </w:t>
                    </w:r>
                    <w:r>
                      <w:rPr>
                        <w:rFonts w:ascii="Arial"/>
                        <w:color w:val="010202"/>
                        <w:sz w:val="21"/>
                      </w:rPr>
                      <w:t>practitioners</w:t>
                    </w:r>
                    <w:r>
                      <w:rPr>
                        <w:rFonts w:ascii="Arial"/>
                        <w:color w:val="010202"/>
                        <w:spacing w:val="-2"/>
                        <w:sz w:val="21"/>
                      </w:rPr>
                      <w:t> </w:t>
                    </w:r>
                    <w:r>
                      <w:rPr>
                        <w:rFonts w:ascii="Arial"/>
                        <w:color w:val="010202"/>
                        <w:sz w:val="21"/>
                      </w:rPr>
                      <w:t>collaborate and</w:t>
                    </w:r>
                    <w:r>
                      <w:rPr>
                        <w:rFonts w:ascii="Arial"/>
                        <w:color w:val="010202"/>
                        <w:spacing w:val="-2"/>
                        <w:sz w:val="21"/>
                      </w:rPr>
                      <w:t> </w:t>
                    </w:r>
                    <w:r>
                      <w:rPr>
                        <w:rFonts w:ascii="Arial"/>
                        <w:color w:val="010202"/>
                        <w:sz w:val="21"/>
                      </w:rPr>
                      <w:t>case-conference to</w:t>
                    </w:r>
                    <w:r>
                      <w:rPr>
                        <w:rFonts w:ascii="Arial"/>
                        <w:color w:val="010202"/>
                        <w:spacing w:val="-1"/>
                        <w:sz w:val="21"/>
                      </w:rPr>
                      <w:t> </w:t>
                    </w:r>
                    <w:r>
                      <w:rPr>
                        <w:rFonts w:ascii="Arial"/>
                        <w:color w:val="010202"/>
                        <w:sz w:val="21"/>
                      </w:rPr>
                      <w:t>discuss</w:t>
                    </w:r>
                    <w:r>
                      <w:rPr>
                        <w:rFonts w:ascii="Arial"/>
                        <w:color w:val="010202"/>
                        <w:spacing w:val="-1"/>
                        <w:sz w:val="21"/>
                      </w:rPr>
                      <w:t> </w:t>
                    </w:r>
                    <w:r>
                      <w:rPr>
                        <w:rFonts w:ascii="Arial"/>
                        <w:color w:val="010202"/>
                        <w:sz w:val="21"/>
                      </w:rPr>
                      <w:t>client care.</w:t>
                    </w:r>
                  </w:p>
                  <w:p>
                    <w:pPr>
                      <w:spacing w:line="259" w:lineRule="auto" w:before="178"/>
                      <w:ind w:left="179" w:right="209" w:firstLine="0"/>
                      <w:jc w:val="left"/>
                      <w:rPr>
                        <w:rFonts w:ascii="Arial" w:hAnsi="Arial"/>
                        <w:sz w:val="12"/>
                      </w:rPr>
                    </w:pPr>
                    <w:r>
                      <w:rPr>
                        <w:rFonts w:ascii="Arial" w:hAnsi="Arial"/>
                        <w:color w:val="010202"/>
                        <w:sz w:val="21"/>
                      </w:rPr>
                      <w:t>Examples of coordinated care models include patient centered medical homes,</w:t>
                    </w:r>
                    <w:r>
                      <w:rPr>
                        <w:rFonts w:ascii="Arial" w:hAnsi="Arial"/>
                        <w:color w:val="010202"/>
                        <w:position w:val="7"/>
                        <w:sz w:val="12"/>
                      </w:rPr>
                      <w:t>28</w:t>
                    </w:r>
                    <w:r>
                      <w:rPr>
                        <w:rFonts w:ascii="Arial" w:hAnsi="Arial"/>
                        <w:color w:val="010202"/>
                        <w:spacing w:val="33"/>
                        <w:position w:val="7"/>
                        <w:sz w:val="12"/>
                      </w:rPr>
                      <w:t> </w:t>
                    </w:r>
                    <w:r>
                      <w:rPr>
                        <w:rFonts w:ascii="Arial" w:hAnsi="Arial"/>
                        <w:color w:val="010202"/>
                        <w:sz w:val="21"/>
                      </w:rPr>
                      <w:t>primary care case</w:t>
                    </w:r>
                    <w:r>
                      <w:rPr>
                        <w:rFonts w:ascii="Arial" w:hAnsi="Arial"/>
                        <w:color w:val="010202"/>
                        <w:spacing w:val="1"/>
                        <w:sz w:val="21"/>
                      </w:rPr>
                      <w:t> </w:t>
                    </w:r>
                    <w:r>
                      <w:rPr>
                        <w:rFonts w:ascii="Arial" w:hAnsi="Arial"/>
                        <w:color w:val="010202"/>
                        <w:sz w:val="21"/>
                      </w:rPr>
                      <w:t>management arrangements,</w:t>
                    </w:r>
                    <w:r>
                      <w:rPr>
                        <w:rFonts w:ascii="Arial" w:hAnsi="Arial"/>
                        <w:color w:val="010202"/>
                        <w:position w:val="7"/>
                        <w:sz w:val="12"/>
                      </w:rPr>
                      <w:t>29 </w:t>
                    </w:r>
                    <w:r>
                      <w:rPr>
                        <w:rFonts w:ascii="Arial" w:hAnsi="Arial"/>
                        <w:color w:val="010202"/>
                        <w:sz w:val="21"/>
                      </w:rPr>
                      <w:t>co-located or limited capacity primary care in behavioral health organizations,</w:t>
                    </w:r>
                    <w:r>
                      <w:rPr>
                        <w:rFonts w:ascii="Arial" w:hAnsi="Arial"/>
                        <w:color w:val="010202"/>
                        <w:position w:val="7"/>
                        <w:sz w:val="12"/>
                      </w:rPr>
                      <w:t>29</w:t>
                    </w:r>
                    <w:r>
                      <w:rPr>
                        <w:rFonts w:ascii="Arial" w:hAnsi="Arial"/>
                        <w:color w:val="010202"/>
                        <w:spacing w:val="1"/>
                        <w:position w:val="7"/>
                        <w:sz w:val="12"/>
                      </w:rPr>
                      <w:t> </w:t>
                    </w:r>
                    <w:r>
                      <w:rPr>
                        <w:rFonts w:ascii="Arial" w:hAnsi="Arial"/>
                        <w:color w:val="010202"/>
                        <w:sz w:val="21"/>
                      </w:rPr>
                      <w:t>SAMHSA’s Primary Care and Behavioral Health Integration model,</w:t>
                    </w:r>
                    <w:r>
                      <w:rPr>
                        <w:rFonts w:ascii="Arial" w:hAnsi="Arial"/>
                        <w:color w:val="010202"/>
                        <w:position w:val="7"/>
                        <w:sz w:val="12"/>
                      </w:rPr>
                      <w:t>30 </w:t>
                    </w:r>
                    <w:r>
                      <w:rPr>
                        <w:rFonts w:ascii="Arial" w:hAnsi="Arial"/>
                        <w:color w:val="010202"/>
                        <w:sz w:val="21"/>
                      </w:rPr>
                      <w:t>and Certified Community Behavioral Health</w:t>
                    </w:r>
                    <w:r>
                      <w:rPr>
                        <w:rFonts w:ascii="Arial" w:hAnsi="Arial"/>
                        <w:color w:val="010202"/>
                        <w:spacing w:val="-56"/>
                        <w:sz w:val="21"/>
                      </w:rPr>
                      <w:t> </w:t>
                    </w:r>
                    <w:r>
                      <w:rPr>
                        <w:rFonts w:ascii="Arial" w:hAnsi="Arial"/>
                        <w:color w:val="010202"/>
                        <w:sz w:val="21"/>
                      </w:rPr>
                      <w:t>Clinic</w:t>
                    </w:r>
                    <w:r>
                      <w:rPr>
                        <w:rFonts w:ascii="Arial" w:hAnsi="Arial"/>
                        <w:color w:val="010202"/>
                        <w:spacing w:val="-2"/>
                        <w:sz w:val="21"/>
                      </w:rPr>
                      <w:t> </w:t>
                    </w:r>
                    <w:r>
                      <w:rPr>
                        <w:rFonts w:ascii="Arial" w:hAnsi="Arial"/>
                        <w:color w:val="010202"/>
                        <w:sz w:val="21"/>
                      </w:rPr>
                      <w:t>models.</w:t>
                    </w:r>
                    <w:r>
                      <w:rPr>
                        <w:rFonts w:ascii="Arial" w:hAnsi="Arial"/>
                        <w:color w:val="010202"/>
                        <w:position w:val="7"/>
                        <w:sz w:val="12"/>
                      </w:rPr>
                      <w:t>31</w:t>
                    </w:r>
                  </w:p>
                </w:txbxContent>
              </v:textbox>
              <w10:wrap type="none"/>
            </v:shape>
          </v:group>
        </w:pict>
      </w:r>
      <w:r>
        <w:rPr>
          <w:sz w:val="20"/>
        </w:rPr>
      </w:r>
    </w:p>
    <w:p>
      <w:pPr>
        <w:pStyle w:val="BodyText"/>
        <w:spacing w:before="1"/>
        <w:rPr>
          <w:sz w:val="20"/>
        </w:rPr>
      </w:pPr>
    </w:p>
    <w:p>
      <w:pPr>
        <w:spacing w:after="0"/>
        <w:rPr>
          <w:sz w:val="20"/>
        </w:rPr>
        <w:sectPr>
          <w:pgSz w:w="12240" w:h="15840"/>
          <w:pgMar w:header="0" w:footer="666" w:top="380" w:bottom="860" w:left="560" w:right="0"/>
        </w:sectPr>
      </w:pPr>
    </w:p>
    <w:p>
      <w:pPr>
        <w:pStyle w:val="BodyText"/>
        <w:spacing w:line="266" w:lineRule="auto" w:before="90"/>
        <w:ind w:left="160"/>
      </w:pPr>
      <w:r>
        <w:rPr>
          <w:color w:val="231F20"/>
          <w:spacing w:val="-1"/>
        </w:rPr>
        <w:t>Practitioners</w:t>
      </w:r>
      <w:r>
        <w:rPr>
          <w:color w:val="231F20"/>
          <w:spacing w:val="-13"/>
        </w:rPr>
        <w:t> </w:t>
      </w:r>
      <w:r>
        <w:rPr>
          <w:color w:val="231F20"/>
          <w:spacing w:val="-1"/>
        </w:rPr>
        <w:t>can</w:t>
      </w:r>
      <w:r>
        <w:rPr>
          <w:color w:val="231F20"/>
          <w:spacing w:val="-12"/>
        </w:rPr>
        <w:t> </w:t>
      </w:r>
      <w:r>
        <w:rPr>
          <w:color w:val="231F20"/>
          <w:spacing w:val="-1"/>
        </w:rPr>
        <w:t>use</w:t>
      </w:r>
      <w:r>
        <w:rPr>
          <w:color w:val="231F20"/>
          <w:spacing w:val="-12"/>
        </w:rPr>
        <w:t> </w:t>
      </w:r>
      <w:r>
        <w:rPr>
          <w:color w:val="231F20"/>
          <w:spacing w:val="-1"/>
        </w:rPr>
        <w:t>the</w:t>
      </w:r>
      <w:r>
        <w:rPr>
          <w:color w:val="231F20"/>
          <w:spacing w:val="-12"/>
        </w:rPr>
        <w:t> </w:t>
      </w:r>
      <w:r>
        <w:rPr>
          <w:color w:val="231F20"/>
          <w:spacing w:val="-1"/>
        </w:rPr>
        <w:t>following</w:t>
      </w:r>
      <w:r>
        <w:rPr>
          <w:color w:val="231F20"/>
          <w:spacing w:val="-12"/>
        </w:rPr>
        <w:t> </w:t>
      </w:r>
      <w:r>
        <w:rPr>
          <w:color w:val="231F20"/>
          <w:spacing w:val="-1"/>
        </w:rPr>
        <w:t>strategies</w:t>
      </w:r>
      <w:r>
        <w:rPr>
          <w:color w:val="231F20"/>
          <w:spacing w:val="-12"/>
        </w:rPr>
        <w:t> </w:t>
      </w:r>
      <w:r>
        <w:rPr>
          <w:color w:val="231F20"/>
          <w:spacing w:val="-1"/>
        </w:rPr>
        <w:t>to</w:t>
      </w:r>
      <w:r>
        <w:rPr>
          <w:color w:val="231F20"/>
          <w:spacing w:val="-12"/>
        </w:rPr>
        <w:t> </w:t>
      </w:r>
      <w:r>
        <w:rPr>
          <w:color w:val="231F20"/>
          <w:spacing w:val="-1"/>
        </w:rPr>
        <w:t>determine</w:t>
      </w:r>
      <w:r>
        <w:rPr>
          <w:color w:val="231F20"/>
          <w:spacing w:val="-52"/>
        </w:rPr>
        <w:t> </w:t>
      </w:r>
      <w:r>
        <w:rPr>
          <w:color w:val="231F20"/>
        </w:rPr>
        <w:t>the level of integration feasible and appropriate within</w:t>
      </w:r>
      <w:r>
        <w:rPr>
          <w:color w:val="231F20"/>
          <w:spacing w:val="1"/>
        </w:rPr>
        <w:t> </w:t>
      </w:r>
      <w:r>
        <w:rPr>
          <w:color w:val="231F20"/>
        </w:rPr>
        <w:t>their</w:t>
      </w:r>
      <w:r>
        <w:rPr>
          <w:color w:val="231F20"/>
          <w:spacing w:val="-5"/>
        </w:rPr>
        <w:t> </w:t>
      </w:r>
      <w:r>
        <w:rPr>
          <w:color w:val="231F20"/>
        </w:rPr>
        <w:t>organization:</w:t>
      </w:r>
    </w:p>
    <w:p>
      <w:pPr>
        <w:pStyle w:val="ListParagraph"/>
        <w:numPr>
          <w:ilvl w:val="0"/>
          <w:numId w:val="19"/>
        </w:numPr>
        <w:tabs>
          <w:tab w:pos="879" w:val="left" w:leader="none"/>
          <w:tab w:pos="880" w:val="left" w:leader="none"/>
        </w:tabs>
        <w:spacing w:line="249" w:lineRule="auto" w:before="146" w:after="0"/>
        <w:ind w:left="879" w:right="301" w:hanging="360"/>
        <w:jc w:val="left"/>
        <w:rPr>
          <w:sz w:val="22"/>
        </w:rPr>
      </w:pPr>
      <w:r>
        <w:rPr>
          <w:color w:val="010202"/>
          <w:sz w:val="22"/>
        </w:rPr>
        <w:t>Identify leaders within clinical networks and</w:t>
      </w:r>
      <w:r>
        <w:rPr>
          <w:color w:val="010202"/>
          <w:spacing w:val="1"/>
          <w:sz w:val="22"/>
        </w:rPr>
        <w:t> </w:t>
      </w:r>
      <w:r>
        <w:rPr>
          <w:color w:val="010202"/>
          <w:sz w:val="22"/>
        </w:rPr>
        <w:t>health systems who can champion integration</w:t>
      </w:r>
      <w:r>
        <w:rPr>
          <w:color w:val="010202"/>
          <w:spacing w:val="-52"/>
          <w:sz w:val="22"/>
        </w:rPr>
        <w:t> </w:t>
      </w:r>
      <w:r>
        <w:rPr>
          <w:color w:val="010202"/>
          <w:sz w:val="22"/>
        </w:rPr>
        <w:t>and advocate for coordination, co-location,</w:t>
      </w:r>
      <w:r>
        <w:rPr>
          <w:color w:val="010202"/>
          <w:spacing w:val="1"/>
          <w:sz w:val="22"/>
        </w:rPr>
        <w:t> </w:t>
      </w:r>
      <w:r>
        <w:rPr>
          <w:color w:val="010202"/>
          <w:sz w:val="22"/>
        </w:rPr>
        <w:t>and</w:t>
      </w:r>
      <w:r>
        <w:rPr>
          <w:color w:val="010202"/>
          <w:spacing w:val="-1"/>
          <w:sz w:val="22"/>
        </w:rPr>
        <w:t> </w:t>
      </w:r>
      <w:r>
        <w:rPr>
          <w:color w:val="010202"/>
          <w:sz w:val="22"/>
        </w:rPr>
        <w:t>integration</w:t>
      </w:r>
      <w:r>
        <w:rPr>
          <w:color w:val="010202"/>
          <w:spacing w:val="-1"/>
          <w:sz w:val="22"/>
        </w:rPr>
        <w:t> </w:t>
      </w:r>
      <w:r>
        <w:rPr>
          <w:color w:val="010202"/>
          <w:sz w:val="22"/>
        </w:rPr>
        <w:t>over</w:t>
      </w:r>
      <w:r>
        <w:rPr>
          <w:color w:val="010202"/>
          <w:spacing w:val="-1"/>
          <w:sz w:val="22"/>
        </w:rPr>
        <w:t> </w:t>
      </w:r>
      <w:r>
        <w:rPr>
          <w:color w:val="010202"/>
          <w:sz w:val="22"/>
        </w:rPr>
        <w:t>time.</w:t>
      </w:r>
      <w:r>
        <w:rPr>
          <w:color w:val="010202"/>
          <w:sz w:val="22"/>
          <w:vertAlign w:val="superscript"/>
        </w:rPr>
        <w:t>21</w:t>
      </w:r>
      <w:r>
        <w:rPr>
          <w:color w:val="010202"/>
          <w:spacing w:val="-1"/>
          <w:sz w:val="22"/>
          <w:vertAlign w:val="baseline"/>
        </w:rPr>
        <w:t> </w:t>
      </w:r>
      <w:r>
        <w:rPr>
          <w:color w:val="010202"/>
          <w:sz w:val="22"/>
          <w:vertAlign w:val="baseline"/>
        </w:rPr>
        <w:t>Integration</w:t>
      </w:r>
    </w:p>
    <w:p>
      <w:pPr>
        <w:pStyle w:val="BodyText"/>
        <w:spacing w:line="249" w:lineRule="auto" w:before="2"/>
        <w:ind w:left="880" w:right="316"/>
      </w:pPr>
      <w:r>
        <w:rPr>
          <w:color w:val="010202"/>
        </w:rPr>
        <w:t>takes administrative, political, and financial</w:t>
      </w:r>
      <w:r>
        <w:rPr>
          <w:color w:val="010202"/>
          <w:spacing w:val="1"/>
        </w:rPr>
        <w:t> </w:t>
      </w:r>
      <w:r>
        <w:rPr>
          <w:color w:val="010202"/>
        </w:rPr>
        <w:t>investments, as well as cultural change and</w:t>
      </w:r>
      <w:r>
        <w:rPr>
          <w:color w:val="010202"/>
          <w:spacing w:val="1"/>
        </w:rPr>
        <w:t> </w:t>
      </w:r>
      <w:r>
        <w:rPr>
          <w:color w:val="010202"/>
        </w:rPr>
        <w:t>different</w:t>
      </w:r>
      <w:r>
        <w:rPr>
          <w:color w:val="010202"/>
          <w:spacing w:val="-4"/>
        </w:rPr>
        <w:t> </w:t>
      </w:r>
      <w:r>
        <w:rPr>
          <w:color w:val="010202"/>
        </w:rPr>
        <w:t>ways</w:t>
      </w:r>
      <w:r>
        <w:rPr>
          <w:color w:val="010202"/>
          <w:spacing w:val="-5"/>
        </w:rPr>
        <w:t> </w:t>
      </w:r>
      <w:r>
        <w:rPr>
          <w:color w:val="010202"/>
        </w:rPr>
        <w:t>of</w:t>
      </w:r>
      <w:r>
        <w:rPr>
          <w:color w:val="010202"/>
          <w:spacing w:val="-3"/>
        </w:rPr>
        <w:t> </w:t>
      </w:r>
      <w:r>
        <w:rPr>
          <w:color w:val="010202"/>
        </w:rPr>
        <w:t>communicating</w:t>
      </w:r>
      <w:r>
        <w:rPr>
          <w:color w:val="010202"/>
          <w:spacing w:val="-4"/>
        </w:rPr>
        <w:t> </w:t>
      </w:r>
      <w:r>
        <w:rPr>
          <w:color w:val="010202"/>
        </w:rPr>
        <w:t>among</w:t>
      </w:r>
      <w:r>
        <w:rPr>
          <w:color w:val="010202"/>
          <w:spacing w:val="-3"/>
        </w:rPr>
        <w:t> </w:t>
      </w:r>
      <w:r>
        <w:rPr>
          <w:color w:val="010202"/>
        </w:rPr>
        <w:t>care</w:t>
      </w:r>
      <w:r>
        <w:rPr>
          <w:color w:val="010202"/>
          <w:spacing w:val="-52"/>
        </w:rPr>
        <w:t> </w:t>
      </w:r>
      <w:r>
        <w:rPr>
          <w:color w:val="010202"/>
        </w:rPr>
        <w:t>teams and clinics.</w:t>
      </w:r>
    </w:p>
    <w:p>
      <w:pPr>
        <w:pStyle w:val="ListParagraph"/>
        <w:numPr>
          <w:ilvl w:val="0"/>
          <w:numId w:val="19"/>
        </w:numPr>
        <w:tabs>
          <w:tab w:pos="879" w:val="left" w:leader="none"/>
          <w:tab w:pos="881" w:val="left" w:leader="none"/>
        </w:tabs>
        <w:spacing w:line="249" w:lineRule="auto" w:before="0" w:after="0"/>
        <w:ind w:left="880" w:right="51" w:hanging="360"/>
        <w:jc w:val="left"/>
        <w:rPr>
          <w:sz w:val="22"/>
        </w:rPr>
      </w:pPr>
      <w:r>
        <w:rPr>
          <w:color w:val="010202"/>
          <w:sz w:val="22"/>
        </w:rPr>
        <w:t>Modify funding structures, billing codes, and</w:t>
      </w:r>
      <w:r>
        <w:rPr>
          <w:color w:val="010202"/>
          <w:spacing w:val="1"/>
          <w:sz w:val="22"/>
        </w:rPr>
        <w:t> </w:t>
      </w:r>
      <w:r>
        <w:rPr>
          <w:color w:val="010202"/>
          <w:sz w:val="22"/>
        </w:rPr>
        <w:t>procedures to account for new coordinated</w:t>
      </w:r>
      <w:r>
        <w:rPr>
          <w:color w:val="010202"/>
          <w:spacing w:val="1"/>
          <w:sz w:val="22"/>
        </w:rPr>
        <w:t> </w:t>
      </w:r>
      <w:r>
        <w:rPr>
          <w:color w:val="010202"/>
          <w:sz w:val="22"/>
        </w:rPr>
        <w:t>models</w:t>
      </w:r>
      <w:r>
        <w:rPr>
          <w:color w:val="010202"/>
          <w:spacing w:val="-8"/>
          <w:sz w:val="22"/>
        </w:rPr>
        <w:t> </w:t>
      </w:r>
      <w:r>
        <w:rPr>
          <w:color w:val="010202"/>
          <w:sz w:val="22"/>
        </w:rPr>
        <w:t>and</w:t>
      </w:r>
      <w:r>
        <w:rPr>
          <w:color w:val="010202"/>
          <w:spacing w:val="-7"/>
          <w:sz w:val="22"/>
        </w:rPr>
        <w:t> </w:t>
      </w:r>
      <w:r>
        <w:rPr>
          <w:color w:val="010202"/>
          <w:sz w:val="22"/>
        </w:rPr>
        <w:t>consultation</w:t>
      </w:r>
      <w:r>
        <w:rPr>
          <w:color w:val="010202"/>
          <w:spacing w:val="-7"/>
          <w:sz w:val="22"/>
        </w:rPr>
        <w:t> </w:t>
      </w:r>
      <w:r>
        <w:rPr>
          <w:color w:val="010202"/>
          <w:sz w:val="22"/>
        </w:rPr>
        <w:t>between</w:t>
      </w:r>
      <w:r>
        <w:rPr>
          <w:color w:val="010202"/>
          <w:spacing w:val="-7"/>
          <w:sz w:val="22"/>
        </w:rPr>
        <w:t> </w:t>
      </w:r>
      <w:r>
        <w:rPr>
          <w:color w:val="010202"/>
          <w:sz w:val="22"/>
        </w:rPr>
        <w:t>practitioners.</w:t>
      </w:r>
      <w:r>
        <w:rPr>
          <w:color w:val="010202"/>
          <w:sz w:val="22"/>
          <w:vertAlign w:val="superscript"/>
        </w:rPr>
        <w:t>21</w:t>
      </w:r>
    </w:p>
    <w:p>
      <w:pPr>
        <w:pStyle w:val="ListParagraph"/>
        <w:numPr>
          <w:ilvl w:val="0"/>
          <w:numId w:val="19"/>
        </w:numPr>
        <w:tabs>
          <w:tab w:pos="879" w:val="left" w:leader="none"/>
          <w:tab w:pos="880" w:val="left" w:leader="none"/>
        </w:tabs>
        <w:spacing w:line="255" w:lineRule="exact" w:before="0" w:after="0"/>
        <w:ind w:left="879" w:right="0" w:hanging="361"/>
        <w:jc w:val="left"/>
        <w:rPr>
          <w:sz w:val="22"/>
        </w:rPr>
      </w:pPr>
      <w:r>
        <w:rPr>
          <w:color w:val="010202"/>
          <w:spacing w:val="-1"/>
          <w:sz w:val="22"/>
        </w:rPr>
        <w:t>Permit</w:t>
      </w:r>
      <w:r>
        <w:rPr>
          <w:color w:val="010202"/>
          <w:spacing w:val="2"/>
          <w:sz w:val="22"/>
        </w:rPr>
        <w:t> </w:t>
      </w:r>
      <w:r>
        <w:rPr>
          <w:color w:val="010202"/>
          <w:spacing w:val="-1"/>
          <w:sz w:val="22"/>
        </w:rPr>
        <w:t>data</w:t>
      </w:r>
      <w:r>
        <w:rPr>
          <w:color w:val="010202"/>
          <w:spacing w:val="3"/>
          <w:sz w:val="22"/>
        </w:rPr>
        <w:t> </w:t>
      </w:r>
      <w:r>
        <w:rPr>
          <w:color w:val="010202"/>
          <w:spacing w:val="-1"/>
          <w:sz w:val="22"/>
        </w:rPr>
        <w:t>sharing</w:t>
      </w:r>
      <w:r>
        <w:rPr>
          <w:color w:val="010202"/>
          <w:spacing w:val="2"/>
          <w:sz w:val="22"/>
        </w:rPr>
        <w:t> </w:t>
      </w:r>
      <w:r>
        <w:rPr>
          <w:color w:val="010202"/>
          <w:spacing w:val="-1"/>
          <w:sz w:val="22"/>
        </w:rPr>
        <w:t>across</w:t>
      </w:r>
      <w:r>
        <w:rPr>
          <w:color w:val="010202"/>
          <w:spacing w:val="-11"/>
          <w:sz w:val="22"/>
        </w:rPr>
        <w:t> </w:t>
      </w:r>
      <w:r>
        <w:rPr>
          <w:color w:val="010202"/>
          <w:spacing w:val="-1"/>
          <w:sz w:val="22"/>
        </w:rPr>
        <w:t>AIDS-Service</w:t>
      </w:r>
    </w:p>
    <w:p>
      <w:pPr>
        <w:pStyle w:val="BodyText"/>
        <w:spacing w:line="249" w:lineRule="auto"/>
        <w:ind w:left="879" w:right="316"/>
      </w:pPr>
      <w:r>
        <w:rPr>
          <w:color w:val="010202"/>
        </w:rPr>
        <w:t>Organizations, social and health service</w:t>
      </w:r>
      <w:r>
        <w:rPr>
          <w:color w:val="010202"/>
          <w:spacing w:val="1"/>
        </w:rPr>
        <w:t> </w:t>
      </w:r>
      <w:r>
        <w:rPr>
          <w:color w:val="010202"/>
        </w:rPr>
        <w:t>practitioners, behavioral health specialists,</w:t>
      </w:r>
      <w:r>
        <w:rPr>
          <w:color w:val="010202"/>
          <w:spacing w:val="1"/>
        </w:rPr>
        <w:t> </w:t>
      </w:r>
      <w:r>
        <w:rPr>
          <w:color w:val="010202"/>
        </w:rPr>
        <w:t>and</w:t>
      </w:r>
      <w:r>
        <w:rPr>
          <w:color w:val="010202"/>
          <w:spacing w:val="-3"/>
        </w:rPr>
        <w:t> </w:t>
      </w:r>
      <w:r>
        <w:rPr>
          <w:color w:val="010202"/>
        </w:rPr>
        <w:t>the</w:t>
      </w:r>
      <w:r>
        <w:rPr>
          <w:color w:val="010202"/>
          <w:spacing w:val="-2"/>
        </w:rPr>
        <w:t> </w:t>
      </w:r>
      <w:r>
        <w:rPr>
          <w:color w:val="010202"/>
        </w:rPr>
        <w:t>department</w:t>
      </w:r>
      <w:r>
        <w:rPr>
          <w:color w:val="010202"/>
          <w:spacing w:val="-3"/>
        </w:rPr>
        <w:t> </w:t>
      </w:r>
      <w:r>
        <w:rPr>
          <w:color w:val="010202"/>
        </w:rPr>
        <w:t>of</w:t>
      </w:r>
      <w:r>
        <w:rPr>
          <w:color w:val="010202"/>
          <w:spacing w:val="-2"/>
        </w:rPr>
        <w:t> </w:t>
      </w:r>
      <w:r>
        <w:rPr>
          <w:color w:val="010202"/>
        </w:rPr>
        <w:t>corrections</w:t>
      </w:r>
      <w:r>
        <w:rPr>
          <w:color w:val="010202"/>
          <w:spacing w:val="-2"/>
        </w:rPr>
        <w:t> </w:t>
      </w:r>
      <w:r>
        <w:rPr>
          <w:color w:val="010202"/>
        </w:rPr>
        <w:t>to</w:t>
      </w:r>
      <w:r>
        <w:rPr>
          <w:color w:val="010202"/>
          <w:spacing w:val="-3"/>
        </w:rPr>
        <w:t> </w:t>
      </w:r>
      <w:r>
        <w:rPr>
          <w:color w:val="010202"/>
        </w:rPr>
        <w:t>increase</w:t>
      </w:r>
    </w:p>
    <w:p>
      <w:pPr>
        <w:pStyle w:val="BodyText"/>
        <w:spacing w:line="249" w:lineRule="auto" w:before="1"/>
        <w:ind w:left="879" w:right="38" w:hanging="1"/>
      </w:pPr>
      <w:r>
        <w:rPr>
          <w:color w:val="010202"/>
        </w:rPr>
        <w:t>service</w:t>
      </w:r>
      <w:r>
        <w:rPr>
          <w:color w:val="010202"/>
          <w:spacing w:val="-6"/>
        </w:rPr>
        <w:t> </w:t>
      </w:r>
      <w:r>
        <w:rPr>
          <w:color w:val="010202"/>
        </w:rPr>
        <w:t>coordination.</w:t>
      </w:r>
      <w:r>
        <w:rPr>
          <w:color w:val="010202"/>
          <w:vertAlign w:val="superscript"/>
        </w:rPr>
        <w:t>33</w:t>
      </w:r>
      <w:r>
        <w:rPr>
          <w:color w:val="010202"/>
          <w:spacing w:val="-9"/>
          <w:vertAlign w:val="baseline"/>
        </w:rPr>
        <w:t> </w:t>
      </w:r>
      <w:r>
        <w:rPr>
          <w:color w:val="010202"/>
          <w:vertAlign w:val="baseline"/>
        </w:rPr>
        <w:t>When</w:t>
      </w:r>
      <w:r>
        <w:rPr>
          <w:color w:val="010202"/>
          <w:spacing w:val="-5"/>
          <w:vertAlign w:val="baseline"/>
        </w:rPr>
        <w:t> </w:t>
      </w:r>
      <w:r>
        <w:rPr>
          <w:color w:val="010202"/>
          <w:vertAlign w:val="baseline"/>
        </w:rPr>
        <w:t>sharing</w:t>
      </w:r>
      <w:r>
        <w:rPr>
          <w:color w:val="010202"/>
          <w:spacing w:val="-5"/>
          <w:vertAlign w:val="baseline"/>
        </w:rPr>
        <w:t> </w:t>
      </w:r>
      <w:r>
        <w:rPr>
          <w:color w:val="010202"/>
          <w:vertAlign w:val="baseline"/>
        </w:rPr>
        <w:t>data</w:t>
      </w:r>
      <w:r>
        <w:rPr>
          <w:color w:val="010202"/>
          <w:spacing w:val="-5"/>
          <w:vertAlign w:val="baseline"/>
        </w:rPr>
        <w:t> </w:t>
      </w:r>
      <w:r>
        <w:rPr>
          <w:color w:val="010202"/>
          <w:vertAlign w:val="baseline"/>
        </w:rPr>
        <w:t>across</w:t>
      </w:r>
      <w:r>
        <w:rPr>
          <w:color w:val="010202"/>
          <w:spacing w:val="-52"/>
          <w:vertAlign w:val="baseline"/>
        </w:rPr>
        <w:t> </w:t>
      </w:r>
      <w:r>
        <w:rPr>
          <w:color w:val="010202"/>
          <w:vertAlign w:val="baseline"/>
        </w:rPr>
        <w:t>organizations,</w:t>
      </w:r>
      <w:r>
        <w:rPr>
          <w:color w:val="010202"/>
          <w:spacing w:val="2"/>
          <w:vertAlign w:val="baseline"/>
        </w:rPr>
        <w:t> </w:t>
      </w:r>
      <w:r>
        <w:rPr>
          <w:color w:val="010202"/>
          <w:vertAlign w:val="baseline"/>
        </w:rPr>
        <w:t>review</w:t>
      </w:r>
      <w:r>
        <w:rPr>
          <w:color w:val="010202"/>
          <w:spacing w:val="3"/>
          <w:vertAlign w:val="baseline"/>
        </w:rPr>
        <w:t> </w:t>
      </w:r>
      <w:r>
        <w:rPr>
          <w:color w:val="010202"/>
          <w:vertAlign w:val="baseline"/>
        </w:rPr>
        <w:t>updated</w:t>
      </w:r>
      <w:r>
        <w:rPr>
          <w:color w:val="010202"/>
          <w:spacing w:val="3"/>
          <w:vertAlign w:val="baseline"/>
        </w:rPr>
        <w:t> </w:t>
      </w:r>
      <w:r>
        <w:rPr>
          <w:color w:val="010202"/>
          <w:vertAlign w:val="baseline"/>
        </w:rPr>
        <w:t>laws,</w:t>
      </w:r>
      <w:r>
        <w:rPr>
          <w:color w:val="010202"/>
          <w:spacing w:val="3"/>
          <w:vertAlign w:val="baseline"/>
        </w:rPr>
        <w:t> </w:t>
      </w:r>
      <w:r>
        <w:rPr>
          <w:color w:val="010202"/>
          <w:vertAlign w:val="baseline"/>
        </w:rPr>
        <w:t>policies,</w:t>
      </w:r>
      <w:r>
        <w:rPr>
          <w:color w:val="010202"/>
          <w:spacing w:val="1"/>
          <w:vertAlign w:val="baseline"/>
        </w:rPr>
        <w:t> </w:t>
      </w:r>
      <w:r>
        <w:rPr>
          <w:color w:val="010202"/>
          <w:vertAlign w:val="baseline"/>
        </w:rPr>
        <w:t>and regulations on confidentiality to maintain</w:t>
      </w:r>
      <w:r>
        <w:rPr>
          <w:color w:val="010202"/>
          <w:spacing w:val="1"/>
          <w:vertAlign w:val="baseline"/>
        </w:rPr>
        <w:t> </w:t>
      </w:r>
      <w:r>
        <w:rPr>
          <w:color w:val="010202"/>
          <w:vertAlign w:val="baseline"/>
        </w:rPr>
        <w:t>compliance</w:t>
      </w:r>
      <w:r>
        <w:rPr>
          <w:color w:val="010202"/>
          <w:spacing w:val="-2"/>
          <w:vertAlign w:val="baseline"/>
        </w:rPr>
        <w:t> </w:t>
      </w:r>
      <w:r>
        <w:rPr>
          <w:color w:val="010202"/>
          <w:vertAlign w:val="baseline"/>
        </w:rPr>
        <w:t>and</w:t>
      </w:r>
      <w:r>
        <w:rPr>
          <w:color w:val="010202"/>
          <w:spacing w:val="-1"/>
          <w:vertAlign w:val="baseline"/>
        </w:rPr>
        <w:t> </w:t>
      </w:r>
      <w:r>
        <w:rPr>
          <w:color w:val="010202"/>
          <w:vertAlign w:val="baseline"/>
        </w:rPr>
        <w:t>protect</w:t>
      </w:r>
      <w:r>
        <w:rPr>
          <w:color w:val="010202"/>
          <w:spacing w:val="-1"/>
          <w:vertAlign w:val="baseline"/>
        </w:rPr>
        <w:t> </w:t>
      </w:r>
      <w:r>
        <w:rPr>
          <w:color w:val="010202"/>
          <w:vertAlign w:val="baseline"/>
        </w:rPr>
        <w:t>client</w:t>
      </w:r>
      <w:r>
        <w:rPr>
          <w:color w:val="010202"/>
          <w:spacing w:val="-1"/>
          <w:vertAlign w:val="baseline"/>
        </w:rPr>
        <w:t> </w:t>
      </w:r>
      <w:r>
        <w:rPr>
          <w:color w:val="010202"/>
          <w:vertAlign w:val="baseline"/>
        </w:rPr>
        <w:t>information</w:t>
      </w:r>
      <w:r>
        <w:rPr>
          <w:color w:val="010202"/>
          <w:vertAlign w:val="superscript"/>
        </w:rPr>
        <w:t>34</w:t>
      </w:r>
    </w:p>
    <w:p>
      <w:pPr>
        <w:pStyle w:val="BodyText"/>
        <w:spacing w:line="249" w:lineRule="auto" w:before="4"/>
        <w:ind w:left="880" w:right="101"/>
      </w:pPr>
      <w:r>
        <w:rPr>
          <w:color w:val="010202"/>
        </w:rPr>
        <w:t>and obtain consent from clients for data sharing</w:t>
      </w:r>
      <w:r>
        <w:rPr>
          <w:color w:val="010202"/>
          <w:spacing w:val="-52"/>
        </w:rPr>
        <w:t> </w:t>
      </w:r>
      <w:r>
        <w:rPr>
          <w:color w:val="010202"/>
        </w:rPr>
        <w:t>during client assessment and intake.</w:t>
      </w:r>
    </w:p>
    <w:p>
      <w:pPr>
        <w:spacing w:line="240" w:lineRule="auto" w:before="0" w:after="25"/>
        <w:rPr>
          <w:sz w:val="8"/>
        </w:rPr>
      </w:pPr>
      <w:r>
        <w:rPr/>
        <w:br w:type="column"/>
      </w:r>
      <w:r>
        <w:rPr>
          <w:sz w:val="8"/>
        </w:rPr>
      </w:r>
    </w:p>
    <w:p>
      <w:pPr>
        <w:pStyle w:val="BodyText"/>
        <w:ind w:left="160"/>
        <w:rPr>
          <w:sz w:val="20"/>
        </w:rPr>
      </w:pPr>
      <w:r>
        <w:rPr>
          <w:sz w:val="20"/>
        </w:rPr>
        <w:drawing>
          <wp:inline distT="0" distB="0" distL="0" distR="0">
            <wp:extent cx="2733342" cy="595122"/>
            <wp:effectExtent l="0" t="0" r="0" b="0"/>
            <wp:docPr id="75" name="image27.jpeg"/>
            <wp:cNvGraphicFramePr>
              <a:graphicFrameLocks noChangeAspect="1"/>
            </wp:cNvGraphicFramePr>
            <a:graphic>
              <a:graphicData uri="http://schemas.openxmlformats.org/drawingml/2006/picture">
                <pic:pic>
                  <pic:nvPicPr>
                    <pic:cNvPr id="76" name="image27.jpeg"/>
                    <pic:cNvPicPr/>
                  </pic:nvPicPr>
                  <pic:blipFill>
                    <a:blip r:embed="rId234" cstate="print"/>
                    <a:stretch>
                      <a:fillRect/>
                    </a:stretch>
                  </pic:blipFill>
                  <pic:spPr>
                    <a:xfrm>
                      <a:off x="0" y="0"/>
                      <a:ext cx="2733342" cy="595122"/>
                    </a:xfrm>
                    <a:prstGeom prst="rect">
                      <a:avLst/>
                    </a:prstGeom>
                  </pic:spPr>
                </pic:pic>
              </a:graphicData>
            </a:graphic>
          </wp:inline>
        </w:drawing>
      </w:r>
      <w:r>
        <w:rPr>
          <w:sz w:val="20"/>
        </w:rPr>
      </w:r>
    </w:p>
    <w:p>
      <w:pPr>
        <w:pStyle w:val="Heading3"/>
        <w:spacing w:before="38"/>
        <w:ind w:left="282"/>
      </w:pPr>
      <w:r>
        <w:rPr/>
        <w:pict>
          <v:shape style="position:absolute;margin-left:372.424011pt;margin-top:-38.897888pt;width:134.85pt;height:28.55pt;mso-position-horizontal-relative:page;mso-position-vertical-relative:paragraph;z-index:-18131456" type="#_x0000_t202" id="docshape134" filled="false" stroked="false">
            <v:textbox inset="0,0,0,0">
              <w:txbxContent>
                <w:p>
                  <w:pPr>
                    <w:spacing w:line="182" w:lineRule="auto" w:before="46"/>
                    <w:ind w:left="0" w:right="0" w:firstLine="0"/>
                    <w:jc w:val="left"/>
                    <w:rPr>
                      <w:rFonts w:ascii="Palatino Linotype"/>
                      <w:sz w:val="24"/>
                    </w:rPr>
                  </w:pPr>
                  <w:r>
                    <w:rPr>
                      <w:rFonts w:ascii="Palatino Linotype"/>
                      <w:w w:val="90"/>
                      <w:sz w:val="24"/>
                    </w:rPr>
                    <w:t>WORKFORCE</w:t>
                  </w:r>
                  <w:r>
                    <w:rPr>
                      <w:rFonts w:ascii="Palatino Linotype"/>
                      <w:spacing w:val="15"/>
                      <w:w w:val="90"/>
                      <w:sz w:val="24"/>
                    </w:rPr>
                    <w:t> </w:t>
                  </w:r>
                  <w:r>
                    <w:rPr>
                      <w:rFonts w:ascii="Palatino Linotype"/>
                      <w:w w:val="90"/>
                      <w:sz w:val="24"/>
                    </w:rPr>
                    <w:t>CAPACITY</w:t>
                  </w:r>
                  <w:r>
                    <w:rPr>
                      <w:rFonts w:ascii="Palatino Linotype"/>
                      <w:spacing w:val="-51"/>
                      <w:w w:val="90"/>
                      <w:sz w:val="24"/>
                    </w:rPr>
                    <w:t> </w:t>
                  </w:r>
                  <w:r>
                    <w:rPr>
                      <w:rFonts w:ascii="Palatino Linotype"/>
                      <w:w w:val="95"/>
                      <w:sz w:val="24"/>
                    </w:rPr>
                    <w:t>AND</w:t>
                  </w:r>
                  <w:r>
                    <w:rPr>
                      <w:rFonts w:ascii="Palatino Linotype"/>
                      <w:spacing w:val="-9"/>
                      <w:w w:val="95"/>
                      <w:sz w:val="24"/>
                    </w:rPr>
                    <w:t> </w:t>
                  </w:r>
                  <w:r>
                    <w:rPr>
                      <w:rFonts w:ascii="Palatino Linotype"/>
                      <w:w w:val="95"/>
                      <w:sz w:val="24"/>
                    </w:rPr>
                    <w:t>DEVELOPMENT</w:t>
                  </w:r>
                </w:p>
              </w:txbxContent>
            </v:textbox>
            <w10:wrap type="none"/>
          </v:shape>
        </w:pict>
      </w:r>
      <w:r>
        <w:rPr>
          <w:color w:val="231F20"/>
        </w:rPr>
        <w:t>Challenge</w:t>
      </w:r>
    </w:p>
    <w:p>
      <w:pPr>
        <w:pStyle w:val="BodyText"/>
        <w:spacing w:line="266" w:lineRule="auto" w:before="202"/>
        <w:ind w:left="160" w:right="721"/>
      </w:pPr>
      <w:r>
        <w:rPr>
          <w:color w:val="231F20"/>
        </w:rPr>
        <w:t>Behavioral health treatment practitioners and their</w:t>
      </w:r>
      <w:r>
        <w:rPr>
          <w:color w:val="231F20"/>
          <w:spacing w:val="1"/>
        </w:rPr>
        <w:t> </w:t>
      </w:r>
      <w:r>
        <w:rPr>
          <w:color w:val="231F20"/>
        </w:rPr>
        <w:t>clinical teams (e.g., case managers, clinical coordinators)</w:t>
      </w:r>
      <w:r>
        <w:rPr>
          <w:color w:val="231F20"/>
          <w:spacing w:val="-52"/>
        </w:rPr>
        <w:t> </w:t>
      </w:r>
      <w:r>
        <w:rPr>
          <w:color w:val="231F20"/>
        </w:rPr>
        <w:t>are well positioned to address unmet needs (e.g.,</w:t>
      </w:r>
      <w:r>
        <w:rPr>
          <w:color w:val="231F20"/>
          <w:spacing w:val="1"/>
        </w:rPr>
        <w:t> </w:t>
      </w:r>
      <w:r>
        <w:rPr>
          <w:color w:val="231F20"/>
        </w:rPr>
        <w:t>transportation,</w:t>
      </w:r>
      <w:r>
        <w:rPr>
          <w:color w:val="231F20"/>
          <w:spacing w:val="10"/>
        </w:rPr>
        <w:t> </w:t>
      </w:r>
      <w:r>
        <w:rPr>
          <w:color w:val="231F20"/>
        </w:rPr>
        <w:t>housing,</w:t>
      </w:r>
      <w:r>
        <w:rPr>
          <w:color w:val="231F20"/>
          <w:spacing w:val="10"/>
        </w:rPr>
        <w:t> </w:t>
      </w:r>
      <w:r>
        <w:rPr>
          <w:color w:val="231F20"/>
        </w:rPr>
        <w:t>employment,</w:t>
      </w:r>
      <w:r>
        <w:rPr>
          <w:color w:val="231F20"/>
          <w:spacing w:val="10"/>
        </w:rPr>
        <w:t> </w:t>
      </w:r>
      <w:r>
        <w:rPr>
          <w:color w:val="231F20"/>
        </w:rPr>
        <w:t>childcare),</w:t>
      </w:r>
      <w:r>
        <w:rPr>
          <w:color w:val="231F20"/>
          <w:spacing w:val="11"/>
        </w:rPr>
        <w:t> </w:t>
      </w:r>
      <w:r>
        <w:rPr>
          <w:color w:val="231F20"/>
        </w:rPr>
        <w:t>but</w:t>
      </w:r>
      <w:r>
        <w:rPr>
          <w:color w:val="231F20"/>
          <w:spacing w:val="1"/>
        </w:rPr>
        <w:t> </w:t>
      </w:r>
      <w:r>
        <w:rPr>
          <w:color w:val="231F20"/>
        </w:rPr>
        <w:t>may need additional training to address co-occurring</w:t>
      </w:r>
      <w:r>
        <w:rPr>
          <w:color w:val="231F20"/>
          <w:spacing w:val="1"/>
        </w:rPr>
        <w:t> </w:t>
      </w:r>
      <w:r>
        <w:rPr>
          <w:color w:val="231F20"/>
        </w:rPr>
        <w:t>infectious</w:t>
      </w:r>
      <w:r>
        <w:rPr>
          <w:color w:val="231F20"/>
          <w:spacing w:val="-1"/>
        </w:rPr>
        <w:t> </w:t>
      </w:r>
      <w:r>
        <w:rPr>
          <w:color w:val="231F20"/>
        </w:rPr>
        <w:t>diseases.</w:t>
      </w:r>
      <w:r>
        <w:rPr>
          <w:color w:val="231F20"/>
          <w:vertAlign w:val="superscript"/>
        </w:rPr>
        <w:t>35</w:t>
      </w:r>
    </w:p>
    <w:p>
      <w:pPr>
        <w:pStyle w:val="BodyText"/>
        <w:spacing w:line="266" w:lineRule="auto" w:before="175"/>
        <w:ind w:left="160" w:right="870"/>
      </w:pPr>
      <w:r>
        <w:rPr>
          <w:color w:val="231F20"/>
        </w:rPr>
        <w:t>Practitioners who deliver services aimed at preventing</w:t>
      </w:r>
      <w:r>
        <w:rPr>
          <w:color w:val="231F20"/>
          <w:spacing w:val="1"/>
        </w:rPr>
        <w:t> </w:t>
      </w:r>
      <w:r>
        <w:rPr>
          <w:color w:val="231F20"/>
        </w:rPr>
        <w:t>and treating HIV among people experiencing co-</w:t>
      </w:r>
      <w:r>
        <w:rPr>
          <w:color w:val="231F20"/>
          <w:spacing w:val="1"/>
        </w:rPr>
        <w:t> </w:t>
      </w:r>
      <w:r>
        <w:rPr>
          <w:color w:val="231F20"/>
        </w:rPr>
        <w:t>occurring mental illness and/or SUD may need training</w:t>
      </w:r>
      <w:r>
        <w:rPr>
          <w:color w:val="231F20"/>
          <w:spacing w:val="-52"/>
        </w:rPr>
        <w:t> </w:t>
      </w:r>
      <w:r>
        <w:rPr>
          <w:color w:val="231F20"/>
        </w:rPr>
        <w:t>and capacity building in the following areas:</w:t>
      </w:r>
    </w:p>
    <w:p>
      <w:pPr>
        <w:pStyle w:val="ListParagraph"/>
        <w:numPr>
          <w:ilvl w:val="0"/>
          <w:numId w:val="19"/>
        </w:numPr>
        <w:tabs>
          <w:tab w:pos="879" w:val="left" w:leader="none"/>
          <w:tab w:pos="880" w:val="left" w:leader="none"/>
        </w:tabs>
        <w:spacing w:line="240" w:lineRule="auto" w:before="146" w:after="0"/>
        <w:ind w:left="879" w:right="0" w:hanging="361"/>
        <w:jc w:val="left"/>
        <w:rPr>
          <w:sz w:val="22"/>
        </w:rPr>
      </w:pPr>
      <w:r>
        <w:rPr>
          <w:color w:val="010202"/>
          <w:sz w:val="22"/>
        </w:rPr>
        <w:t>Practice-specific</w:t>
      </w:r>
      <w:r>
        <w:rPr>
          <w:color w:val="010202"/>
          <w:spacing w:val="-7"/>
          <w:sz w:val="22"/>
        </w:rPr>
        <w:t> </w:t>
      </w:r>
      <w:r>
        <w:rPr>
          <w:color w:val="010202"/>
          <w:sz w:val="22"/>
        </w:rPr>
        <w:t>training</w:t>
      </w:r>
      <w:r>
        <w:rPr>
          <w:color w:val="010202"/>
          <w:spacing w:val="-5"/>
          <w:sz w:val="22"/>
        </w:rPr>
        <w:t> </w:t>
      </w:r>
      <w:r>
        <w:rPr>
          <w:color w:val="010202"/>
          <w:sz w:val="22"/>
        </w:rPr>
        <w:t>to</w:t>
      </w:r>
      <w:r>
        <w:rPr>
          <w:color w:val="010202"/>
          <w:spacing w:val="-5"/>
          <w:sz w:val="22"/>
        </w:rPr>
        <w:t> </w:t>
      </w:r>
      <w:r>
        <w:rPr>
          <w:color w:val="010202"/>
          <w:sz w:val="22"/>
        </w:rPr>
        <w:t>facilitate</w:t>
      </w:r>
      <w:r>
        <w:rPr>
          <w:color w:val="010202"/>
          <w:spacing w:val="-5"/>
          <w:sz w:val="22"/>
        </w:rPr>
        <w:t> </w:t>
      </w:r>
      <w:r>
        <w:rPr>
          <w:color w:val="010202"/>
          <w:sz w:val="22"/>
        </w:rPr>
        <w:t>consistent</w:t>
      </w:r>
    </w:p>
    <w:p>
      <w:pPr>
        <w:pStyle w:val="BodyText"/>
        <w:spacing w:line="251" w:lineRule="exact" w:before="10"/>
        <w:ind w:left="879"/>
      </w:pPr>
      <w:r>
        <w:rPr>
          <w:color w:val="010202"/>
        </w:rPr>
        <w:t>implementation</w:t>
      </w:r>
    </w:p>
    <w:p>
      <w:pPr>
        <w:pStyle w:val="ListParagraph"/>
        <w:numPr>
          <w:ilvl w:val="0"/>
          <w:numId w:val="19"/>
        </w:numPr>
        <w:tabs>
          <w:tab w:pos="879" w:val="left" w:leader="none"/>
          <w:tab w:pos="880" w:val="left" w:leader="none"/>
        </w:tabs>
        <w:spacing w:line="249" w:lineRule="auto" w:before="0" w:after="0"/>
        <w:ind w:left="879" w:right="1114" w:hanging="360"/>
        <w:jc w:val="left"/>
        <w:rPr>
          <w:sz w:val="22"/>
        </w:rPr>
      </w:pPr>
      <w:r>
        <w:rPr>
          <w:color w:val="010202"/>
          <w:sz w:val="22"/>
        </w:rPr>
        <w:t>Working</w:t>
      </w:r>
      <w:r>
        <w:rPr>
          <w:color w:val="010202"/>
          <w:spacing w:val="-5"/>
          <w:sz w:val="22"/>
        </w:rPr>
        <w:t> </w:t>
      </w:r>
      <w:r>
        <w:rPr>
          <w:color w:val="010202"/>
          <w:sz w:val="22"/>
        </w:rPr>
        <w:t>with</w:t>
      </w:r>
      <w:r>
        <w:rPr>
          <w:color w:val="010202"/>
          <w:spacing w:val="-5"/>
          <w:sz w:val="22"/>
        </w:rPr>
        <w:t> </w:t>
      </w:r>
      <w:r>
        <w:rPr>
          <w:color w:val="010202"/>
          <w:sz w:val="22"/>
        </w:rPr>
        <w:t>clients</w:t>
      </w:r>
      <w:r>
        <w:rPr>
          <w:color w:val="010202"/>
          <w:spacing w:val="-5"/>
          <w:sz w:val="22"/>
        </w:rPr>
        <w:t> </w:t>
      </w:r>
      <w:r>
        <w:rPr>
          <w:color w:val="010202"/>
          <w:sz w:val="22"/>
        </w:rPr>
        <w:t>who</w:t>
      </w:r>
      <w:r>
        <w:rPr>
          <w:color w:val="010202"/>
          <w:spacing w:val="-5"/>
          <w:sz w:val="22"/>
        </w:rPr>
        <w:t> </w:t>
      </w:r>
      <w:r>
        <w:rPr>
          <w:color w:val="010202"/>
          <w:sz w:val="22"/>
        </w:rPr>
        <w:t>have</w:t>
      </w:r>
      <w:r>
        <w:rPr>
          <w:color w:val="010202"/>
          <w:spacing w:val="-5"/>
          <w:sz w:val="22"/>
        </w:rPr>
        <w:t> </w:t>
      </w:r>
      <w:r>
        <w:rPr>
          <w:color w:val="010202"/>
          <w:sz w:val="22"/>
        </w:rPr>
        <w:t>co-occurring</w:t>
      </w:r>
      <w:r>
        <w:rPr>
          <w:color w:val="010202"/>
          <w:spacing w:val="-52"/>
          <w:sz w:val="22"/>
        </w:rPr>
        <w:t> </w:t>
      </w:r>
      <w:r>
        <w:rPr>
          <w:color w:val="010202"/>
          <w:sz w:val="22"/>
        </w:rPr>
        <w:t>HIV</w:t>
      </w:r>
      <w:r>
        <w:rPr>
          <w:color w:val="010202"/>
          <w:spacing w:val="-5"/>
          <w:sz w:val="22"/>
        </w:rPr>
        <w:t> </w:t>
      </w:r>
      <w:r>
        <w:rPr>
          <w:color w:val="010202"/>
          <w:sz w:val="22"/>
        </w:rPr>
        <w:t>and mental illness</w:t>
      </w:r>
      <w:r>
        <w:rPr>
          <w:color w:val="010202"/>
          <w:spacing w:val="-1"/>
          <w:sz w:val="22"/>
        </w:rPr>
        <w:t> </w:t>
      </w:r>
      <w:r>
        <w:rPr>
          <w:color w:val="010202"/>
          <w:sz w:val="22"/>
        </w:rPr>
        <w:t>and/or SUD</w:t>
      </w:r>
    </w:p>
    <w:p>
      <w:pPr>
        <w:pStyle w:val="ListParagraph"/>
        <w:numPr>
          <w:ilvl w:val="0"/>
          <w:numId w:val="19"/>
        </w:numPr>
        <w:tabs>
          <w:tab w:pos="879" w:val="left" w:leader="none"/>
          <w:tab w:pos="880" w:val="left" w:leader="none"/>
        </w:tabs>
        <w:spacing w:line="254" w:lineRule="exact" w:before="0" w:after="0"/>
        <w:ind w:left="879" w:right="0" w:hanging="361"/>
        <w:jc w:val="left"/>
        <w:rPr>
          <w:sz w:val="22"/>
        </w:rPr>
      </w:pPr>
      <w:r>
        <w:rPr>
          <w:color w:val="010202"/>
          <w:sz w:val="22"/>
        </w:rPr>
        <w:t>Creating a culturally appropriate, non-</w:t>
      </w:r>
    </w:p>
    <w:p>
      <w:pPr>
        <w:pStyle w:val="BodyText"/>
        <w:spacing w:line="249" w:lineRule="auto" w:before="8"/>
        <w:ind w:left="879" w:right="1255"/>
        <w:rPr>
          <w:sz w:val="13"/>
        </w:rPr>
      </w:pPr>
      <w:r>
        <w:rPr>
          <w:color w:val="010202"/>
        </w:rPr>
        <w:t>judgmental, and non-stigmatizing clinical</w:t>
      </w:r>
      <w:r>
        <w:rPr>
          <w:color w:val="010202"/>
          <w:spacing w:val="1"/>
        </w:rPr>
        <w:t> </w:t>
      </w:r>
      <w:r>
        <w:rPr>
          <w:color w:val="010202"/>
        </w:rPr>
        <w:t>environment supportive of both clients and</w:t>
      </w:r>
      <w:r>
        <w:rPr>
          <w:color w:val="010202"/>
          <w:spacing w:val="-52"/>
        </w:rPr>
        <w:t> </w:t>
      </w:r>
      <w:r>
        <w:rPr>
          <w:color w:val="010202"/>
          <w:position w:val="-6"/>
        </w:rPr>
        <w:t>staff</w:t>
      </w:r>
      <w:r>
        <w:rPr>
          <w:color w:val="010202"/>
          <w:sz w:val="13"/>
        </w:rPr>
        <w:t>36-39</w:t>
      </w:r>
    </w:p>
    <w:p>
      <w:pPr>
        <w:spacing w:after="0" w:line="249" w:lineRule="auto"/>
        <w:rPr>
          <w:sz w:val="13"/>
        </w:rPr>
        <w:sectPr>
          <w:type w:val="continuous"/>
          <w:pgSz w:w="12240" w:h="15840"/>
          <w:pgMar w:header="0" w:footer="666" w:top="1500" w:bottom="0" w:left="560" w:right="0"/>
          <w:cols w:num="2" w:equalWidth="0">
            <w:col w:w="5199" w:space="561"/>
            <w:col w:w="5920"/>
          </w:cols>
        </w:sectPr>
      </w:pPr>
    </w:p>
    <w:p>
      <w:pPr>
        <w:pStyle w:val="BodyText"/>
        <w:rPr>
          <w:sz w:val="20"/>
        </w:rPr>
      </w:pPr>
    </w:p>
    <w:p>
      <w:pPr>
        <w:pStyle w:val="BodyText"/>
        <w:spacing w:before="6"/>
        <w:rPr>
          <w:sz w:val="26"/>
        </w:rPr>
      </w:pPr>
    </w:p>
    <w:p>
      <w:pPr>
        <w:spacing w:after="0"/>
        <w:rPr>
          <w:sz w:val="26"/>
        </w:rPr>
        <w:sectPr>
          <w:pgSz w:w="12240" w:h="15840"/>
          <w:pgMar w:header="0" w:footer="666" w:top="380" w:bottom="860" w:left="560" w:right="0"/>
        </w:sectPr>
      </w:pPr>
    </w:p>
    <w:p>
      <w:pPr>
        <w:pStyle w:val="Heading3"/>
      </w:pPr>
      <w:bookmarkStart w:name="Strategies" w:id="92"/>
      <w:bookmarkEnd w:id="92"/>
      <w:r>
        <w:rPr>
          <w:b w:val="0"/>
        </w:rPr>
      </w:r>
      <w:bookmarkStart w:name="ACCESS TO SERVICES" w:id="93"/>
      <w:bookmarkEnd w:id="93"/>
      <w:r>
        <w:rPr>
          <w:b w:val="0"/>
        </w:rPr>
      </w:r>
      <w:bookmarkStart w:name="Challenge" w:id="94"/>
      <w:bookmarkEnd w:id="94"/>
      <w:r>
        <w:rPr>
          <w:b w:val="0"/>
        </w:rPr>
      </w:r>
      <w:r>
        <w:rPr>
          <w:color w:val="231F20"/>
        </w:rPr>
        <w:t>Strategies</w:t>
      </w:r>
    </w:p>
    <w:p>
      <w:pPr>
        <w:pStyle w:val="BodyText"/>
        <w:spacing w:line="247" w:lineRule="exact" w:before="184"/>
        <w:ind w:left="160"/>
      </w:pPr>
      <w:r>
        <w:rPr>
          <w:color w:val="231F20"/>
        </w:rPr>
        <w:t>Provide</w:t>
      </w:r>
      <w:r>
        <w:rPr>
          <w:color w:val="231F20"/>
          <w:spacing w:val="-4"/>
        </w:rPr>
        <w:t> </w:t>
      </w:r>
      <w:r>
        <w:rPr>
          <w:color w:val="231F20"/>
        </w:rPr>
        <w:t>intervention-specific</w:t>
      </w:r>
      <w:r>
        <w:rPr>
          <w:color w:val="231F20"/>
          <w:spacing w:val="-3"/>
        </w:rPr>
        <w:t> </w:t>
      </w:r>
      <w:r>
        <w:rPr>
          <w:color w:val="231F20"/>
        </w:rPr>
        <w:t>training</w:t>
      </w:r>
      <w:r>
        <w:rPr>
          <w:color w:val="231F20"/>
          <w:spacing w:val="-3"/>
        </w:rPr>
        <w:t> </w:t>
      </w:r>
      <w:r>
        <w:rPr>
          <w:color w:val="231F20"/>
        </w:rPr>
        <w:t>to</w:t>
      </w:r>
      <w:r>
        <w:rPr>
          <w:color w:val="231F20"/>
          <w:spacing w:val="-3"/>
        </w:rPr>
        <w:t> </w:t>
      </w:r>
      <w:r>
        <w:rPr>
          <w:color w:val="231F20"/>
        </w:rPr>
        <w:t>implement</w:t>
      </w:r>
      <w:r>
        <w:rPr>
          <w:color w:val="231F20"/>
          <w:spacing w:val="-3"/>
        </w:rPr>
        <w:t> </w:t>
      </w:r>
      <w:r>
        <w:rPr>
          <w:color w:val="231F20"/>
        </w:rPr>
        <w:t>the</w:t>
      </w:r>
    </w:p>
    <w:p>
      <w:pPr>
        <w:pStyle w:val="BodyText"/>
        <w:spacing w:line="247" w:lineRule="exact"/>
        <w:ind w:left="160"/>
      </w:pPr>
      <w:r>
        <w:rPr>
          <w:color w:val="231F20"/>
        </w:rPr>
        <w:t>practices.</w:t>
      </w:r>
    </w:p>
    <w:p>
      <w:pPr>
        <w:pStyle w:val="ListParagraph"/>
        <w:numPr>
          <w:ilvl w:val="0"/>
          <w:numId w:val="19"/>
        </w:numPr>
        <w:tabs>
          <w:tab w:pos="880" w:val="left" w:leader="none"/>
        </w:tabs>
        <w:spacing w:line="249" w:lineRule="auto" w:before="115" w:after="0"/>
        <w:ind w:left="879" w:right="488" w:hanging="360"/>
        <w:jc w:val="both"/>
        <w:rPr>
          <w:sz w:val="22"/>
        </w:rPr>
      </w:pPr>
      <w:r>
        <w:rPr>
          <w:color w:val="010202"/>
          <w:sz w:val="22"/>
        </w:rPr>
        <w:t>Receiving</w:t>
      </w:r>
      <w:r>
        <w:rPr>
          <w:color w:val="010202"/>
          <w:spacing w:val="-8"/>
          <w:sz w:val="22"/>
        </w:rPr>
        <w:t> </w:t>
      </w:r>
      <w:r>
        <w:rPr>
          <w:color w:val="010202"/>
          <w:sz w:val="22"/>
        </w:rPr>
        <w:t>customized,</w:t>
      </w:r>
      <w:r>
        <w:rPr>
          <w:color w:val="010202"/>
          <w:spacing w:val="-7"/>
          <w:sz w:val="22"/>
        </w:rPr>
        <w:t> </w:t>
      </w:r>
      <w:r>
        <w:rPr>
          <w:color w:val="010202"/>
          <w:sz w:val="22"/>
        </w:rPr>
        <w:t>site-specific</w:t>
      </w:r>
      <w:r>
        <w:rPr>
          <w:color w:val="010202"/>
          <w:spacing w:val="-7"/>
          <w:sz w:val="22"/>
        </w:rPr>
        <w:t> </w:t>
      </w:r>
      <w:r>
        <w:rPr>
          <w:color w:val="010202"/>
          <w:sz w:val="22"/>
        </w:rPr>
        <w:t>training</w:t>
      </w:r>
      <w:r>
        <w:rPr>
          <w:color w:val="010202"/>
          <w:spacing w:val="-53"/>
          <w:sz w:val="22"/>
        </w:rPr>
        <w:t> </w:t>
      </w:r>
      <w:r>
        <w:rPr>
          <w:color w:val="010202"/>
          <w:sz w:val="22"/>
        </w:rPr>
        <w:t>can be resource intensive, and the provision</w:t>
      </w:r>
      <w:r>
        <w:rPr>
          <w:color w:val="010202"/>
          <w:spacing w:val="-52"/>
          <w:sz w:val="22"/>
        </w:rPr>
        <w:t> </w:t>
      </w:r>
      <w:r>
        <w:rPr>
          <w:color w:val="010202"/>
          <w:sz w:val="22"/>
        </w:rPr>
        <w:t>of</w:t>
      </w:r>
      <w:r>
        <w:rPr>
          <w:color w:val="010202"/>
          <w:spacing w:val="-2"/>
          <w:sz w:val="22"/>
        </w:rPr>
        <w:t> </w:t>
      </w:r>
      <w:r>
        <w:rPr>
          <w:color w:val="010202"/>
          <w:sz w:val="22"/>
        </w:rPr>
        <w:t>program-specific</w:t>
      </w:r>
      <w:r>
        <w:rPr>
          <w:color w:val="010202"/>
          <w:spacing w:val="-2"/>
          <w:sz w:val="22"/>
        </w:rPr>
        <w:t> </w:t>
      </w:r>
      <w:r>
        <w:rPr>
          <w:color w:val="010202"/>
          <w:sz w:val="22"/>
        </w:rPr>
        <w:t>training</w:t>
      </w:r>
      <w:r>
        <w:rPr>
          <w:color w:val="010202"/>
          <w:spacing w:val="-2"/>
          <w:sz w:val="22"/>
        </w:rPr>
        <w:t> </w:t>
      </w:r>
      <w:r>
        <w:rPr>
          <w:color w:val="010202"/>
          <w:sz w:val="22"/>
        </w:rPr>
        <w:t>and</w:t>
      </w:r>
      <w:r>
        <w:rPr>
          <w:color w:val="010202"/>
          <w:spacing w:val="-1"/>
          <w:sz w:val="22"/>
        </w:rPr>
        <w:t> </w:t>
      </w:r>
      <w:r>
        <w:rPr>
          <w:color w:val="010202"/>
          <w:sz w:val="22"/>
        </w:rPr>
        <w:t>technical</w:t>
      </w:r>
    </w:p>
    <w:p>
      <w:pPr>
        <w:pStyle w:val="BodyText"/>
        <w:spacing w:line="249" w:lineRule="auto" w:before="2"/>
        <w:ind w:left="879" w:right="39"/>
      </w:pPr>
      <w:r>
        <w:rPr>
          <w:color w:val="010202"/>
        </w:rPr>
        <w:t>assistance may be dependent on grant awards. In</w:t>
      </w:r>
      <w:r>
        <w:rPr>
          <w:color w:val="010202"/>
          <w:spacing w:val="-52"/>
        </w:rPr>
        <w:t> </w:t>
      </w:r>
      <w:r>
        <w:rPr>
          <w:color w:val="010202"/>
        </w:rPr>
        <w:t>recent years, federal funders have emphasized</w:t>
      </w:r>
      <w:r>
        <w:rPr>
          <w:color w:val="010202"/>
          <w:spacing w:val="1"/>
        </w:rPr>
        <w:t> </w:t>
      </w:r>
      <w:r>
        <w:rPr>
          <w:color w:val="010202"/>
        </w:rPr>
        <w:t>the need for replicable practice models that are</w:t>
      </w:r>
      <w:r>
        <w:rPr>
          <w:color w:val="010202"/>
          <w:spacing w:val="1"/>
        </w:rPr>
        <w:t> </w:t>
      </w:r>
      <w:r>
        <w:rPr>
          <w:color w:val="010202"/>
        </w:rPr>
        <w:t>easy to adapt, scale up, and implement in the</w:t>
      </w:r>
      <w:r>
        <w:rPr>
          <w:color w:val="010202"/>
          <w:spacing w:val="1"/>
        </w:rPr>
        <w:t> </w:t>
      </w:r>
      <w:r>
        <w:rPr>
          <w:color w:val="010202"/>
        </w:rPr>
        <w:t>absence of technical assistance, leading to an</w:t>
      </w:r>
      <w:r>
        <w:rPr>
          <w:color w:val="010202"/>
          <w:spacing w:val="1"/>
        </w:rPr>
        <w:t> </w:t>
      </w:r>
      <w:r>
        <w:rPr>
          <w:color w:val="010202"/>
        </w:rPr>
        <w:t>increase in robust training resources available</w:t>
      </w:r>
      <w:r>
        <w:rPr>
          <w:color w:val="010202"/>
          <w:spacing w:val="1"/>
        </w:rPr>
        <w:t> </w:t>
      </w:r>
      <w:r>
        <w:rPr>
          <w:color w:val="010202"/>
        </w:rPr>
        <w:t>online.</w:t>
      </w:r>
      <w:r>
        <w:rPr>
          <w:color w:val="010202"/>
          <w:spacing w:val="-5"/>
        </w:rPr>
        <w:t> </w:t>
      </w:r>
      <w:r>
        <w:rPr>
          <w:color w:val="010202"/>
        </w:rPr>
        <w:t>These models include:</w:t>
      </w:r>
    </w:p>
    <w:p>
      <w:pPr>
        <w:pStyle w:val="ListParagraph"/>
        <w:numPr>
          <w:ilvl w:val="1"/>
          <w:numId w:val="19"/>
        </w:numPr>
        <w:tabs>
          <w:tab w:pos="1239" w:val="left" w:leader="none"/>
          <w:tab w:pos="1240" w:val="left" w:leader="none"/>
        </w:tabs>
        <w:spacing w:line="249" w:lineRule="auto" w:before="0" w:after="0"/>
        <w:ind w:left="1239" w:right="322" w:hanging="360"/>
        <w:jc w:val="left"/>
        <w:rPr>
          <w:sz w:val="22"/>
        </w:rPr>
      </w:pPr>
      <w:hyperlink r:id="rId235">
        <w:r>
          <w:rPr>
            <w:color w:val="3953A4"/>
            <w:sz w:val="22"/>
            <w:u w:val="single" w:color="3953A4"/>
          </w:rPr>
          <w:t>CDC’s Effective Behavioral Intervention</w:t>
        </w:r>
      </w:hyperlink>
      <w:r>
        <w:rPr>
          <w:color w:val="3953A4"/>
          <w:spacing w:val="-52"/>
          <w:sz w:val="22"/>
        </w:rPr>
        <w:t> </w:t>
      </w:r>
      <w:hyperlink r:id="rId235">
        <w:r>
          <w:rPr>
            <w:color w:val="3953A4"/>
            <w:sz w:val="22"/>
            <w:u w:val="single" w:color="3953A4"/>
          </w:rPr>
          <w:t>(EBIs) models</w:t>
        </w:r>
        <w:r>
          <w:rPr>
            <w:color w:val="3953A4"/>
            <w:spacing w:val="-1"/>
            <w:sz w:val="22"/>
            <w:u w:val="single" w:color="3953A4"/>
          </w:rPr>
          <w:t> </w:t>
        </w:r>
      </w:hyperlink>
    </w:p>
    <w:p>
      <w:pPr>
        <w:pStyle w:val="ListParagraph"/>
        <w:numPr>
          <w:ilvl w:val="1"/>
          <w:numId w:val="19"/>
        </w:numPr>
        <w:tabs>
          <w:tab w:pos="710" w:val="left" w:leader="none"/>
          <w:tab w:pos="1240" w:val="left" w:leader="none"/>
        </w:tabs>
        <w:spacing w:line="254" w:lineRule="exact" w:before="0" w:after="0"/>
        <w:ind w:left="1239" w:right="0" w:hanging="890"/>
        <w:jc w:val="left"/>
        <w:rPr>
          <w:sz w:val="22"/>
        </w:rPr>
      </w:pPr>
      <w:hyperlink r:id="rId236">
        <w:r>
          <w:rPr>
            <w:color w:val="3953A4"/>
            <w:sz w:val="22"/>
            <w:u w:val="single" w:color="3953A4"/>
          </w:rPr>
          <w:t>HRSA’s</w:t>
        </w:r>
        <w:r>
          <w:rPr>
            <w:color w:val="3953A4"/>
            <w:spacing w:val="-11"/>
            <w:sz w:val="22"/>
            <w:u w:val="single" w:color="3953A4"/>
          </w:rPr>
          <w:t> </w:t>
        </w:r>
        <w:r>
          <w:rPr>
            <w:color w:val="3953A4"/>
            <w:sz w:val="22"/>
            <w:u w:val="single" w:color="3953A4"/>
          </w:rPr>
          <w:t>Dissemination</w:t>
        </w:r>
        <w:r>
          <w:rPr>
            <w:color w:val="3953A4"/>
            <w:spacing w:val="-12"/>
            <w:sz w:val="22"/>
            <w:u w:val="single" w:color="3953A4"/>
          </w:rPr>
          <w:t> </w:t>
        </w:r>
        <w:r>
          <w:rPr>
            <w:color w:val="3953A4"/>
            <w:sz w:val="22"/>
            <w:u w:val="single" w:color="3953A4"/>
          </w:rPr>
          <w:t>of</w:t>
        </w:r>
        <w:r>
          <w:rPr>
            <w:color w:val="3953A4"/>
            <w:spacing w:val="-10"/>
            <w:sz w:val="22"/>
            <w:u w:val="single" w:color="3953A4"/>
          </w:rPr>
          <w:t> </w:t>
        </w:r>
        <w:r>
          <w:rPr>
            <w:color w:val="3953A4"/>
            <w:sz w:val="22"/>
            <w:u w:val="single" w:color="3953A4"/>
          </w:rPr>
          <w:t>Evidence</w:t>
        </w:r>
        <w:r>
          <w:rPr>
            <w:color w:val="3953A4"/>
            <w:spacing w:val="-10"/>
            <w:sz w:val="22"/>
            <w:u w:val="single" w:color="3953A4"/>
          </w:rPr>
          <w:t> </w:t>
        </w:r>
        <w:r>
          <w:rPr>
            <w:color w:val="3953A4"/>
            <w:sz w:val="22"/>
            <w:u w:val="single" w:color="3953A4"/>
          </w:rPr>
          <w:t>In-</w:t>
        </w:r>
      </w:hyperlink>
    </w:p>
    <w:p>
      <w:pPr>
        <w:pStyle w:val="BodyText"/>
        <w:spacing w:line="251" w:lineRule="exact" w:before="1"/>
        <w:ind w:left="1219" w:right="869"/>
        <w:jc w:val="center"/>
      </w:pPr>
      <w:hyperlink r:id="rId236">
        <w:r>
          <w:rPr>
            <w:color w:val="3953A4"/>
            <w:u w:val="single" w:color="3953A4"/>
          </w:rPr>
          <w:t>formed Interventions (DEII) model</w:t>
        </w:r>
      </w:hyperlink>
    </w:p>
    <w:p>
      <w:pPr>
        <w:pStyle w:val="ListParagraph"/>
        <w:numPr>
          <w:ilvl w:val="1"/>
          <w:numId w:val="19"/>
        </w:numPr>
        <w:tabs>
          <w:tab w:pos="1239" w:val="left" w:leader="none"/>
          <w:tab w:pos="1240" w:val="left" w:leader="none"/>
        </w:tabs>
        <w:spacing w:line="249" w:lineRule="auto" w:before="0" w:after="0"/>
        <w:ind w:left="1239" w:right="239" w:hanging="360"/>
        <w:jc w:val="left"/>
        <w:rPr>
          <w:sz w:val="22"/>
        </w:rPr>
      </w:pPr>
      <w:hyperlink r:id="rId237">
        <w:r>
          <w:rPr>
            <w:color w:val="3953A4"/>
            <w:spacing w:val="-1"/>
            <w:sz w:val="22"/>
            <w:u w:val="single" w:color="3953A4"/>
          </w:rPr>
          <w:t>HRSA’s </w:t>
        </w:r>
        <w:r>
          <w:rPr>
            <w:color w:val="3953A4"/>
            <w:sz w:val="22"/>
            <w:u w:val="single" w:color="3953A4"/>
          </w:rPr>
          <w:t>Evidence-Informed Interventions</w:t>
        </w:r>
      </w:hyperlink>
      <w:r>
        <w:rPr>
          <w:color w:val="3953A4"/>
          <w:spacing w:val="-52"/>
          <w:sz w:val="22"/>
        </w:rPr>
        <w:t> </w:t>
      </w:r>
      <w:hyperlink r:id="rId237">
        <w:r>
          <w:rPr>
            <w:color w:val="3953A4"/>
            <w:sz w:val="22"/>
            <w:u w:val="single" w:color="3953A4"/>
          </w:rPr>
          <w:t>(E2i) models</w:t>
        </w:r>
      </w:hyperlink>
    </w:p>
    <w:p>
      <w:pPr>
        <w:pStyle w:val="ListParagraph"/>
        <w:numPr>
          <w:ilvl w:val="0"/>
          <w:numId w:val="19"/>
        </w:numPr>
        <w:tabs>
          <w:tab w:pos="879" w:val="left" w:leader="none"/>
          <w:tab w:pos="880" w:val="left" w:leader="none"/>
        </w:tabs>
        <w:spacing w:line="254" w:lineRule="exact" w:before="0" w:after="0"/>
        <w:ind w:left="879" w:right="0" w:hanging="361"/>
        <w:jc w:val="left"/>
        <w:rPr>
          <w:sz w:val="22"/>
        </w:rPr>
      </w:pPr>
      <w:r>
        <w:rPr>
          <w:color w:val="010202"/>
          <w:sz w:val="22"/>
        </w:rPr>
        <w:t>Program</w:t>
      </w:r>
      <w:r>
        <w:rPr>
          <w:color w:val="010202"/>
          <w:spacing w:val="-4"/>
          <w:sz w:val="22"/>
        </w:rPr>
        <w:t> </w:t>
      </w:r>
      <w:r>
        <w:rPr>
          <w:color w:val="010202"/>
          <w:sz w:val="22"/>
        </w:rPr>
        <w:t>managers</w:t>
      </w:r>
      <w:r>
        <w:rPr>
          <w:color w:val="010202"/>
          <w:spacing w:val="-2"/>
          <w:sz w:val="22"/>
        </w:rPr>
        <w:t> </w:t>
      </w:r>
      <w:r>
        <w:rPr>
          <w:color w:val="010202"/>
          <w:sz w:val="22"/>
        </w:rPr>
        <w:t>and</w:t>
      </w:r>
      <w:r>
        <w:rPr>
          <w:color w:val="010202"/>
          <w:spacing w:val="-2"/>
          <w:sz w:val="22"/>
        </w:rPr>
        <w:t> </w:t>
      </w:r>
      <w:r>
        <w:rPr>
          <w:color w:val="010202"/>
          <w:sz w:val="22"/>
        </w:rPr>
        <w:t>practitioners</w:t>
      </w:r>
      <w:r>
        <w:rPr>
          <w:color w:val="010202"/>
          <w:spacing w:val="-2"/>
          <w:sz w:val="22"/>
        </w:rPr>
        <w:t> </w:t>
      </w:r>
      <w:r>
        <w:rPr>
          <w:color w:val="010202"/>
          <w:sz w:val="22"/>
        </w:rPr>
        <w:t>should</w:t>
      </w:r>
    </w:p>
    <w:p>
      <w:pPr>
        <w:pStyle w:val="BodyText"/>
        <w:spacing w:line="249" w:lineRule="auto" w:before="7"/>
        <w:ind w:left="879" w:right="521"/>
      </w:pPr>
      <w:r>
        <w:rPr>
          <w:color w:val="010202"/>
        </w:rPr>
        <w:t>select implementation trainings that are not</w:t>
      </w:r>
      <w:r>
        <w:rPr>
          <w:color w:val="010202"/>
          <w:spacing w:val="-52"/>
        </w:rPr>
        <w:t> </w:t>
      </w:r>
      <w:r>
        <w:rPr>
          <w:color w:val="010202"/>
        </w:rPr>
        <w:t>overly</w:t>
      </w:r>
      <w:r>
        <w:rPr>
          <w:color w:val="010202"/>
          <w:spacing w:val="-2"/>
        </w:rPr>
        <w:t> </w:t>
      </w:r>
      <w:r>
        <w:rPr>
          <w:color w:val="010202"/>
        </w:rPr>
        <w:t>cumbersome</w:t>
      </w:r>
      <w:r>
        <w:rPr>
          <w:color w:val="010202"/>
          <w:spacing w:val="-2"/>
        </w:rPr>
        <w:t> </w:t>
      </w:r>
      <w:r>
        <w:rPr>
          <w:color w:val="010202"/>
        </w:rPr>
        <w:t>or</w:t>
      </w:r>
      <w:r>
        <w:rPr>
          <w:color w:val="010202"/>
          <w:spacing w:val="-2"/>
        </w:rPr>
        <w:t> </w:t>
      </w:r>
      <w:r>
        <w:rPr>
          <w:color w:val="010202"/>
        </w:rPr>
        <w:t>time</w:t>
      </w:r>
      <w:r>
        <w:rPr>
          <w:color w:val="010202"/>
          <w:spacing w:val="-2"/>
        </w:rPr>
        <w:t> </w:t>
      </w:r>
      <w:r>
        <w:rPr>
          <w:color w:val="010202"/>
        </w:rPr>
        <w:t>consuming.</w:t>
      </w:r>
      <w:r>
        <w:rPr>
          <w:color w:val="010202"/>
          <w:vertAlign w:val="superscript"/>
        </w:rPr>
        <w:t>40</w:t>
      </w:r>
    </w:p>
    <w:p>
      <w:pPr>
        <w:pStyle w:val="BodyText"/>
        <w:spacing w:line="266" w:lineRule="auto" w:before="198"/>
        <w:ind w:left="159" w:right="87"/>
      </w:pPr>
      <w:r>
        <w:rPr>
          <w:color w:val="231F20"/>
        </w:rPr>
        <w:t>Provide cross-disciplinary training and institutional</w:t>
      </w:r>
      <w:r>
        <w:rPr>
          <w:color w:val="231F20"/>
          <w:spacing w:val="1"/>
        </w:rPr>
        <w:t> </w:t>
      </w:r>
      <w:r>
        <w:rPr>
          <w:color w:val="231F20"/>
        </w:rPr>
        <w:t>support to practitioners to facilitate better understanding</w:t>
      </w:r>
      <w:r>
        <w:rPr>
          <w:color w:val="231F20"/>
          <w:spacing w:val="-52"/>
        </w:rPr>
        <w:t> </w:t>
      </w:r>
      <w:r>
        <w:rPr>
          <w:color w:val="231F20"/>
        </w:rPr>
        <w:t>of</w:t>
      </w:r>
      <w:r>
        <w:rPr>
          <w:color w:val="231F20"/>
          <w:spacing w:val="-3"/>
        </w:rPr>
        <w:t> </w:t>
      </w:r>
      <w:r>
        <w:rPr>
          <w:color w:val="231F20"/>
        </w:rPr>
        <w:t>different</w:t>
      </w:r>
      <w:r>
        <w:rPr>
          <w:color w:val="231F20"/>
          <w:spacing w:val="-3"/>
        </w:rPr>
        <w:t> </w:t>
      </w:r>
      <w:r>
        <w:rPr>
          <w:color w:val="231F20"/>
        </w:rPr>
        <w:t>disciplines</w:t>
      </w:r>
      <w:r>
        <w:rPr>
          <w:color w:val="231F20"/>
          <w:spacing w:val="-2"/>
        </w:rPr>
        <w:t> </w:t>
      </w:r>
      <w:r>
        <w:rPr>
          <w:color w:val="231F20"/>
        </w:rPr>
        <w:t>and</w:t>
      </w:r>
      <w:r>
        <w:rPr>
          <w:color w:val="231F20"/>
          <w:spacing w:val="-3"/>
        </w:rPr>
        <w:t> </w:t>
      </w:r>
      <w:r>
        <w:rPr>
          <w:color w:val="231F20"/>
        </w:rPr>
        <w:t>ways</w:t>
      </w:r>
      <w:r>
        <w:rPr>
          <w:color w:val="231F20"/>
          <w:spacing w:val="-3"/>
        </w:rPr>
        <w:t> </w:t>
      </w:r>
      <w:r>
        <w:rPr>
          <w:color w:val="231F20"/>
        </w:rPr>
        <w:t>to</w:t>
      </w:r>
      <w:r>
        <w:rPr>
          <w:color w:val="231F20"/>
          <w:spacing w:val="-3"/>
        </w:rPr>
        <w:t> </w:t>
      </w:r>
      <w:r>
        <w:rPr>
          <w:color w:val="231F20"/>
        </w:rPr>
        <w:t>promote</w:t>
      </w:r>
      <w:r>
        <w:rPr>
          <w:color w:val="231F20"/>
          <w:spacing w:val="-2"/>
        </w:rPr>
        <w:t> </w:t>
      </w:r>
      <w:r>
        <w:rPr>
          <w:color w:val="231F20"/>
        </w:rPr>
        <w:t>coordinated</w:t>
      </w:r>
      <w:r>
        <w:rPr>
          <w:color w:val="231F20"/>
          <w:spacing w:val="-52"/>
        </w:rPr>
        <w:t> </w:t>
      </w:r>
      <w:r>
        <w:rPr>
          <w:color w:val="231F20"/>
        </w:rPr>
        <w:t>client care.</w:t>
      </w:r>
    </w:p>
    <w:p>
      <w:pPr>
        <w:pStyle w:val="ListParagraph"/>
        <w:numPr>
          <w:ilvl w:val="0"/>
          <w:numId w:val="19"/>
        </w:numPr>
        <w:tabs>
          <w:tab w:pos="879" w:val="left" w:leader="none"/>
          <w:tab w:pos="880" w:val="left" w:leader="none"/>
        </w:tabs>
        <w:spacing w:line="249" w:lineRule="auto" w:before="145" w:after="0"/>
        <w:ind w:left="879" w:right="38" w:hanging="360"/>
        <w:jc w:val="left"/>
        <w:rPr>
          <w:sz w:val="22"/>
        </w:rPr>
      </w:pPr>
      <w:r>
        <w:rPr>
          <w:color w:val="010202"/>
          <w:sz w:val="22"/>
        </w:rPr>
        <w:t>Promote cross-training provided by the AIDS</w:t>
      </w:r>
      <w:r>
        <w:rPr>
          <w:color w:val="010202"/>
          <w:spacing w:val="1"/>
          <w:sz w:val="22"/>
        </w:rPr>
        <w:t> </w:t>
      </w:r>
      <w:r>
        <w:rPr>
          <w:color w:val="010202"/>
          <w:sz w:val="22"/>
        </w:rPr>
        <w:t>Education and Training Centers (</w:t>
      </w:r>
      <w:hyperlink r:id="rId238">
        <w:r>
          <w:rPr>
            <w:color w:val="3953A4"/>
            <w:sz w:val="22"/>
            <w:u w:val="single" w:color="3953A4"/>
          </w:rPr>
          <w:t>AETCs</w:t>
        </w:r>
      </w:hyperlink>
      <w:r>
        <w:rPr>
          <w:color w:val="010202"/>
          <w:sz w:val="22"/>
        </w:rPr>
        <w:t>) on</w:t>
      </w:r>
      <w:r>
        <w:rPr>
          <w:color w:val="010202"/>
          <w:spacing w:val="1"/>
          <w:sz w:val="22"/>
        </w:rPr>
        <w:t> </w:t>
      </w:r>
      <w:r>
        <w:rPr>
          <w:color w:val="010202"/>
          <w:sz w:val="22"/>
        </w:rPr>
        <w:t>HIV-related programs, policies, and practices to</w:t>
      </w:r>
      <w:r>
        <w:rPr>
          <w:color w:val="010202"/>
          <w:spacing w:val="1"/>
          <w:sz w:val="22"/>
        </w:rPr>
        <w:t> </w:t>
      </w:r>
      <w:r>
        <w:rPr>
          <w:color w:val="010202"/>
          <w:sz w:val="22"/>
        </w:rPr>
        <w:t>both</w:t>
      </w:r>
      <w:r>
        <w:rPr>
          <w:color w:val="010202"/>
          <w:spacing w:val="-7"/>
          <w:sz w:val="22"/>
        </w:rPr>
        <w:t> </w:t>
      </w:r>
      <w:r>
        <w:rPr>
          <w:color w:val="010202"/>
          <w:sz w:val="22"/>
        </w:rPr>
        <w:t>Ryan</w:t>
      </w:r>
      <w:r>
        <w:rPr>
          <w:color w:val="010202"/>
          <w:spacing w:val="-10"/>
          <w:sz w:val="22"/>
        </w:rPr>
        <w:t> </w:t>
      </w:r>
      <w:r>
        <w:rPr>
          <w:color w:val="010202"/>
          <w:sz w:val="22"/>
        </w:rPr>
        <w:t>White</w:t>
      </w:r>
      <w:r>
        <w:rPr>
          <w:color w:val="010202"/>
          <w:spacing w:val="-7"/>
          <w:sz w:val="22"/>
        </w:rPr>
        <w:t> </w:t>
      </w:r>
      <w:r>
        <w:rPr>
          <w:color w:val="010202"/>
          <w:sz w:val="22"/>
        </w:rPr>
        <w:t>HIV/AIDS</w:t>
      </w:r>
      <w:r>
        <w:rPr>
          <w:color w:val="010202"/>
          <w:spacing w:val="-8"/>
          <w:sz w:val="22"/>
        </w:rPr>
        <w:t> </w:t>
      </w:r>
      <w:r>
        <w:rPr>
          <w:color w:val="010202"/>
          <w:sz w:val="22"/>
        </w:rPr>
        <w:t>Program</w:t>
      </w:r>
      <w:r>
        <w:rPr>
          <w:color w:val="010202"/>
          <w:spacing w:val="-7"/>
          <w:sz w:val="22"/>
        </w:rPr>
        <w:t> </w:t>
      </w:r>
      <w:r>
        <w:rPr>
          <w:color w:val="010202"/>
          <w:sz w:val="22"/>
        </w:rPr>
        <w:t>(RWHAP)</w:t>
      </w:r>
      <w:r>
        <w:rPr>
          <w:color w:val="010202"/>
          <w:spacing w:val="-52"/>
          <w:sz w:val="22"/>
        </w:rPr>
        <w:t> </w:t>
      </w:r>
      <w:r>
        <w:rPr>
          <w:color w:val="010202"/>
          <w:sz w:val="22"/>
        </w:rPr>
        <w:t>and behavioral health practitioners. Similarly,</w:t>
      </w:r>
      <w:r>
        <w:rPr>
          <w:color w:val="010202"/>
          <w:spacing w:val="1"/>
          <w:sz w:val="22"/>
        </w:rPr>
        <w:t> </w:t>
      </w:r>
      <w:r>
        <w:rPr>
          <w:color w:val="010202"/>
          <w:sz w:val="22"/>
        </w:rPr>
        <w:t>promote training offered by</w:t>
      </w:r>
      <w:r>
        <w:rPr>
          <w:color w:val="3953A4"/>
          <w:sz w:val="22"/>
        </w:rPr>
        <w:t> </w:t>
      </w:r>
      <w:hyperlink r:id="rId239">
        <w:r>
          <w:rPr>
            <w:color w:val="3953A4"/>
            <w:sz w:val="22"/>
            <w:u w:val="single" w:color="3953A4"/>
          </w:rPr>
          <w:t>SAMHSA’s</w:t>
        </w:r>
      </w:hyperlink>
      <w:r>
        <w:rPr>
          <w:color w:val="3953A4"/>
          <w:spacing w:val="1"/>
          <w:sz w:val="22"/>
        </w:rPr>
        <w:t> </w:t>
      </w:r>
      <w:hyperlink r:id="rId239">
        <w:r>
          <w:rPr>
            <w:color w:val="3953A4"/>
            <w:spacing w:val="-1"/>
            <w:sz w:val="22"/>
            <w:u w:val="single" w:color="3953A4"/>
          </w:rPr>
          <w:t>Prevention, Mental </w:t>
        </w:r>
        <w:r>
          <w:rPr>
            <w:color w:val="3953A4"/>
            <w:sz w:val="22"/>
            <w:u w:val="single" w:color="3953A4"/>
          </w:rPr>
          <w:t>Health and Addiction</w:t>
        </w:r>
      </w:hyperlink>
      <w:r>
        <w:rPr>
          <w:color w:val="3953A4"/>
          <w:spacing w:val="1"/>
          <w:sz w:val="22"/>
        </w:rPr>
        <w:t> </w:t>
      </w:r>
      <w:hyperlink r:id="rId239">
        <w:r>
          <w:rPr>
            <w:color w:val="3953A4"/>
            <w:sz w:val="22"/>
            <w:u w:val="single" w:color="3953A4"/>
          </w:rPr>
          <w:t>Technology Transfer Centers</w:t>
        </w:r>
      </w:hyperlink>
      <w:r>
        <w:rPr>
          <w:color w:val="3953A4"/>
          <w:sz w:val="22"/>
        </w:rPr>
        <w:t> </w:t>
      </w:r>
      <w:r>
        <w:rPr>
          <w:color w:val="010202"/>
          <w:sz w:val="22"/>
        </w:rPr>
        <w:t>for practitioners</w:t>
      </w:r>
      <w:r>
        <w:rPr>
          <w:color w:val="010202"/>
          <w:spacing w:val="1"/>
          <w:sz w:val="22"/>
        </w:rPr>
        <w:t> </w:t>
      </w:r>
      <w:r>
        <w:rPr>
          <w:color w:val="010202"/>
          <w:sz w:val="22"/>
        </w:rPr>
        <w:t>and volunteers providing care for persons with</w:t>
      </w:r>
      <w:r>
        <w:rPr>
          <w:color w:val="010202"/>
          <w:spacing w:val="1"/>
          <w:sz w:val="22"/>
        </w:rPr>
        <w:t> </w:t>
      </w:r>
      <w:r>
        <w:rPr>
          <w:color w:val="010202"/>
          <w:sz w:val="22"/>
        </w:rPr>
        <w:t>and</w:t>
      </w:r>
      <w:r>
        <w:rPr>
          <w:color w:val="010202"/>
          <w:spacing w:val="-1"/>
          <w:sz w:val="22"/>
        </w:rPr>
        <w:t> </w:t>
      </w:r>
      <w:r>
        <w:rPr>
          <w:color w:val="010202"/>
          <w:sz w:val="22"/>
        </w:rPr>
        <w:t>at</w:t>
      </w:r>
      <w:r>
        <w:rPr>
          <w:color w:val="010202"/>
          <w:spacing w:val="-1"/>
          <w:sz w:val="22"/>
        </w:rPr>
        <w:t> </w:t>
      </w:r>
      <w:r>
        <w:rPr>
          <w:color w:val="010202"/>
          <w:sz w:val="22"/>
        </w:rPr>
        <w:t>risk of</w:t>
      </w:r>
      <w:r>
        <w:rPr>
          <w:color w:val="010202"/>
          <w:spacing w:val="-1"/>
          <w:sz w:val="22"/>
        </w:rPr>
        <w:t> </w:t>
      </w:r>
      <w:r>
        <w:rPr>
          <w:color w:val="010202"/>
          <w:sz w:val="22"/>
        </w:rPr>
        <w:t>HIV.</w:t>
      </w:r>
    </w:p>
    <w:p>
      <w:pPr>
        <w:pStyle w:val="ListParagraph"/>
        <w:numPr>
          <w:ilvl w:val="0"/>
          <w:numId w:val="19"/>
        </w:numPr>
        <w:tabs>
          <w:tab w:pos="879" w:val="left" w:leader="none"/>
          <w:tab w:pos="880" w:val="left" w:leader="none"/>
        </w:tabs>
        <w:spacing w:line="249" w:lineRule="auto" w:before="0" w:after="0"/>
        <w:ind w:left="879" w:right="311" w:hanging="360"/>
        <w:jc w:val="left"/>
        <w:rPr>
          <w:sz w:val="22"/>
        </w:rPr>
      </w:pPr>
      <w:r>
        <w:rPr>
          <w:color w:val="010202"/>
          <w:sz w:val="22"/>
        </w:rPr>
        <w:t>Create</w:t>
      </w:r>
      <w:r>
        <w:rPr>
          <w:color w:val="010202"/>
          <w:spacing w:val="-2"/>
          <w:sz w:val="22"/>
        </w:rPr>
        <w:t> </w:t>
      </w:r>
      <w:r>
        <w:rPr>
          <w:color w:val="010202"/>
          <w:sz w:val="22"/>
        </w:rPr>
        <w:t>mechanisms</w:t>
      </w:r>
      <w:r>
        <w:rPr>
          <w:color w:val="010202"/>
          <w:spacing w:val="-2"/>
          <w:sz w:val="22"/>
        </w:rPr>
        <w:t> </w:t>
      </w:r>
      <w:r>
        <w:rPr>
          <w:color w:val="010202"/>
          <w:sz w:val="22"/>
        </w:rPr>
        <w:t>for</w:t>
      </w:r>
      <w:r>
        <w:rPr>
          <w:color w:val="010202"/>
          <w:spacing w:val="-1"/>
          <w:sz w:val="22"/>
        </w:rPr>
        <w:t> </w:t>
      </w:r>
      <w:r>
        <w:rPr>
          <w:color w:val="010202"/>
          <w:sz w:val="22"/>
        </w:rPr>
        <w:t>staff</w:t>
      </w:r>
      <w:r>
        <w:rPr>
          <w:color w:val="010202"/>
          <w:spacing w:val="-2"/>
          <w:sz w:val="22"/>
        </w:rPr>
        <w:t> </w:t>
      </w:r>
      <w:r>
        <w:rPr>
          <w:color w:val="010202"/>
          <w:sz w:val="22"/>
        </w:rPr>
        <w:t>to</w:t>
      </w:r>
      <w:r>
        <w:rPr>
          <w:color w:val="010202"/>
          <w:spacing w:val="-1"/>
          <w:sz w:val="22"/>
        </w:rPr>
        <w:t> </w:t>
      </w:r>
      <w:r>
        <w:rPr>
          <w:color w:val="010202"/>
          <w:sz w:val="22"/>
        </w:rPr>
        <w:t>work</w:t>
      </w:r>
      <w:r>
        <w:rPr>
          <w:color w:val="010202"/>
          <w:spacing w:val="-3"/>
          <w:sz w:val="22"/>
        </w:rPr>
        <w:t> </w:t>
      </w:r>
      <w:r>
        <w:rPr>
          <w:color w:val="010202"/>
          <w:sz w:val="22"/>
        </w:rPr>
        <w:t>and</w:t>
      </w:r>
      <w:r>
        <w:rPr>
          <w:color w:val="010202"/>
          <w:spacing w:val="-1"/>
          <w:sz w:val="22"/>
        </w:rPr>
        <w:t> </w:t>
      </w:r>
      <w:r>
        <w:rPr>
          <w:color w:val="010202"/>
          <w:sz w:val="22"/>
        </w:rPr>
        <w:t>train</w:t>
      </w:r>
      <w:r>
        <w:rPr>
          <w:color w:val="010202"/>
          <w:spacing w:val="-52"/>
          <w:sz w:val="22"/>
        </w:rPr>
        <w:t> </w:t>
      </w:r>
      <w:r>
        <w:rPr>
          <w:color w:val="010202"/>
          <w:sz w:val="22"/>
        </w:rPr>
        <w:t>across HIV and behavioral health service</w:t>
      </w:r>
      <w:r>
        <w:rPr>
          <w:color w:val="010202"/>
          <w:spacing w:val="1"/>
          <w:sz w:val="22"/>
        </w:rPr>
        <w:t> </w:t>
      </w:r>
      <w:r>
        <w:rPr>
          <w:color w:val="010202"/>
          <w:sz w:val="22"/>
        </w:rPr>
        <w:t>programs.</w:t>
      </w:r>
      <w:r>
        <w:rPr>
          <w:color w:val="010202"/>
          <w:sz w:val="22"/>
          <w:vertAlign w:val="superscript"/>
        </w:rPr>
        <w:t>41</w:t>
      </w:r>
    </w:p>
    <w:p>
      <w:pPr>
        <w:pStyle w:val="ListParagraph"/>
        <w:numPr>
          <w:ilvl w:val="0"/>
          <w:numId w:val="19"/>
        </w:numPr>
        <w:tabs>
          <w:tab w:pos="879" w:val="left" w:leader="none"/>
          <w:tab w:pos="880" w:val="left" w:leader="none"/>
        </w:tabs>
        <w:spacing w:line="255" w:lineRule="exact" w:before="0" w:after="0"/>
        <w:ind w:left="879" w:right="0" w:hanging="360"/>
        <w:jc w:val="left"/>
        <w:rPr>
          <w:sz w:val="22"/>
        </w:rPr>
      </w:pPr>
      <w:r>
        <w:rPr>
          <w:color w:val="010202"/>
          <w:sz w:val="22"/>
        </w:rPr>
        <w:t>Identify in-house trainings (e.g., grand-rounds,</w:t>
      </w:r>
    </w:p>
    <w:p>
      <w:pPr>
        <w:pStyle w:val="BodyText"/>
        <w:spacing w:line="249" w:lineRule="auto" w:before="3"/>
        <w:ind w:left="879" w:right="283"/>
      </w:pPr>
      <w:r>
        <w:rPr>
          <w:color w:val="010202"/>
        </w:rPr>
        <w:t>in-service trainings), local trainings, online</w:t>
      </w:r>
      <w:r>
        <w:rPr>
          <w:color w:val="010202"/>
          <w:spacing w:val="1"/>
        </w:rPr>
        <w:t> </w:t>
      </w:r>
      <w:r>
        <w:rPr>
          <w:color w:val="010202"/>
        </w:rPr>
        <w:t>webinars, opportunities to attend conferences,</w:t>
      </w:r>
      <w:r>
        <w:rPr>
          <w:color w:val="010202"/>
          <w:spacing w:val="-52"/>
        </w:rPr>
        <w:t> </w:t>
      </w:r>
      <w:r>
        <w:rPr>
          <w:color w:val="010202"/>
        </w:rPr>
        <w:t>and continuing education unit training</w:t>
      </w:r>
      <w:r>
        <w:rPr>
          <w:color w:val="010202"/>
          <w:spacing w:val="1"/>
        </w:rPr>
        <w:t> </w:t>
      </w:r>
      <w:r>
        <w:rPr>
          <w:color w:val="010202"/>
        </w:rPr>
        <w:t>opportunities to support cross-disciplinary</w:t>
      </w:r>
      <w:r>
        <w:rPr>
          <w:color w:val="010202"/>
          <w:spacing w:val="1"/>
        </w:rPr>
        <w:t> </w:t>
      </w:r>
      <w:r>
        <w:rPr>
          <w:color w:val="010202"/>
        </w:rPr>
        <w:t>learning.</w:t>
      </w:r>
      <w:r>
        <w:rPr>
          <w:color w:val="010202"/>
          <w:vertAlign w:val="superscript"/>
        </w:rPr>
        <w:t>9</w:t>
      </w:r>
    </w:p>
    <w:p>
      <w:pPr>
        <w:pStyle w:val="ListParagraph"/>
        <w:numPr>
          <w:ilvl w:val="0"/>
          <w:numId w:val="19"/>
        </w:numPr>
        <w:tabs>
          <w:tab w:pos="879" w:val="left" w:leader="none"/>
          <w:tab w:pos="880" w:val="left" w:leader="none"/>
        </w:tabs>
        <w:spacing w:line="249" w:lineRule="auto" w:before="0" w:after="0"/>
        <w:ind w:left="879" w:right="247" w:hanging="360"/>
        <w:jc w:val="left"/>
        <w:rPr>
          <w:sz w:val="22"/>
        </w:rPr>
      </w:pPr>
      <w:r>
        <w:rPr>
          <w:color w:val="010202"/>
          <w:spacing w:val="-3"/>
          <w:sz w:val="22"/>
        </w:rPr>
        <w:t>Prevent vicarious trauma (i.e., work-related</w:t>
      </w:r>
      <w:r>
        <w:rPr>
          <w:color w:val="010202"/>
          <w:spacing w:val="-2"/>
          <w:sz w:val="22"/>
        </w:rPr>
        <w:t> </w:t>
      </w:r>
      <w:r>
        <w:rPr>
          <w:color w:val="010202"/>
          <w:spacing w:val="-3"/>
          <w:sz w:val="22"/>
        </w:rPr>
        <w:t>trauma</w:t>
      </w:r>
      <w:r>
        <w:rPr>
          <w:color w:val="010202"/>
          <w:spacing w:val="-11"/>
          <w:sz w:val="22"/>
        </w:rPr>
        <w:t> </w:t>
      </w:r>
      <w:r>
        <w:rPr>
          <w:color w:val="010202"/>
          <w:spacing w:val="-3"/>
          <w:sz w:val="22"/>
        </w:rPr>
        <w:t>due</w:t>
      </w:r>
      <w:r>
        <w:rPr>
          <w:color w:val="010202"/>
          <w:spacing w:val="-11"/>
          <w:sz w:val="22"/>
        </w:rPr>
        <w:t> </w:t>
      </w:r>
      <w:r>
        <w:rPr>
          <w:color w:val="010202"/>
          <w:spacing w:val="-3"/>
          <w:sz w:val="22"/>
        </w:rPr>
        <w:t>to</w:t>
      </w:r>
      <w:r>
        <w:rPr>
          <w:color w:val="010202"/>
          <w:spacing w:val="-10"/>
          <w:sz w:val="22"/>
        </w:rPr>
        <w:t> </w:t>
      </w:r>
      <w:r>
        <w:rPr>
          <w:color w:val="010202"/>
          <w:spacing w:val="-3"/>
          <w:sz w:val="22"/>
        </w:rPr>
        <w:t>continuous</w:t>
      </w:r>
      <w:r>
        <w:rPr>
          <w:color w:val="010202"/>
          <w:spacing w:val="-11"/>
          <w:sz w:val="22"/>
        </w:rPr>
        <w:t> </w:t>
      </w:r>
      <w:r>
        <w:rPr>
          <w:color w:val="010202"/>
          <w:spacing w:val="-3"/>
          <w:sz w:val="22"/>
        </w:rPr>
        <w:t>exposure</w:t>
      </w:r>
      <w:r>
        <w:rPr>
          <w:color w:val="010202"/>
          <w:spacing w:val="-11"/>
          <w:sz w:val="22"/>
        </w:rPr>
        <w:t> </w:t>
      </w:r>
      <w:r>
        <w:rPr>
          <w:color w:val="010202"/>
          <w:spacing w:val="-3"/>
          <w:sz w:val="22"/>
        </w:rPr>
        <w:t>to</w:t>
      </w:r>
      <w:r>
        <w:rPr>
          <w:color w:val="010202"/>
          <w:spacing w:val="-10"/>
          <w:sz w:val="22"/>
        </w:rPr>
        <w:t> </w:t>
      </w:r>
      <w:r>
        <w:rPr>
          <w:color w:val="010202"/>
          <w:spacing w:val="-2"/>
          <w:sz w:val="22"/>
        </w:rPr>
        <w:t>victims</w:t>
      </w:r>
      <w:r>
        <w:rPr>
          <w:color w:val="010202"/>
          <w:spacing w:val="-11"/>
          <w:sz w:val="22"/>
        </w:rPr>
        <w:t> </w:t>
      </w:r>
      <w:r>
        <w:rPr>
          <w:color w:val="010202"/>
          <w:spacing w:val="-2"/>
          <w:sz w:val="22"/>
        </w:rPr>
        <w:t>of</w:t>
      </w:r>
      <w:r>
        <w:rPr>
          <w:color w:val="010202"/>
          <w:spacing w:val="-52"/>
          <w:sz w:val="22"/>
        </w:rPr>
        <w:t> </w:t>
      </w:r>
      <w:r>
        <w:rPr>
          <w:color w:val="010202"/>
          <w:spacing w:val="-4"/>
          <w:sz w:val="22"/>
        </w:rPr>
        <w:t>trauma</w:t>
      </w:r>
      <w:r>
        <w:rPr>
          <w:color w:val="010202"/>
          <w:spacing w:val="-10"/>
          <w:sz w:val="22"/>
        </w:rPr>
        <w:t> </w:t>
      </w:r>
      <w:r>
        <w:rPr>
          <w:color w:val="010202"/>
          <w:spacing w:val="-4"/>
          <w:sz w:val="22"/>
        </w:rPr>
        <w:t>and</w:t>
      </w:r>
      <w:r>
        <w:rPr>
          <w:color w:val="010202"/>
          <w:spacing w:val="-10"/>
          <w:sz w:val="22"/>
        </w:rPr>
        <w:t> </w:t>
      </w:r>
      <w:r>
        <w:rPr>
          <w:color w:val="010202"/>
          <w:spacing w:val="-4"/>
          <w:sz w:val="22"/>
        </w:rPr>
        <w:t>violence),</w:t>
      </w:r>
      <w:r>
        <w:rPr>
          <w:color w:val="010202"/>
          <w:spacing w:val="-4"/>
          <w:sz w:val="22"/>
          <w:vertAlign w:val="superscript"/>
        </w:rPr>
        <w:t>42</w:t>
      </w:r>
      <w:r>
        <w:rPr>
          <w:color w:val="010202"/>
          <w:spacing w:val="-9"/>
          <w:sz w:val="22"/>
          <w:vertAlign w:val="baseline"/>
        </w:rPr>
        <w:t> </w:t>
      </w:r>
      <w:r>
        <w:rPr>
          <w:color w:val="010202"/>
          <w:spacing w:val="-3"/>
          <w:sz w:val="22"/>
          <w:vertAlign w:val="baseline"/>
        </w:rPr>
        <w:t>burnout,</w:t>
      </w:r>
      <w:r>
        <w:rPr>
          <w:color w:val="010202"/>
          <w:spacing w:val="-9"/>
          <w:sz w:val="22"/>
          <w:vertAlign w:val="baseline"/>
        </w:rPr>
        <w:t> </w:t>
      </w:r>
      <w:r>
        <w:rPr>
          <w:color w:val="010202"/>
          <w:spacing w:val="-3"/>
          <w:sz w:val="22"/>
          <w:vertAlign w:val="baseline"/>
        </w:rPr>
        <w:t>and</w:t>
      </w:r>
      <w:r>
        <w:rPr>
          <w:color w:val="010202"/>
          <w:spacing w:val="-10"/>
          <w:sz w:val="22"/>
          <w:vertAlign w:val="baseline"/>
        </w:rPr>
        <w:t> </w:t>
      </w:r>
      <w:r>
        <w:rPr>
          <w:color w:val="010202"/>
          <w:spacing w:val="-3"/>
          <w:sz w:val="22"/>
          <w:vertAlign w:val="baseline"/>
        </w:rPr>
        <w:t>turnover</w:t>
      </w:r>
      <w:r>
        <w:rPr>
          <w:color w:val="010202"/>
          <w:spacing w:val="-10"/>
          <w:sz w:val="22"/>
          <w:vertAlign w:val="baseline"/>
        </w:rPr>
        <w:t> </w:t>
      </w:r>
      <w:r>
        <w:rPr>
          <w:color w:val="010202"/>
          <w:spacing w:val="-3"/>
          <w:sz w:val="22"/>
          <w:vertAlign w:val="baseline"/>
        </w:rPr>
        <w:t>by</w:t>
      </w:r>
    </w:p>
    <w:p>
      <w:pPr>
        <w:pStyle w:val="BodyText"/>
        <w:spacing w:line="249" w:lineRule="auto" w:before="98"/>
        <w:ind w:left="879" w:right="1113"/>
      </w:pPr>
      <w:r>
        <w:rPr/>
        <w:br w:type="column"/>
      </w:r>
      <w:r>
        <w:rPr>
          <w:color w:val="010202"/>
          <w:spacing w:val="-4"/>
        </w:rPr>
        <w:t>supporting manageable caseloads </w:t>
      </w:r>
      <w:r>
        <w:rPr>
          <w:color w:val="010202"/>
          <w:spacing w:val="-3"/>
        </w:rPr>
        <w:t>for staff and</w:t>
      </w:r>
      <w:r>
        <w:rPr>
          <w:color w:val="010202"/>
          <w:spacing w:val="-52"/>
        </w:rPr>
        <w:t> </w:t>
      </w:r>
      <w:r>
        <w:rPr>
          <w:color w:val="010202"/>
          <w:spacing w:val="-4"/>
        </w:rPr>
        <w:t>providing consistent clinical </w:t>
      </w:r>
      <w:r>
        <w:rPr>
          <w:color w:val="010202"/>
          <w:spacing w:val="-3"/>
        </w:rPr>
        <w:t>supervision. For</w:t>
      </w:r>
      <w:r>
        <w:rPr>
          <w:color w:val="010202"/>
          <w:spacing w:val="-2"/>
        </w:rPr>
        <w:t> </w:t>
      </w:r>
      <w:r>
        <w:rPr>
          <w:color w:val="010202"/>
          <w:spacing w:val="-4"/>
        </w:rPr>
        <w:t>example,</w:t>
      </w:r>
      <w:r>
        <w:rPr>
          <w:color w:val="010202"/>
          <w:spacing w:val="-9"/>
        </w:rPr>
        <w:t> </w:t>
      </w:r>
      <w:r>
        <w:rPr>
          <w:color w:val="010202"/>
          <w:spacing w:val="-4"/>
        </w:rPr>
        <w:t>peers</w:t>
      </w:r>
      <w:r>
        <w:rPr>
          <w:color w:val="010202"/>
          <w:spacing w:val="-9"/>
        </w:rPr>
        <w:t> </w:t>
      </w:r>
      <w:r>
        <w:rPr>
          <w:color w:val="010202"/>
          <w:spacing w:val="-4"/>
        </w:rPr>
        <w:t>and</w:t>
      </w:r>
      <w:r>
        <w:rPr>
          <w:color w:val="010202"/>
          <w:spacing w:val="-9"/>
        </w:rPr>
        <w:t> </w:t>
      </w:r>
      <w:r>
        <w:rPr>
          <w:color w:val="010202"/>
          <w:spacing w:val="-4"/>
        </w:rPr>
        <w:t>patient</w:t>
      </w:r>
      <w:r>
        <w:rPr>
          <w:color w:val="010202"/>
          <w:spacing w:val="-9"/>
        </w:rPr>
        <w:t> </w:t>
      </w:r>
      <w:r>
        <w:rPr>
          <w:color w:val="010202"/>
          <w:spacing w:val="-3"/>
        </w:rPr>
        <w:t>navigators</w:t>
      </w:r>
      <w:r>
        <w:rPr>
          <w:color w:val="010202"/>
          <w:spacing w:val="-9"/>
        </w:rPr>
        <w:t> </w:t>
      </w:r>
      <w:r>
        <w:rPr>
          <w:color w:val="010202"/>
          <w:spacing w:val="-3"/>
        </w:rPr>
        <w:t>may</w:t>
      </w:r>
      <w:r>
        <w:rPr>
          <w:color w:val="010202"/>
          <w:spacing w:val="-9"/>
        </w:rPr>
        <w:t> </w:t>
      </w:r>
      <w:r>
        <w:rPr>
          <w:color w:val="010202"/>
          <w:spacing w:val="-3"/>
        </w:rPr>
        <w:t>not</w:t>
      </w:r>
      <w:r>
        <w:rPr>
          <w:color w:val="010202"/>
          <w:spacing w:val="-52"/>
        </w:rPr>
        <w:t> </w:t>
      </w:r>
      <w:r>
        <w:rPr>
          <w:color w:val="010202"/>
          <w:spacing w:val="-3"/>
        </w:rPr>
        <w:t>have</w:t>
      </w:r>
      <w:r>
        <w:rPr>
          <w:color w:val="010202"/>
          <w:spacing w:val="-11"/>
        </w:rPr>
        <w:t> </w:t>
      </w:r>
      <w:r>
        <w:rPr>
          <w:color w:val="010202"/>
          <w:spacing w:val="-3"/>
        </w:rPr>
        <w:t>the</w:t>
      </w:r>
      <w:r>
        <w:rPr>
          <w:color w:val="010202"/>
          <w:spacing w:val="-11"/>
        </w:rPr>
        <w:t> </w:t>
      </w:r>
      <w:r>
        <w:rPr>
          <w:color w:val="010202"/>
          <w:spacing w:val="-3"/>
        </w:rPr>
        <w:t>formal</w:t>
      </w:r>
      <w:r>
        <w:rPr>
          <w:color w:val="010202"/>
          <w:spacing w:val="-10"/>
        </w:rPr>
        <w:t> </w:t>
      </w:r>
      <w:r>
        <w:rPr>
          <w:color w:val="010202"/>
          <w:spacing w:val="-3"/>
        </w:rPr>
        <w:t>clinical</w:t>
      </w:r>
      <w:r>
        <w:rPr>
          <w:color w:val="010202"/>
          <w:spacing w:val="-11"/>
        </w:rPr>
        <w:t> </w:t>
      </w:r>
      <w:r>
        <w:rPr>
          <w:color w:val="010202"/>
          <w:spacing w:val="-3"/>
        </w:rPr>
        <w:t>training</w:t>
      </w:r>
      <w:r>
        <w:rPr>
          <w:color w:val="010202"/>
          <w:spacing w:val="-10"/>
        </w:rPr>
        <w:t> </w:t>
      </w:r>
      <w:r>
        <w:rPr>
          <w:color w:val="010202"/>
          <w:spacing w:val="-3"/>
        </w:rPr>
        <w:t>their</w:t>
      </w:r>
      <w:r>
        <w:rPr>
          <w:color w:val="010202"/>
          <w:spacing w:val="-11"/>
        </w:rPr>
        <w:t> </w:t>
      </w:r>
      <w:r>
        <w:rPr>
          <w:color w:val="010202"/>
          <w:spacing w:val="-3"/>
        </w:rPr>
        <w:t>licensed</w:t>
      </w:r>
      <w:r>
        <w:rPr>
          <w:color w:val="010202"/>
          <w:spacing w:val="-52"/>
        </w:rPr>
        <w:t> </w:t>
      </w:r>
      <w:r>
        <w:rPr>
          <w:color w:val="010202"/>
          <w:spacing w:val="-4"/>
        </w:rPr>
        <w:t>mental health, substance </w:t>
      </w:r>
      <w:r>
        <w:rPr>
          <w:color w:val="010202"/>
          <w:spacing w:val="-3"/>
        </w:rPr>
        <w:t>use, and social work</w:t>
      </w:r>
      <w:r>
        <w:rPr>
          <w:color w:val="010202"/>
          <w:spacing w:val="-2"/>
        </w:rPr>
        <w:t> </w:t>
      </w:r>
      <w:r>
        <w:rPr>
          <w:color w:val="010202"/>
          <w:spacing w:val="-4"/>
        </w:rPr>
        <w:t>colleagues </w:t>
      </w:r>
      <w:r>
        <w:rPr>
          <w:color w:val="010202"/>
          <w:spacing w:val="-3"/>
        </w:rPr>
        <w:t>do, and may benefit from ongoing,</w:t>
      </w:r>
      <w:r>
        <w:rPr>
          <w:color w:val="010202"/>
          <w:spacing w:val="-52"/>
        </w:rPr>
        <w:t> </w:t>
      </w:r>
      <w:r>
        <w:rPr>
          <w:color w:val="010202"/>
        </w:rPr>
        <w:t>structured</w:t>
      </w:r>
      <w:r>
        <w:rPr>
          <w:color w:val="010202"/>
          <w:spacing w:val="-14"/>
        </w:rPr>
        <w:t> </w:t>
      </w:r>
      <w:r>
        <w:rPr>
          <w:color w:val="010202"/>
        </w:rPr>
        <w:t>clinical</w:t>
      </w:r>
      <w:r>
        <w:rPr>
          <w:color w:val="010202"/>
          <w:spacing w:val="-13"/>
        </w:rPr>
        <w:t> </w:t>
      </w:r>
      <w:r>
        <w:rPr>
          <w:color w:val="010202"/>
        </w:rPr>
        <w:t>supervision.</w:t>
      </w:r>
      <w:r>
        <w:rPr>
          <w:color w:val="010202"/>
          <w:vertAlign w:val="superscript"/>
        </w:rPr>
        <w:t>43</w:t>
      </w:r>
    </w:p>
    <w:p>
      <w:pPr>
        <w:pStyle w:val="BodyText"/>
        <w:spacing w:line="266" w:lineRule="auto" w:before="203"/>
        <w:ind w:left="160" w:right="762"/>
      </w:pPr>
      <w:r>
        <w:rPr>
          <w:color w:val="231F20"/>
          <w:spacing w:val="-5"/>
        </w:rPr>
        <w:t>Provide ongoing </w:t>
      </w:r>
      <w:r>
        <w:rPr>
          <w:color w:val="231F20"/>
          <w:spacing w:val="-4"/>
        </w:rPr>
        <w:t>trainings on ways to create welcoming,</w:t>
      </w:r>
      <w:r>
        <w:rPr>
          <w:color w:val="231F20"/>
          <w:spacing w:val="-3"/>
        </w:rPr>
        <w:t> </w:t>
      </w:r>
      <w:r>
        <w:rPr>
          <w:color w:val="231F20"/>
          <w:spacing w:val="-5"/>
        </w:rPr>
        <w:t>supportive</w:t>
      </w:r>
      <w:r>
        <w:rPr>
          <w:color w:val="231F20"/>
          <w:spacing w:val="-9"/>
        </w:rPr>
        <w:t> </w:t>
      </w:r>
      <w:r>
        <w:rPr>
          <w:color w:val="231F20"/>
          <w:spacing w:val="-5"/>
        </w:rPr>
        <w:t>environments</w:t>
      </w:r>
      <w:r>
        <w:rPr>
          <w:color w:val="231F20"/>
          <w:spacing w:val="-9"/>
        </w:rPr>
        <w:t> </w:t>
      </w:r>
      <w:r>
        <w:rPr>
          <w:color w:val="231F20"/>
          <w:spacing w:val="-5"/>
        </w:rPr>
        <w:t>for</w:t>
      </w:r>
      <w:r>
        <w:rPr>
          <w:color w:val="231F20"/>
          <w:spacing w:val="-9"/>
        </w:rPr>
        <w:t> </w:t>
      </w:r>
      <w:r>
        <w:rPr>
          <w:color w:val="231F20"/>
          <w:spacing w:val="-5"/>
        </w:rPr>
        <w:t>people</w:t>
      </w:r>
      <w:r>
        <w:rPr>
          <w:color w:val="231F20"/>
          <w:spacing w:val="-8"/>
        </w:rPr>
        <w:t> </w:t>
      </w:r>
      <w:r>
        <w:rPr>
          <w:color w:val="231F20"/>
          <w:spacing w:val="-4"/>
        </w:rPr>
        <w:t>with</w:t>
      </w:r>
      <w:r>
        <w:rPr>
          <w:color w:val="231F20"/>
          <w:spacing w:val="-9"/>
        </w:rPr>
        <w:t> </w:t>
      </w:r>
      <w:r>
        <w:rPr>
          <w:color w:val="231F20"/>
          <w:spacing w:val="-4"/>
        </w:rPr>
        <w:t>or</w:t>
      </w:r>
      <w:r>
        <w:rPr>
          <w:color w:val="231F20"/>
          <w:spacing w:val="-9"/>
        </w:rPr>
        <w:t> </w:t>
      </w:r>
      <w:r>
        <w:rPr>
          <w:color w:val="231F20"/>
          <w:spacing w:val="-4"/>
        </w:rPr>
        <w:t>at</w:t>
      </w:r>
      <w:r>
        <w:rPr>
          <w:color w:val="231F20"/>
          <w:spacing w:val="-8"/>
        </w:rPr>
        <w:t> </w:t>
      </w:r>
      <w:r>
        <w:rPr>
          <w:color w:val="231F20"/>
          <w:spacing w:val="-4"/>
        </w:rPr>
        <w:t>risk</w:t>
      </w:r>
      <w:r>
        <w:rPr>
          <w:color w:val="231F20"/>
          <w:spacing w:val="-9"/>
        </w:rPr>
        <w:t> </w:t>
      </w:r>
      <w:r>
        <w:rPr>
          <w:color w:val="231F20"/>
          <w:spacing w:val="-4"/>
        </w:rPr>
        <w:t>for</w:t>
      </w:r>
      <w:r>
        <w:rPr>
          <w:color w:val="231F20"/>
          <w:spacing w:val="-9"/>
        </w:rPr>
        <w:t> </w:t>
      </w:r>
      <w:r>
        <w:rPr>
          <w:color w:val="231F20"/>
          <w:spacing w:val="-4"/>
        </w:rPr>
        <w:t>HIV.</w:t>
      </w:r>
    </w:p>
    <w:p>
      <w:pPr>
        <w:pStyle w:val="ListParagraph"/>
        <w:numPr>
          <w:ilvl w:val="0"/>
          <w:numId w:val="19"/>
        </w:numPr>
        <w:tabs>
          <w:tab w:pos="879" w:val="left" w:leader="none"/>
          <w:tab w:pos="880" w:val="left" w:leader="none"/>
        </w:tabs>
        <w:spacing w:line="249" w:lineRule="auto" w:before="146" w:after="0"/>
        <w:ind w:left="879" w:right="804" w:hanging="360"/>
        <w:jc w:val="left"/>
        <w:rPr>
          <w:sz w:val="22"/>
        </w:rPr>
      </w:pPr>
      <w:r>
        <w:rPr>
          <w:color w:val="010202"/>
          <w:sz w:val="22"/>
        </w:rPr>
        <w:t>Conduct and support staff training to enhance</w:t>
      </w:r>
      <w:r>
        <w:rPr>
          <w:color w:val="3953A4"/>
          <w:spacing w:val="1"/>
          <w:sz w:val="22"/>
        </w:rPr>
        <w:t> </w:t>
      </w:r>
      <w:hyperlink r:id="rId240">
        <w:r>
          <w:rPr>
            <w:color w:val="3953A4"/>
            <w:spacing w:val="-1"/>
            <w:sz w:val="22"/>
            <w:u w:val="single" w:color="3953A4"/>
          </w:rPr>
          <w:t>cultural</w:t>
        </w:r>
        <w:r>
          <w:rPr>
            <w:color w:val="3953A4"/>
            <w:spacing w:val="-12"/>
            <w:sz w:val="22"/>
            <w:u w:val="single" w:color="3953A4"/>
          </w:rPr>
          <w:t> </w:t>
        </w:r>
        <w:r>
          <w:rPr>
            <w:color w:val="3953A4"/>
            <w:spacing w:val="-1"/>
            <w:sz w:val="22"/>
            <w:u w:val="single" w:color="3953A4"/>
          </w:rPr>
          <w:t>competence</w:t>
        </w:r>
        <w:r>
          <w:rPr>
            <w:color w:val="3953A4"/>
            <w:spacing w:val="-10"/>
            <w:sz w:val="22"/>
          </w:rPr>
          <w:t> </w:t>
        </w:r>
      </w:hyperlink>
      <w:r>
        <w:rPr>
          <w:color w:val="010202"/>
          <w:spacing w:val="-1"/>
          <w:sz w:val="22"/>
        </w:rPr>
        <w:t>and</w:t>
      </w:r>
      <w:r>
        <w:rPr>
          <w:color w:val="010202"/>
          <w:spacing w:val="-11"/>
          <w:sz w:val="22"/>
        </w:rPr>
        <w:t> </w:t>
      </w:r>
      <w:r>
        <w:rPr>
          <w:color w:val="010202"/>
          <w:spacing w:val="-1"/>
          <w:sz w:val="22"/>
        </w:rPr>
        <w:t>create</w:t>
      </w:r>
      <w:r>
        <w:rPr>
          <w:color w:val="010202"/>
          <w:spacing w:val="-11"/>
          <w:sz w:val="22"/>
        </w:rPr>
        <w:t> </w:t>
      </w:r>
      <w:r>
        <w:rPr>
          <w:color w:val="010202"/>
          <w:spacing w:val="-1"/>
          <w:sz w:val="22"/>
        </w:rPr>
        <w:t>a</w:t>
      </w:r>
      <w:r>
        <w:rPr>
          <w:color w:val="010202"/>
          <w:spacing w:val="-11"/>
          <w:sz w:val="22"/>
        </w:rPr>
        <w:t> </w:t>
      </w:r>
      <w:r>
        <w:rPr>
          <w:color w:val="010202"/>
          <w:spacing w:val="-1"/>
          <w:sz w:val="22"/>
        </w:rPr>
        <w:t>safe,</w:t>
      </w:r>
      <w:r>
        <w:rPr>
          <w:color w:val="010202"/>
          <w:spacing w:val="-12"/>
          <w:sz w:val="22"/>
        </w:rPr>
        <w:t> </w:t>
      </w:r>
      <w:r>
        <w:rPr>
          <w:color w:val="010202"/>
          <w:spacing w:val="-1"/>
          <w:sz w:val="22"/>
        </w:rPr>
        <w:t>supportive</w:t>
      </w:r>
      <w:r>
        <w:rPr>
          <w:color w:val="010202"/>
          <w:spacing w:val="-52"/>
          <w:sz w:val="22"/>
        </w:rPr>
        <w:t> </w:t>
      </w:r>
      <w:r>
        <w:rPr>
          <w:color w:val="010202"/>
          <w:sz w:val="22"/>
        </w:rPr>
        <w:t>environment that improves client-staff</w:t>
      </w:r>
      <w:r>
        <w:rPr>
          <w:color w:val="010202"/>
          <w:spacing w:val="1"/>
          <w:sz w:val="22"/>
        </w:rPr>
        <w:t> </w:t>
      </w:r>
      <w:r>
        <w:rPr>
          <w:color w:val="010202"/>
          <w:sz w:val="22"/>
        </w:rPr>
        <w:t>relationships and reduces the risk of a client</w:t>
      </w:r>
      <w:r>
        <w:rPr>
          <w:color w:val="010202"/>
          <w:spacing w:val="1"/>
          <w:sz w:val="22"/>
        </w:rPr>
        <w:t> </w:t>
      </w:r>
      <w:r>
        <w:rPr>
          <w:color w:val="010202"/>
          <w:sz w:val="22"/>
        </w:rPr>
        <w:t>discontinuing</w:t>
      </w:r>
      <w:r>
        <w:rPr>
          <w:color w:val="010202"/>
          <w:spacing w:val="-6"/>
          <w:sz w:val="22"/>
        </w:rPr>
        <w:t> </w:t>
      </w:r>
      <w:r>
        <w:rPr>
          <w:color w:val="010202"/>
          <w:sz w:val="22"/>
        </w:rPr>
        <w:t>treatment.</w:t>
      </w:r>
      <w:r>
        <w:rPr>
          <w:color w:val="010202"/>
          <w:sz w:val="22"/>
          <w:vertAlign w:val="superscript"/>
        </w:rPr>
        <w:t>33</w:t>
      </w:r>
    </w:p>
    <w:p>
      <w:pPr>
        <w:pStyle w:val="ListParagraph"/>
        <w:numPr>
          <w:ilvl w:val="0"/>
          <w:numId w:val="19"/>
        </w:numPr>
        <w:tabs>
          <w:tab w:pos="879" w:val="left" w:leader="none"/>
          <w:tab w:pos="880" w:val="left" w:leader="none"/>
        </w:tabs>
        <w:spacing w:line="249" w:lineRule="auto" w:before="0" w:after="0"/>
        <w:ind w:left="879" w:right="803" w:hanging="360"/>
        <w:jc w:val="left"/>
        <w:rPr>
          <w:sz w:val="22"/>
        </w:rPr>
      </w:pPr>
      <w:r>
        <w:rPr/>
        <w:drawing>
          <wp:anchor distT="0" distB="0" distL="0" distR="0" allowOverlap="1" layoutInCell="1" locked="0" behindDoc="0" simplePos="0" relativeHeight="15762432">
            <wp:simplePos x="0" y="0"/>
            <wp:positionH relativeFrom="page">
              <wp:posOffset>4114800</wp:posOffset>
            </wp:positionH>
            <wp:positionV relativeFrom="paragraph">
              <wp:posOffset>814851</wp:posOffset>
            </wp:positionV>
            <wp:extent cx="2715259" cy="591184"/>
            <wp:effectExtent l="0" t="0" r="0" b="0"/>
            <wp:wrapNone/>
            <wp:docPr id="77" name="image28.jpeg"/>
            <wp:cNvGraphicFramePr>
              <a:graphicFrameLocks noChangeAspect="1"/>
            </wp:cNvGraphicFramePr>
            <a:graphic>
              <a:graphicData uri="http://schemas.openxmlformats.org/drawingml/2006/picture">
                <pic:pic>
                  <pic:nvPicPr>
                    <pic:cNvPr id="78" name="image28.jpeg"/>
                    <pic:cNvPicPr/>
                  </pic:nvPicPr>
                  <pic:blipFill>
                    <a:blip r:embed="rId241" cstate="print"/>
                    <a:stretch>
                      <a:fillRect/>
                    </a:stretch>
                  </pic:blipFill>
                  <pic:spPr>
                    <a:xfrm>
                      <a:off x="0" y="0"/>
                      <a:ext cx="2715259" cy="591184"/>
                    </a:xfrm>
                    <a:prstGeom prst="rect">
                      <a:avLst/>
                    </a:prstGeom>
                  </pic:spPr>
                </pic:pic>
              </a:graphicData>
            </a:graphic>
          </wp:anchor>
        </w:drawing>
      </w:r>
      <w:r>
        <w:rPr>
          <w:color w:val="010202"/>
          <w:sz w:val="22"/>
        </w:rPr>
        <w:t>Include</w:t>
      </w:r>
      <w:r>
        <w:rPr>
          <w:color w:val="010202"/>
          <w:spacing w:val="-5"/>
          <w:sz w:val="22"/>
        </w:rPr>
        <w:t> </w:t>
      </w:r>
      <w:r>
        <w:rPr>
          <w:color w:val="010202"/>
          <w:sz w:val="22"/>
        </w:rPr>
        <w:t>sessions</w:t>
      </w:r>
      <w:r>
        <w:rPr>
          <w:color w:val="010202"/>
          <w:spacing w:val="-6"/>
          <w:sz w:val="22"/>
        </w:rPr>
        <w:t> </w:t>
      </w:r>
      <w:r>
        <w:rPr>
          <w:color w:val="010202"/>
          <w:sz w:val="22"/>
        </w:rPr>
        <w:t>on</w:t>
      </w:r>
      <w:r>
        <w:rPr>
          <w:color w:val="010202"/>
          <w:spacing w:val="-5"/>
          <w:sz w:val="22"/>
        </w:rPr>
        <w:t> </w:t>
      </w:r>
      <w:r>
        <w:rPr>
          <w:color w:val="010202"/>
          <w:sz w:val="22"/>
        </w:rPr>
        <w:t>non-stigmatizing</w:t>
      </w:r>
      <w:r>
        <w:rPr>
          <w:color w:val="010202"/>
          <w:spacing w:val="-5"/>
          <w:sz w:val="22"/>
        </w:rPr>
        <w:t> </w:t>
      </w:r>
      <w:r>
        <w:rPr>
          <w:color w:val="010202"/>
          <w:sz w:val="22"/>
        </w:rPr>
        <w:t>language</w:t>
      </w:r>
      <w:r>
        <w:rPr>
          <w:color w:val="010202"/>
          <w:sz w:val="22"/>
          <w:vertAlign w:val="superscript"/>
        </w:rPr>
        <w:t>44</w:t>
      </w:r>
      <w:r>
        <w:rPr>
          <w:color w:val="010202"/>
          <w:spacing w:val="-52"/>
          <w:sz w:val="22"/>
          <w:vertAlign w:val="baseline"/>
        </w:rPr>
        <w:t> </w:t>
      </w:r>
      <w:r>
        <w:rPr>
          <w:color w:val="010202"/>
          <w:sz w:val="22"/>
          <w:vertAlign w:val="baseline"/>
        </w:rPr>
        <w:t>and trauma-informed practices</w:t>
      </w:r>
      <w:r>
        <w:rPr>
          <w:color w:val="010202"/>
          <w:sz w:val="22"/>
          <w:vertAlign w:val="superscript"/>
        </w:rPr>
        <w:t>45-46</w:t>
      </w:r>
      <w:r>
        <w:rPr>
          <w:color w:val="010202"/>
          <w:sz w:val="22"/>
          <w:vertAlign w:val="baseline"/>
        </w:rPr>
        <w:t> to improve</w:t>
      </w:r>
      <w:r>
        <w:rPr>
          <w:color w:val="010202"/>
          <w:spacing w:val="1"/>
          <w:sz w:val="22"/>
          <w:vertAlign w:val="baseline"/>
        </w:rPr>
        <w:t> </w:t>
      </w:r>
      <w:r>
        <w:rPr>
          <w:color w:val="010202"/>
          <w:sz w:val="22"/>
          <w:vertAlign w:val="baseline"/>
        </w:rPr>
        <w:t>client interactions with all staff (from the front</w:t>
      </w:r>
      <w:r>
        <w:rPr>
          <w:color w:val="010202"/>
          <w:spacing w:val="1"/>
          <w:sz w:val="22"/>
          <w:vertAlign w:val="baseline"/>
        </w:rPr>
        <w:t> </w:t>
      </w:r>
      <w:r>
        <w:rPr>
          <w:color w:val="010202"/>
          <w:sz w:val="22"/>
          <w:vertAlign w:val="baseline"/>
        </w:rPr>
        <w:t>desk, to their nurse, to the billing department).</w:t>
      </w:r>
    </w:p>
    <w:p>
      <w:pPr>
        <w:pStyle w:val="BodyText"/>
        <w:spacing w:before="4"/>
        <w:rPr>
          <w:sz w:val="15"/>
        </w:rPr>
      </w:pPr>
      <w:r>
        <w:rPr/>
        <w:pict>
          <v:shape style="position:absolute;margin-left:324pt;margin-top:10.073042pt;width:213.8pt;height:46.55pt;mso-position-horizontal-relative:page;mso-position-vertical-relative:paragraph;z-index:-15695360;mso-wrap-distance-left:0;mso-wrap-distance-right:0" type="#_x0000_t202" id="docshape135" filled="false" stroked="false">
            <v:textbox inset="0,0,0,0">
              <w:txbxContent>
                <w:p>
                  <w:pPr>
                    <w:spacing w:before="267"/>
                    <w:ind w:left="1100" w:right="0" w:firstLine="0"/>
                    <w:jc w:val="left"/>
                    <w:rPr>
                      <w:rFonts w:ascii="Palatino Linotype"/>
                      <w:sz w:val="24"/>
                    </w:rPr>
                  </w:pPr>
                  <w:r>
                    <w:rPr>
                      <w:rFonts w:ascii="Palatino Linotype"/>
                      <w:w w:val="90"/>
                      <w:sz w:val="24"/>
                    </w:rPr>
                    <w:t>ACCESS</w:t>
                  </w:r>
                  <w:r>
                    <w:rPr>
                      <w:rFonts w:ascii="Palatino Linotype"/>
                      <w:spacing w:val="24"/>
                      <w:w w:val="90"/>
                      <w:sz w:val="24"/>
                    </w:rPr>
                    <w:t> </w:t>
                  </w:r>
                  <w:r>
                    <w:rPr>
                      <w:rFonts w:ascii="Palatino Linotype"/>
                      <w:w w:val="90"/>
                      <w:sz w:val="24"/>
                    </w:rPr>
                    <w:t>TO</w:t>
                  </w:r>
                  <w:r>
                    <w:rPr>
                      <w:rFonts w:ascii="Palatino Linotype"/>
                      <w:spacing w:val="24"/>
                      <w:w w:val="90"/>
                      <w:sz w:val="24"/>
                    </w:rPr>
                    <w:t> </w:t>
                  </w:r>
                  <w:r>
                    <w:rPr>
                      <w:rFonts w:ascii="Palatino Linotype"/>
                      <w:w w:val="90"/>
                      <w:sz w:val="24"/>
                    </w:rPr>
                    <w:t>SERVICES</w:t>
                  </w:r>
                </w:p>
              </w:txbxContent>
            </v:textbox>
            <w10:wrap type="topAndBottom"/>
          </v:shape>
        </w:pict>
      </w:r>
    </w:p>
    <w:p>
      <w:pPr>
        <w:pStyle w:val="Heading3"/>
        <w:spacing w:before="123"/>
        <w:ind w:left="159"/>
      </w:pPr>
      <w:r>
        <w:rPr>
          <w:color w:val="231F20"/>
        </w:rPr>
        <w:t>Challenge</w:t>
      </w:r>
    </w:p>
    <w:p>
      <w:pPr>
        <w:pStyle w:val="BodyText"/>
        <w:spacing w:line="266" w:lineRule="auto" w:before="202"/>
        <w:ind w:left="159" w:right="1268"/>
      </w:pPr>
      <w:r>
        <w:rPr>
          <w:color w:val="231F20"/>
          <w:spacing w:val="-1"/>
        </w:rPr>
        <w:t>Linkage</w:t>
      </w:r>
      <w:r>
        <w:rPr>
          <w:color w:val="231F20"/>
          <w:spacing w:val="-13"/>
        </w:rPr>
        <w:t> </w:t>
      </w:r>
      <w:r>
        <w:rPr>
          <w:color w:val="231F20"/>
          <w:spacing w:val="-1"/>
        </w:rPr>
        <w:t>to</w:t>
      </w:r>
      <w:r>
        <w:rPr>
          <w:color w:val="231F20"/>
          <w:spacing w:val="-12"/>
        </w:rPr>
        <w:t> </w:t>
      </w:r>
      <w:r>
        <w:rPr>
          <w:color w:val="231F20"/>
          <w:spacing w:val="-1"/>
        </w:rPr>
        <w:t>and</w:t>
      </w:r>
      <w:r>
        <w:rPr>
          <w:color w:val="231F20"/>
          <w:spacing w:val="-13"/>
        </w:rPr>
        <w:t> </w:t>
      </w:r>
      <w:r>
        <w:rPr>
          <w:color w:val="231F20"/>
          <w:spacing w:val="-1"/>
        </w:rPr>
        <w:t>retention</w:t>
      </w:r>
      <w:r>
        <w:rPr>
          <w:color w:val="231F20"/>
          <w:spacing w:val="-12"/>
        </w:rPr>
        <w:t> </w:t>
      </w:r>
      <w:r>
        <w:rPr>
          <w:color w:val="231F20"/>
          <w:spacing w:val="-1"/>
        </w:rPr>
        <w:t>in</w:t>
      </w:r>
      <w:r>
        <w:rPr>
          <w:color w:val="231F20"/>
          <w:spacing w:val="-13"/>
        </w:rPr>
        <w:t> </w:t>
      </w:r>
      <w:r>
        <w:rPr>
          <w:color w:val="231F20"/>
          <w:spacing w:val="-1"/>
        </w:rPr>
        <w:t>care</w:t>
      </w:r>
      <w:r>
        <w:rPr>
          <w:color w:val="231F20"/>
          <w:spacing w:val="-12"/>
        </w:rPr>
        <w:t> </w:t>
      </w:r>
      <w:r>
        <w:rPr>
          <w:color w:val="231F20"/>
        </w:rPr>
        <w:t>requires</w:t>
      </w:r>
      <w:r>
        <w:rPr>
          <w:color w:val="231F20"/>
          <w:spacing w:val="-13"/>
        </w:rPr>
        <w:t> </w:t>
      </w:r>
      <w:r>
        <w:rPr>
          <w:color w:val="231F20"/>
        </w:rPr>
        <w:t>connection</w:t>
      </w:r>
      <w:r>
        <w:rPr>
          <w:color w:val="231F20"/>
          <w:spacing w:val="-52"/>
        </w:rPr>
        <w:t> </w:t>
      </w:r>
      <w:r>
        <w:rPr>
          <w:color w:val="231F20"/>
        </w:rPr>
        <w:t>between the client and the provider. However,</w:t>
      </w:r>
      <w:r>
        <w:rPr>
          <w:color w:val="231F20"/>
          <w:spacing w:val="1"/>
        </w:rPr>
        <w:t> </w:t>
      </w:r>
      <w:r>
        <w:rPr>
          <w:color w:val="231F20"/>
          <w:spacing w:val="-1"/>
        </w:rPr>
        <w:t>transportation</w:t>
      </w:r>
      <w:r>
        <w:rPr>
          <w:color w:val="231F20"/>
          <w:spacing w:val="-12"/>
        </w:rPr>
        <w:t> </w:t>
      </w:r>
      <w:r>
        <w:rPr>
          <w:color w:val="231F20"/>
          <w:spacing w:val="-1"/>
        </w:rPr>
        <w:t>and</w:t>
      </w:r>
      <w:r>
        <w:rPr>
          <w:color w:val="231F20"/>
          <w:spacing w:val="-11"/>
        </w:rPr>
        <w:t> </w:t>
      </w:r>
      <w:r>
        <w:rPr>
          <w:color w:val="231F20"/>
          <w:spacing w:val="-1"/>
        </w:rPr>
        <w:t>geographic</w:t>
      </w:r>
      <w:r>
        <w:rPr>
          <w:color w:val="231F20"/>
          <w:spacing w:val="-12"/>
        </w:rPr>
        <w:t> </w:t>
      </w:r>
      <w:r>
        <w:rPr>
          <w:color w:val="231F20"/>
        </w:rPr>
        <w:t>barriers</w:t>
      </w:r>
      <w:r>
        <w:rPr>
          <w:color w:val="231F20"/>
          <w:spacing w:val="-11"/>
        </w:rPr>
        <w:t> </w:t>
      </w:r>
      <w:r>
        <w:rPr>
          <w:color w:val="231F20"/>
        </w:rPr>
        <w:t>can</w:t>
      </w:r>
      <w:r>
        <w:rPr>
          <w:color w:val="231F20"/>
          <w:spacing w:val="-11"/>
        </w:rPr>
        <w:t> </w:t>
      </w:r>
      <w:r>
        <w:rPr>
          <w:color w:val="231F20"/>
        </w:rPr>
        <w:t>make</w:t>
      </w:r>
      <w:r>
        <w:rPr>
          <w:color w:val="231F20"/>
          <w:spacing w:val="-12"/>
        </w:rPr>
        <w:t> </w:t>
      </w:r>
      <w:r>
        <w:rPr>
          <w:color w:val="231F20"/>
        </w:rPr>
        <w:t>in-</w:t>
      </w:r>
      <w:r>
        <w:rPr>
          <w:color w:val="231F20"/>
          <w:spacing w:val="-52"/>
        </w:rPr>
        <w:t> </w:t>
      </w:r>
      <w:r>
        <w:rPr>
          <w:color w:val="231F20"/>
        </w:rPr>
        <w:t>person,</w:t>
      </w:r>
      <w:r>
        <w:rPr>
          <w:color w:val="231F20"/>
          <w:spacing w:val="-10"/>
        </w:rPr>
        <w:t> </w:t>
      </w:r>
      <w:r>
        <w:rPr>
          <w:color w:val="231F20"/>
        </w:rPr>
        <w:t>face-to-face</w:t>
      </w:r>
      <w:r>
        <w:rPr>
          <w:color w:val="231F20"/>
          <w:spacing w:val="-9"/>
        </w:rPr>
        <w:t> </w:t>
      </w:r>
      <w:r>
        <w:rPr>
          <w:color w:val="231F20"/>
        </w:rPr>
        <w:t>connections</w:t>
      </w:r>
      <w:r>
        <w:rPr>
          <w:color w:val="231F20"/>
          <w:spacing w:val="-10"/>
        </w:rPr>
        <w:t> </w:t>
      </w:r>
      <w:r>
        <w:rPr>
          <w:color w:val="231F20"/>
        </w:rPr>
        <w:t>challenging.</w:t>
      </w:r>
    </w:p>
    <w:p>
      <w:pPr>
        <w:pStyle w:val="ListParagraph"/>
        <w:numPr>
          <w:ilvl w:val="0"/>
          <w:numId w:val="19"/>
        </w:numPr>
        <w:tabs>
          <w:tab w:pos="879" w:val="left" w:leader="none"/>
          <w:tab w:pos="880" w:val="left" w:leader="none"/>
        </w:tabs>
        <w:spacing w:line="249" w:lineRule="auto" w:before="145" w:after="0"/>
        <w:ind w:left="879" w:right="790" w:hanging="360"/>
        <w:jc w:val="left"/>
        <w:rPr>
          <w:sz w:val="22"/>
        </w:rPr>
      </w:pPr>
      <w:r>
        <w:rPr>
          <w:color w:val="010202"/>
          <w:sz w:val="22"/>
        </w:rPr>
        <w:t>Transportation-related challenges can include</w:t>
      </w:r>
      <w:r>
        <w:rPr>
          <w:color w:val="010202"/>
          <w:spacing w:val="1"/>
          <w:sz w:val="22"/>
        </w:rPr>
        <w:t> </w:t>
      </w:r>
      <w:r>
        <w:rPr>
          <w:color w:val="010202"/>
          <w:sz w:val="22"/>
        </w:rPr>
        <w:t>having to travel long distances to clinics,</w:t>
      </w:r>
      <w:r>
        <w:rPr>
          <w:color w:val="010202"/>
          <w:sz w:val="22"/>
          <w:vertAlign w:val="superscript"/>
        </w:rPr>
        <w:t>39</w:t>
      </w:r>
      <w:r>
        <w:rPr>
          <w:color w:val="010202"/>
          <w:spacing w:val="1"/>
          <w:sz w:val="22"/>
          <w:vertAlign w:val="baseline"/>
        </w:rPr>
        <w:t> </w:t>
      </w:r>
      <w:r>
        <w:rPr>
          <w:color w:val="010202"/>
          <w:sz w:val="22"/>
          <w:vertAlign w:val="baseline"/>
        </w:rPr>
        <w:t>inability to afford gas or fares for public</w:t>
      </w:r>
      <w:r>
        <w:rPr>
          <w:color w:val="010202"/>
          <w:spacing w:val="1"/>
          <w:sz w:val="22"/>
          <w:vertAlign w:val="baseline"/>
        </w:rPr>
        <w:t> </w:t>
      </w:r>
      <w:r>
        <w:rPr>
          <w:color w:val="010202"/>
          <w:sz w:val="22"/>
          <w:vertAlign w:val="baseline"/>
        </w:rPr>
        <w:t>transportation, and unreliable or lack of access</w:t>
      </w:r>
      <w:r>
        <w:rPr>
          <w:color w:val="010202"/>
          <w:spacing w:val="1"/>
          <w:sz w:val="22"/>
          <w:vertAlign w:val="baseline"/>
        </w:rPr>
        <w:t> </w:t>
      </w:r>
      <w:r>
        <w:rPr>
          <w:color w:val="010202"/>
          <w:sz w:val="22"/>
          <w:vertAlign w:val="baseline"/>
        </w:rPr>
        <w:t>to a personal vehicle or public transportation for</w:t>
      </w:r>
      <w:r>
        <w:rPr>
          <w:color w:val="010202"/>
          <w:spacing w:val="-52"/>
          <w:sz w:val="22"/>
          <w:vertAlign w:val="baseline"/>
        </w:rPr>
        <w:t> </w:t>
      </w:r>
      <w:r>
        <w:rPr>
          <w:color w:val="010202"/>
          <w:sz w:val="22"/>
          <w:vertAlign w:val="baseline"/>
        </w:rPr>
        <w:t>travel</w:t>
      </w:r>
      <w:r>
        <w:rPr>
          <w:color w:val="010202"/>
          <w:spacing w:val="-1"/>
          <w:sz w:val="22"/>
          <w:vertAlign w:val="baseline"/>
        </w:rPr>
        <w:t> </w:t>
      </w:r>
      <w:r>
        <w:rPr>
          <w:color w:val="010202"/>
          <w:sz w:val="22"/>
          <w:vertAlign w:val="baseline"/>
        </w:rPr>
        <w:t>to appointments.</w:t>
      </w:r>
      <w:r>
        <w:rPr>
          <w:color w:val="010202"/>
          <w:sz w:val="22"/>
          <w:vertAlign w:val="superscript"/>
        </w:rPr>
        <w:t>38</w:t>
      </w:r>
    </w:p>
    <w:p>
      <w:pPr>
        <w:pStyle w:val="ListParagraph"/>
        <w:numPr>
          <w:ilvl w:val="0"/>
          <w:numId w:val="19"/>
        </w:numPr>
        <w:tabs>
          <w:tab w:pos="879" w:val="left" w:leader="none"/>
          <w:tab w:pos="880" w:val="left" w:leader="none"/>
        </w:tabs>
        <w:spacing w:line="249" w:lineRule="auto" w:before="0" w:after="0"/>
        <w:ind w:left="879" w:right="1083" w:hanging="360"/>
        <w:jc w:val="left"/>
        <w:rPr>
          <w:sz w:val="22"/>
        </w:rPr>
      </w:pPr>
      <w:r>
        <w:rPr>
          <w:color w:val="010202"/>
          <w:sz w:val="22"/>
        </w:rPr>
        <w:t>People</w:t>
      </w:r>
      <w:r>
        <w:rPr>
          <w:color w:val="010202"/>
          <w:spacing w:val="-3"/>
          <w:sz w:val="22"/>
        </w:rPr>
        <w:t> </w:t>
      </w:r>
      <w:r>
        <w:rPr>
          <w:color w:val="010202"/>
          <w:sz w:val="22"/>
        </w:rPr>
        <w:t>with</w:t>
      </w:r>
      <w:r>
        <w:rPr>
          <w:color w:val="010202"/>
          <w:spacing w:val="-2"/>
          <w:sz w:val="22"/>
        </w:rPr>
        <w:t> </w:t>
      </w:r>
      <w:r>
        <w:rPr>
          <w:color w:val="010202"/>
          <w:sz w:val="22"/>
        </w:rPr>
        <w:t>HIV</w:t>
      </w:r>
      <w:r>
        <w:rPr>
          <w:color w:val="010202"/>
          <w:spacing w:val="-5"/>
          <w:sz w:val="22"/>
        </w:rPr>
        <w:t> </w:t>
      </w:r>
      <w:r>
        <w:rPr>
          <w:color w:val="010202"/>
          <w:sz w:val="22"/>
        </w:rPr>
        <w:t>in</w:t>
      </w:r>
      <w:r>
        <w:rPr>
          <w:color w:val="010202"/>
          <w:spacing w:val="-1"/>
          <w:sz w:val="22"/>
        </w:rPr>
        <w:t> </w:t>
      </w:r>
      <w:r>
        <w:rPr>
          <w:color w:val="010202"/>
          <w:sz w:val="22"/>
        </w:rPr>
        <w:t>rural</w:t>
      </w:r>
      <w:r>
        <w:rPr>
          <w:color w:val="010202"/>
          <w:spacing w:val="-1"/>
          <w:sz w:val="22"/>
        </w:rPr>
        <w:t> </w:t>
      </w:r>
      <w:r>
        <w:rPr>
          <w:color w:val="010202"/>
          <w:sz w:val="22"/>
        </w:rPr>
        <w:t>areas</w:t>
      </w:r>
      <w:r>
        <w:rPr>
          <w:color w:val="010202"/>
          <w:spacing w:val="-2"/>
          <w:sz w:val="22"/>
        </w:rPr>
        <w:t> </w:t>
      </w:r>
      <w:r>
        <w:rPr>
          <w:color w:val="010202"/>
          <w:sz w:val="22"/>
        </w:rPr>
        <w:t>are</w:t>
      </w:r>
      <w:r>
        <w:rPr>
          <w:color w:val="010202"/>
          <w:spacing w:val="-1"/>
          <w:sz w:val="22"/>
        </w:rPr>
        <w:t> </w:t>
      </w:r>
      <w:r>
        <w:rPr>
          <w:color w:val="010202"/>
          <w:sz w:val="22"/>
        </w:rPr>
        <w:t>less</w:t>
      </w:r>
      <w:r>
        <w:rPr>
          <w:color w:val="010202"/>
          <w:spacing w:val="-1"/>
          <w:sz w:val="22"/>
        </w:rPr>
        <w:t> </w:t>
      </w:r>
      <w:r>
        <w:rPr>
          <w:color w:val="010202"/>
          <w:sz w:val="22"/>
        </w:rPr>
        <w:t>likely</w:t>
      </w:r>
      <w:r>
        <w:rPr>
          <w:color w:val="010202"/>
          <w:spacing w:val="-52"/>
          <w:sz w:val="22"/>
        </w:rPr>
        <w:t> </w:t>
      </w:r>
      <w:r>
        <w:rPr>
          <w:color w:val="010202"/>
          <w:spacing w:val="-1"/>
          <w:sz w:val="22"/>
        </w:rPr>
        <w:t>to receive </w:t>
      </w:r>
      <w:r>
        <w:rPr>
          <w:color w:val="010202"/>
          <w:sz w:val="22"/>
        </w:rPr>
        <w:t>HIV</w:t>
      </w:r>
      <w:r>
        <w:rPr>
          <w:color w:val="010202"/>
          <w:spacing w:val="-5"/>
          <w:sz w:val="22"/>
        </w:rPr>
        <w:t> </w:t>
      </w:r>
      <w:r>
        <w:rPr>
          <w:color w:val="010202"/>
          <w:sz w:val="22"/>
        </w:rPr>
        <w:t>care</w:t>
      </w:r>
      <w:r>
        <w:rPr>
          <w:color w:val="010202"/>
          <w:spacing w:val="-1"/>
          <w:sz w:val="22"/>
        </w:rPr>
        <w:t> </w:t>
      </w:r>
      <w:r>
        <w:rPr>
          <w:color w:val="010202"/>
          <w:sz w:val="22"/>
        </w:rPr>
        <w:t>or</w:t>
      </w:r>
      <w:r>
        <w:rPr>
          <w:color w:val="010202"/>
          <w:spacing w:val="-1"/>
          <w:sz w:val="22"/>
        </w:rPr>
        <w:t> </w:t>
      </w:r>
      <w:r>
        <w:rPr>
          <w:color w:val="010202"/>
          <w:sz w:val="22"/>
        </w:rPr>
        <w:t>be engaged</w:t>
      </w:r>
      <w:r>
        <w:rPr>
          <w:color w:val="010202"/>
          <w:spacing w:val="-1"/>
          <w:sz w:val="22"/>
        </w:rPr>
        <w:t> </w:t>
      </w:r>
      <w:r>
        <w:rPr>
          <w:color w:val="010202"/>
          <w:sz w:val="22"/>
        </w:rPr>
        <w:t>in</w:t>
      </w:r>
      <w:r>
        <w:rPr>
          <w:color w:val="010202"/>
          <w:spacing w:val="-13"/>
          <w:sz w:val="22"/>
        </w:rPr>
        <w:t> </w:t>
      </w:r>
      <w:r>
        <w:rPr>
          <w:color w:val="010202"/>
          <w:sz w:val="22"/>
        </w:rPr>
        <w:t>ART</w:t>
      </w:r>
    </w:p>
    <w:p>
      <w:pPr>
        <w:pStyle w:val="BodyText"/>
        <w:spacing w:line="249" w:lineRule="auto"/>
        <w:ind w:left="879" w:right="787"/>
      </w:pPr>
      <w:r>
        <w:rPr>
          <w:color w:val="010202"/>
        </w:rPr>
        <w:t>as a result of limited availability of HIV-</w:t>
      </w:r>
      <w:r>
        <w:rPr>
          <w:color w:val="010202"/>
          <w:spacing w:val="1"/>
        </w:rPr>
        <w:t> </w:t>
      </w:r>
      <w:r>
        <w:rPr>
          <w:color w:val="010202"/>
        </w:rPr>
        <w:t>specific practitioners, provider discrimination,</w:t>
      </w:r>
      <w:r>
        <w:rPr>
          <w:color w:val="010202"/>
          <w:spacing w:val="1"/>
        </w:rPr>
        <w:t> </w:t>
      </w:r>
      <w:r>
        <w:rPr>
          <w:color w:val="010202"/>
        </w:rPr>
        <w:t>confidentiality concerns, and lack of financial</w:t>
      </w:r>
      <w:r>
        <w:rPr>
          <w:color w:val="010202"/>
          <w:spacing w:val="1"/>
        </w:rPr>
        <w:t> </w:t>
      </w:r>
      <w:r>
        <w:rPr>
          <w:color w:val="010202"/>
        </w:rPr>
        <w:t>resources.</w:t>
      </w:r>
      <w:r>
        <w:rPr>
          <w:color w:val="010202"/>
          <w:vertAlign w:val="superscript"/>
        </w:rPr>
        <w:t>47</w:t>
      </w:r>
      <w:r>
        <w:rPr>
          <w:color w:val="010202"/>
          <w:vertAlign w:val="baseline"/>
        </w:rPr>
        <w:t> Geographic barriers can be</w:t>
      </w:r>
      <w:r>
        <w:rPr>
          <w:color w:val="010202"/>
          <w:spacing w:val="1"/>
          <w:vertAlign w:val="baseline"/>
        </w:rPr>
        <w:t> </w:t>
      </w:r>
      <w:r>
        <w:rPr>
          <w:color w:val="010202"/>
          <w:vertAlign w:val="baseline"/>
        </w:rPr>
        <w:t>compounded by HIV-related stigma where</w:t>
      </w:r>
      <w:r>
        <w:rPr>
          <w:color w:val="010202"/>
          <w:spacing w:val="1"/>
          <w:vertAlign w:val="baseline"/>
        </w:rPr>
        <w:t> </w:t>
      </w:r>
      <w:r>
        <w:rPr>
          <w:color w:val="010202"/>
          <w:vertAlign w:val="baseline"/>
        </w:rPr>
        <w:t>individuals may be reluctant to seek HIV</w:t>
      </w:r>
      <w:r>
        <w:rPr>
          <w:color w:val="010202"/>
          <w:spacing w:val="1"/>
          <w:vertAlign w:val="baseline"/>
        </w:rPr>
        <w:t> </w:t>
      </w:r>
      <w:r>
        <w:rPr>
          <w:color w:val="010202"/>
          <w:vertAlign w:val="baseline"/>
        </w:rPr>
        <w:t>prevention or treatment services in a small town</w:t>
      </w:r>
      <w:r>
        <w:rPr>
          <w:color w:val="010202"/>
          <w:spacing w:val="-52"/>
          <w:vertAlign w:val="baseline"/>
        </w:rPr>
        <w:t> </w:t>
      </w:r>
      <w:r>
        <w:rPr>
          <w:color w:val="010202"/>
          <w:vertAlign w:val="baseline"/>
        </w:rPr>
        <w:t>or</w:t>
      </w:r>
      <w:r>
        <w:rPr>
          <w:color w:val="010202"/>
          <w:spacing w:val="-2"/>
          <w:vertAlign w:val="baseline"/>
        </w:rPr>
        <w:t> </w:t>
      </w:r>
      <w:r>
        <w:rPr>
          <w:color w:val="010202"/>
          <w:vertAlign w:val="baseline"/>
        </w:rPr>
        <w:t>community</w:t>
      </w:r>
      <w:r>
        <w:rPr>
          <w:color w:val="010202"/>
          <w:spacing w:val="-1"/>
          <w:vertAlign w:val="baseline"/>
        </w:rPr>
        <w:t> </w:t>
      </w:r>
      <w:r>
        <w:rPr>
          <w:color w:val="010202"/>
          <w:vertAlign w:val="baseline"/>
        </w:rPr>
        <w:t>for</w:t>
      </w:r>
      <w:r>
        <w:rPr>
          <w:color w:val="010202"/>
          <w:spacing w:val="-2"/>
          <w:vertAlign w:val="baseline"/>
        </w:rPr>
        <w:t> </w:t>
      </w:r>
      <w:r>
        <w:rPr>
          <w:color w:val="010202"/>
          <w:vertAlign w:val="baseline"/>
        </w:rPr>
        <w:t>fear</w:t>
      </w:r>
      <w:r>
        <w:rPr>
          <w:color w:val="010202"/>
          <w:spacing w:val="-1"/>
          <w:vertAlign w:val="baseline"/>
        </w:rPr>
        <w:t> </w:t>
      </w:r>
      <w:r>
        <w:rPr>
          <w:color w:val="010202"/>
          <w:vertAlign w:val="baseline"/>
        </w:rPr>
        <w:t>they</w:t>
      </w:r>
      <w:r>
        <w:rPr>
          <w:color w:val="010202"/>
          <w:spacing w:val="-1"/>
          <w:vertAlign w:val="baseline"/>
        </w:rPr>
        <w:t> </w:t>
      </w:r>
      <w:r>
        <w:rPr>
          <w:color w:val="010202"/>
          <w:vertAlign w:val="baseline"/>
        </w:rPr>
        <w:t>may</w:t>
      </w:r>
      <w:r>
        <w:rPr>
          <w:color w:val="010202"/>
          <w:spacing w:val="-2"/>
          <w:vertAlign w:val="baseline"/>
        </w:rPr>
        <w:t> </w:t>
      </w:r>
      <w:r>
        <w:rPr>
          <w:color w:val="010202"/>
          <w:vertAlign w:val="baseline"/>
        </w:rPr>
        <w:t>be</w:t>
      </w:r>
      <w:r>
        <w:rPr>
          <w:color w:val="010202"/>
          <w:spacing w:val="-1"/>
          <w:vertAlign w:val="baseline"/>
        </w:rPr>
        <w:t> </w:t>
      </w:r>
      <w:r>
        <w:rPr>
          <w:color w:val="010202"/>
          <w:vertAlign w:val="baseline"/>
        </w:rPr>
        <w:t>“outed.”</w:t>
      </w:r>
      <w:r>
        <w:rPr>
          <w:color w:val="010202"/>
          <w:vertAlign w:val="superscript"/>
        </w:rPr>
        <w:t>48</w:t>
      </w:r>
    </w:p>
    <w:p>
      <w:pPr>
        <w:spacing w:after="0" w:line="249" w:lineRule="auto"/>
        <w:sectPr>
          <w:type w:val="continuous"/>
          <w:pgSz w:w="12240" w:h="15840"/>
          <w:pgMar w:header="0" w:footer="666" w:top="1500" w:bottom="0" w:left="560" w:right="0"/>
          <w:cols w:num="2" w:equalWidth="0">
            <w:col w:w="5227" w:space="533"/>
            <w:col w:w="5920"/>
          </w:cols>
        </w:sectPr>
      </w:pPr>
    </w:p>
    <w:p>
      <w:pPr>
        <w:pStyle w:val="BodyText"/>
        <w:rPr>
          <w:sz w:val="20"/>
        </w:rPr>
      </w:pPr>
    </w:p>
    <w:p>
      <w:pPr>
        <w:pStyle w:val="BodyText"/>
        <w:spacing w:before="6"/>
        <w:rPr>
          <w:sz w:val="26"/>
        </w:rPr>
      </w:pPr>
    </w:p>
    <w:p>
      <w:pPr>
        <w:spacing w:after="0"/>
        <w:rPr>
          <w:sz w:val="26"/>
        </w:rPr>
        <w:sectPr>
          <w:pgSz w:w="12240" w:h="15840"/>
          <w:pgMar w:header="0" w:footer="666" w:top="380" w:bottom="860" w:left="560" w:right="0"/>
        </w:sectPr>
      </w:pPr>
    </w:p>
    <w:p>
      <w:pPr>
        <w:pStyle w:val="Heading3"/>
      </w:pPr>
      <w:bookmarkStart w:name="Strategies" w:id="95"/>
      <w:bookmarkEnd w:id="95"/>
      <w:r>
        <w:rPr>
          <w:b w:val="0"/>
        </w:rPr>
      </w:r>
      <w:bookmarkStart w:name="FINANCING" w:id="96"/>
      <w:bookmarkEnd w:id="96"/>
      <w:r>
        <w:rPr>
          <w:b w:val="0"/>
        </w:rPr>
      </w:r>
      <w:bookmarkStart w:name="Challenge" w:id="97"/>
      <w:bookmarkEnd w:id="97"/>
      <w:r>
        <w:rPr>
          <w:b w:val="0"/>
        </w:rPr>
      </w:r>
      <w:r>
        <w:rPr>
          <w:color w:val="231F20"/>
        </w:rPr>
        <w:t>Strategies</w:t>
      </w:r>
    </w:p>
    <w:p>
      <w:pPr>
        <w:pStyle w:val="BodyText"/>
        <w:spacing w:line="230" w:lineRule="auto" w:before="193"/>
        <w:ind w:left="160" w:right="173"/>
      </w:pPr>
      <w:r>
        <w:rPr>
          <w:color w:val="231F20"/>
        </w:rPr>
        <w:t>Program administrators and practitioners can overcome</w:t>
      </w:r>
      <w:r>
        <w:rPr>
          <w:color w:val="231F20"/>
          <w:spacing w:val="-52"/>
        </w:rPr>
        <w:t> </w:t>
      </w:r>
      <w:r>
        <w:rPr>
          <w:color w:val="231F20"/>
        </w:rPr>
        <w:t>these</w:t>
      </w:r>
      <w:r>
        <w:rPr>
          <w:color w:val="231F20"/>
          <w:spacing w:val="-2"/>
        </w:rPr>
        <w:t> </w:t>
      </w:r>
      <w:r>
        <w:rPr>
          <w:color w:val="231F20"/>
        </w:rPr>
        <w:t>challenges</w:t>
      </w:r>
      <w:r>
        <w:rPr>
          <w:color w:val="231F20"/>
          <w:spacing w:val="-2"/>
        </w:rPr>
        <w:t> </w:t>
      </w:r>
      <w:r>
        <w:rPr>
          <w:color w:val="231F20"/>
        </w:rPr>
        <w:t>by</w:t>
      </w:r>
      <w:r>
        <w:rPr>
          <w:color w:val="231F20"/>
          <w:spacing w:val="-2"/>
        </w:rPr>
        <w:t> </w:t>
      </w:r>
      <w:r>
        <w:rPr>
          <w:color w:val="231F20"/>
        </w:rPr>
        <w:t>employing</w:t>
      </w:r>
      <w:r>
        <w:rPr>
          <w:color w:val="231F20"/>
          <w:spacing w:val="-1"/>
        </w:rPr>
        <w:t> </w:t>
      </w:r>
      <w:r>
        <w:rPr>
          <w:color w:val="231F20"/>
        </w:rPr>
        <w:t>the</w:t>
      </w:r>
      <w:r>
        <w:rPr>
          <w:color w:val="231F20"/>
          <w:spacing w:val="-2"/>
        </w:rPr>
        <w:t> </w:t>
      </w:r>
      <w:r>
        <w:rPr>
          <w:color w:val="231F20"/>
        </w:rPr>
        <w:t>following</w:t>
      </w:r>
      <w:r>
        <w:rPr>
          <w:color w:val="231F20"/>
          <w:spacing w:val="-2"/>
        </w:rPr>
        <w:t> </w:t>
      </w:r>
      <w:r>
        <w:rPr>
          <w:color w:val="231F20"/>
        </w:rPr>
        <w:t>strategies:</w:t>
      </w:r>
    </w:p>
    <w:p>
      <w:pPr>
        <w:pStyle w:val="ListParagraph"/>
        <w:numPr>
          <w:ilvl w:val="0"/>
          <w:numId w:val="19"/>
        </w:numPr>
        <w:tabs>
          <w:tab w:pos="879" w:val="left" w:leader="none"/>
          <w:tab w:pos="880" w:val="left" w:leader="none"/>
        </w:tabs>
        <w:spacing w:line="249" w:lineRule="auto" w:before="116" w:after="0"/>
        <w:ind w:left="879" w:right="175" w:hanging="360"/>
        <w:jc w:val="left"/>
        <w:rPr>
          <w:sz w:val="22"/>
        </w:rPr>
      </w:pPr>
      <w:r>
        <w:rPr>
          <w:i/>
          <w:color w:val="010202"/>
          <w:sz w:val="22"/>
        </w:rPr>
        <w:t>Telehealth</w:t>
      </w:r>
      <w:r>
        <w:rPr>
          <w:i/>
          <w:color w:val="010202"/>
          <w:spacing w:val="-8"/>
          <w:sz w:val="22"/>
        </w:rPr>
        <w:t> </w:t>
      </w:r>
      <w:r>
        <w:rPr>
          <w:color w:val="010202"/>
          <w:sz w:val="22"/>
        </w:rPr>
        <w:t>-</w:t>
      </w:r>
      <w:r>
        <w:rPr>
          <w:color w:val="010202"/>
          <w:spacing w:val="-10"/>
          <w:sz w:val="22"/>
        </w:rPr>
        <w:t> </w:t>
      </w:r>
      <w:r>
        <w:rPr>
          <w:color w:val="010202"/>
          <w:sz w:val="22"/>
        </w:rPr>
        <w:t>Telehealth</w:t>
      </w:r>
      <w:r>
        <w:rPr>
          <w:color w:val="010202"/>
          <w:spacing w:val="-7"/>
          <w:sz w:val="22"/>
        </w:rPr>
        <w:t> </w:t>
      </w:r>
      <w:r>
        <w:rPr>
          <w:color w:val="010202"/>
          <w:sz w:val="22"/>
        </w:rPr>
        <w:t>can</w:t>
      </w:r>
      <w:r>
        <w:rPr>
          <w:color w:val="010202"/>
          <w:spacing w:val="-7"/>
          <w:sz w:val="22"/>
        </w:rPr>
        <w:t> </w:t>
      </w:r>
      <w:r>
        <w:rPr>
          <w:color w:val="010202"/>
          <w:sz w:val="22"/>
        </w:rPr>
        <w:t>connect</w:t>
      </w:r>
      <w:r>
        <w:rPr>
          <w:color w:val="010202"/>
          <w:spacing w:val="-6"/>
          <w:sz w:val="22"/>
        </w:rPr>
        <w:t> </w:t>
      </w:r>
      <w:r>
        <w:rPr>
          <w:color w:val="010202"/>
          <w:sz w:val="22"/>
        </w:rPr>
        <w:t>clients</w:t>
      </w:r>
      <w:r>
        <w:rPr>
          <w:color w:val="010202"/>
          <w:spacing w:val="-7"/>
          <w:sz w:val="22"/>
        </w:rPr>
        <w:t> </w:t>
      </w:r>
      <w:r>
        <w:rPr>
          <w:color w:val="010202"/>
          <w:sz w:val="22"/>
        </w:rPr>
        <w:t>with</w:t>
      </w:r>
      <w:r>
        <w:rPr>
          <w:color w:val="010202"/>
          <w:spacing w:val="-52"/>
          <w:sz w:val="22"/>
        </w:rPr>
        <w:t> </w:t>
      </w:r>
      <w:r>
        <w:rPr>
          <w:color w:val="010202"/>
          <w:sz w:val="22"/>
        </w:rPr>
        <w:t>specialty practitioners and provide access to</w:t>
      </w:r>
      <w:r>
        <w:rPr>
          <w:color w:val="010202"/>
          <w:spacing w:val="1"/>
          <w:sz w:val="22"/>
        </w:rPr>
        <w:t> </w:t>
      </w:r>
      <w:r>
        <w:rPr>
          <w:color w:val="010202"/>
          <w:sz w:val="22"/>
        </w:rPr>
        <w:t>services without having to travel.</w:t>
      </w:r>
      <w:r>
        <w:rPr>
          <w:color w:val="010202"/>
          <w:sz w:val="22"/>
          <w:vertAlign w:val="superscript"/>
        </w:rPr>
        <w:t>49</w:t>
      </w:r>
      <w:r>
        <w:rPr>
          <w:color w:val="010202"/>
          <w:sz w:val="22"/>
          <w:vertAlign w:val="baseline"/>
        </w:rPr>
        <w:t> Telephone-</w:t>
      </w:r>
      <w:r>
        <w:rPr>
          <w:color w:val="010202"/>
          <w:spacing w:val="1"/>
          <w:sz w:val="22"/>
          <w:vertAlign w:val="baseline"/>
        </w:rPr>
        <w:t> </w:t>
      </w:r>
      <w:r>
        <w:rPr>
          <w:color w:val="010202"/>
          <w:sz w:val="22"/>
          <w:vertAlign w:val="baseline"/>
        </w:rPr>
        <w:t>based Cognitive Behavioral</w:t>
      </w:r>
      <w:r>
        <w:rPr>
          <w:color w:val="010202"/>
          <w:spacing w:val="-5"/>
          <w:sz w:val="22"/>
          <w:vertAlign w:val="baseline"/>
        </w:rPr>
        <w:t> </w:t>
      </w:r>
      <w:r>
        <w:rPr>
          <w:color w:val="010202"/>
          <w:sz w:val="22"/>
          <w:vertAlign w:val="baseline"/>
        </w:rPr>
        <w:t>Therapy (CBT),</w:t>
      </w:r>
    </w:p>
    <w:p>
      <w:pPr>
        <w:pStyle w:val="BodyText"/>
        <w:spacing w:line="249" w:lineRule="auto" w:before="2"/>
        <w:ind w:left="880" w:right="718"/>
      </w:pPr>
      <w:r>
        <w:rPr>
          <w:color w:val="010202"/>
        </w:rPr>
        <w:t>as an example, has been shown to reduce</w:t>
      </w:r>
      <w:r>
        <w:rPr>
          <w:color w:val="010202"/>
          <w:spacing w:val="-52"/>
        </w:rPr>
        <w:t> </w:t>
      </w:r>
      <w:r>
        <w:rPr>
          <w:color w:val="010202"/>
          <w:spacing w:val="-1"/>
        </w:rPr>
        <w:t>depressive symptoms </w:t>
      </w:r>
      <w:r>
        <w:rPr>
          <w:color w:val="010202"/>
        </w:rPr>
        <w:t>and improve ART</w:t>
      </w:r>
      <w:r>
        <w:rPr>
          <w:color w:val="010202"/>
          <w:spacing w:val="1"/>
        </w:rPr>
        <w:t> </w:t>
      </w:r>
      <w:r>
        <w:rPr>
          <w:color w:val="010202"/>
        </w:rPr>
        <w:t>adherence</w:t>
      </w:r>
      <w:r>
        <w:rPr>
          <w:color w:val="010202"/>
          <w:spacing w:val="-5"/>
        </w:rPr>
        <w:t> </w:t>
      </w:r>
      <w:r>
        <w:rPr>
          <w:color w:val="010202"/>
        </w:rPr>
        <w:t>among</w:t>
      </w:r>
      <w:r>
        <w:rPr>
          <w:color w:val="010202"/>
          <w:spacing w:val="-4"/>
        </w:rPr>
        <w:t> </w:t>
      </w:r>
      <w:r>
        <w:rPr>
          <w:color w:val="010202"/>
        </w:rPr>
        <w:t>people</w:t>
      </w:r>
      <w:r>
        <w:rPr>
          <w:color w:val="010202"/>
          <w:spacing w:val="-4"/>
        </w:rPr>
        <w:t> </w:t>
      </w:r>
      <w:r>
        <w:rPr>
          <w:color w:val="010202"/>
        </w:rPr>
        <w:t>with</w:t>
      </w:r>
      <w:r>
        <w:rPr>
          <w:color w:val="010202"/>
          <w:spacing w:val="-6"/>
        </w:rPr>
        <w:t> </w:t>
      </w:r>
      <w:r>
        <w:rPr>
          <w:color w:val="010202"/>
        </w:rPr>
        <w:t>HIV.</w:t>
      </w:r>
      <w:r>
        <w:rPr>
          <w:color w:val="010202"/>
          <w:vertAlign w:val="superscript"/>
        </w:rPr>
        <w:t>50</w:t>
      </w:r>
    </w:p>
    <w:p>
      <w:pPr>
        <w:pStyle w:val="ListParagraph"/>
        <w:numPr>
          <w:ilvl w:val="0"/>
          <w:numId w:val="19"/>
        </w:numPr>
        <w:tabs>
          <w:tab w:pos="879" w:val="left" w:leader="none"/>
          <w:tab w:pos="880" w:val="left" w:leader="none"/>
        </w:tabs>
        <w:spacing w:line="249" w:lineRule="auto" w:before="0" w:after="0"/>
        <w:ind w:left="879" w:right="227" w:hanging="360"/>
        <w:jc w:val="left"/>
        <w:rPr>
          <w:sz w:val="22"/>
        </w:rPr>
      </w:pPr>
      <w:r>
        <w:rPr>
          <w:i/>
          <w:color w:val="010202"/>
          <w:sz w:val="22"/>
        </w:rPr>
        <w:t>Transportation assistance </w:t>
      </w:r>
      <w:r>
        <w:rPr>
          <w:color w:val="010202"/>
          <w:sz w:val="22"/>
        </w:rPr>
        <w:t>- Vouchers for gas</w:t>
      </w:r>
      <w:r>
        <w:rPr>
          <w:color w:val="010202"/>
          <w:spacing w:val="1"/>
          <w:sz w:val="22"/>
        </w:rPr>
        <w:t> </w:t>
      </w:r>
      <w:r>
        <w:rPr>
          <w:color w:val="010202"/>
          <w:sz w:val="22"/>
        </w:rPr>
        <w:t>or public transportation can help eliminate</w:t>
      </w:r>
      <w:r>
        <w:rPr>
          <w:color w:val="010202"/>
          <w:spacing w:val="1"/>
          <w:sz w:val="22"/>
        </w:rPr>
        <w:t> </w:t>
      </w:r>
      <w:r>
        <w:rPr>
          <w:color w:val="010202"/>
          <w:sz w:val="22"/>
        </w:rPr>
        <w:t>worry about missing appointments due to</w:t>
      </w:r>
      <w:r>
        <w:rPr>
          <w:color w:val="010202"/>
          <w:spacing w:val="1"/>
          <w:sz w:val="22"/>
        </w:rPr>
        <w:t> </w:t>
      </w:r>
      <w:r>
        <w:rPr>
          <w:color w:val="010202"/>
          <w:sz w:val="22"/>
        </w:rPr>
        <w:t>transportation cost-related barriers.</w:t>
      </w:r>
      <w:r>
        <w:rPr>
          <w:color w:val="010202"/>
          <w:sz w:val="22"/>
          <w:vertAlign w:val="superscript"/>
        </w:rPr>
        <w:t>51</w:t>
      </w:r>
      <w:r>
        <w:rPr>
          <w:color w:val="010202"/>
          <w:sz w:val="22"/>
          <w:vertAlign w:val="baseline"/>
        </w:rPr>
        <w:t> In one</w:t>
      </w:r>
      <w:r>
        <w:rPr>
          <w:color w:val="010202"/>
          <w:spacing w:val="1"/>
          <w:sz w:val="22"/>
          <w:vertAlign w:val="baseline"/>
        </w:rPr>
        <w:t> </w:t>
      </w:r>
      <w:r>
        <w:rPr>
          <w:color w:val="010202"/>
          <w:sz w:val="22"/>
          <w:vertAlign w:val="baseline"/>
        </w:rPr>
        <w:t>model, peer navigators provided transportation</w:t>
      </w:r>
      <w:r>
        <w:rPr>
          <w:color w:val="010202"/>
          <w:spacing w:val="-52"/>
          <w:sz w:val="22"/>
          <w:vertAlign w:val="baseline"/>
        </w:rPr>
        <w:t> </w:t>
      </w:r>
      <w:r>
        <w:rPr>
          <w:color w:val="010202"/>
          <w:sz w:val="22"/>
          <w:vertAlign w:val="baseline"/>
        </w:rPr>
        <w:t>to appointments for the first month to give</w:t>
      </w:r>
      <w:r>
        <w:rPr>
          <w:color w:val="010202"/>
          <w:spacing w:val="1"/>
          <w:sz w:val="22"/>
          <w:vertAlign w:val="baseline"/>
        </w:rPr>
        <w:t> </w:t>
      </w:r>
      <w:r>
        <w:rPr>
          <w:color w:val="010202"/>
          <w:sz w:val="22"/>
          <w:vertAlign w:val="baseline"/>
        </w:rPr>
        <w:t>clients</w:t>
      </w:r>
      <w:r>
        <w:rPr>
          <w:color w:val="010202"/>
          <w:spacing w:val="-3"/>
          <w:sz w:val="22"/>
          <w:vertAlign w:val="baseline"/>
        </w:rPr>
        <w:t> </w:t>
      </w:r>
      <w:r>
        <w:rPr>
          <w:color w:val="010202"/>
          <w:sz w:val="22"/>
          <w:vertAlign w:val="baseline"/>
        </w:rPr>
        <w:t>sufficient</w:t>
      </w:r>
      <w:r>
        <w:rPr>
          <w:color w:val="010202"/>
          <w:spacing w:val="-4"/>
          <w:sz w:val="22"/>
          <w:vertAlign w:val="baseline"/>
        </w:rPr>
        <w:t> </w:t>
      </w:r>
      <w:r>
        <w:rPr>
          <w:color w:val="010202"/>
          <w:sz w:val="22"/>
          <w:vertAlign w:val="baseline"/>
        </w:rPr>
        <w:t>time</w:t>
      </w:r>
      <w:r>
        <w:rPr>
          <w:color w:val="010202"/>
          <w:spacing w:val="-2"/>
          <w:sz w:val="22"/>
          <w:vertAlign w:val="baseline"/>
        </w:rPr>
        <w:t> </w:t>
      </w:r>
      <w:r>
        <w:rPr>
          <w:color w:val="010202"/>
          <w:sz w:val="22"/>
          <w:vertAlign w:val="baseline"/>
        </w:rPr>
        <w:t>to</w:t>
      </w:r>
      <w:r>
        <w:rPr>
          <w:color w:val="010202"/>
          <w:spacing w:val="-3"/>
          <w:sz w:val="22"/>
          <w:vertAlign w:val="baseline"/>
        </w:rPr>
        <w:t> </w:t>
      </w:r>
      <w:r>
        <w:rPr>
          <w:color w:val="010202"/>
          <w:sz w:val="22"/>
          <w:vertAlign w:val="baseline"/>
        </w:rPr>
        <w:t>establish</w:t>
      </w:r>
      <w:r>
        <w:rPr>
          <w:color w:val="010202"/>
          <w:spacing w:val="-2"/>
          <w:sz w:val="22"/>
          <w:vertAlign w:val="baseline"/>
        </w:rPr>
        <w:t> </w:t>
      </w:r>
      <w:r>
        <w:rPr>
          <w:color w:val="010202"/>
          <w:sz w:val="22"/>
          <w:vertAlign w:val="baseline"/>
        </w:rPr>
        <w:t>a</w:t>
      </w:r>
      <w:r>
        <w:rPr>
          <w:color w:val="010202"/>
          <w:spacing w:val="-3"/>
          <w:sz w:val="22"/>
          <w:vertAlign w:val="baseline"/>
        </w:rPr>
        <w:t> </w:t>
      </w:r>
      <w:r>
        <w:rPr>
          <w:color w:val="010202"/>
          <w:sz w:val="22"/>
          <w:vertAlign w:val="baseline"/>
        </w:rPr>
        <w:t>long-term</w:t>
      </w:r>
    </w:p>
    <w:p>
      <w:pPr>
        <w:pStyle w:val="BodyText"/>
        <w:spacing w:line="249" w:lineRule="auto"/>
        <w:ind w:left="879" w:right="86"/>
      </w:pPr>
      <w:r>
        <w:rPr>
          <w:color w:val="010202"/>
        </w:rPr>
        <w:t>transportation</w:t>
      </w:r>
      <w:r>
        <w:rPr>
          <w:color w:val="010202"/>
          <w:spacing w:val="-4"/>
        </w:rPr>
        <w:t> </w:t>
      </w:r>
      <w:r>
        <w:rPr>
          <w:color w:val="010202"/>
        </w:rPr>
        <w:t>plan.</w:t>
      </w:r>
      <w:r>
        <w:rPr>
          <w:color w:val="010202"/>
          <w:vertAlign w:val="superscript"/>
        </w:rPr>
        <w:t>52</w:t>
      </w:r>
      <w:r>
        <w:rPr>
          <w:color w:val="010202"/>
          <w:spacing w:val="-4"/>
          <w:vertAlign w:val="baseline"/>
        </w:rPr>
        <w:t> </w:t>
      </w:r>
      <w:r>
        <w:rPr>
          <w:color w:val="010202"/>
          <w:vertAlign w:val="baseline"/>
        </w:rPr>
        <w:t>Ride</w:t>
      </w:r>
      <w:r>
        <w:rPr>
          <w:color w:val="010202"/>
          <w:spacing w:val="-4"/>
          <w:vertAlign w:val="baseline"/>
        </w:rPr>
        <w:t> </w:t>
      </w:r>
      <w:r>
        <w:rPr>
          <w:color w:val="010202"/>
          <w:vertAlign w:val="baseline"/>
        </w:rPr>
        <w:t>share</w:t>
      </w:r>
      <w:r>
        <w:rPr>
          <w:color w:val="010202"/>
          <w:spacing w:val="-4"/>
          <w:vertAlign w:val="baseline"/>
        </w:rPr>
        <w:t> </w:t>
      </w:r>
      <w:r>
        <w:rPr>
          <w:color w:val="010202"/>
          <w:vertAlign w:val="baseline"/>
        </w:rPr>
        <w:t>companies</w:t>
      </w:r>
      <w:r>
        <w:rPr>
          <w:color w:val="010202"/>
          <w:spacing w:val="-4"/>
          <w:vertAlign w:val="baseline"/>
        </w:rPr>
        <w:t> </w:t>
      </w:r>
      <w:r>
        <w:rPr>
          <w:color w:val="010202"/>
          <w:vertAlign w:val="baseline"/>
        </w:rPr>
        <w:t>may</w:t>
      </w:r>
      <w:r>
        <w:rPr>
          <w:color w:val="010202"/>
          <w:spacing w:val="-52"/>
          <w:vertAlign w:val="baseline"/>
        </w:rPr>
        <w:t> </w:t>
      </w:r>
      <w:r>
        <w:rPr>
          <w:color w:val="010202"/>
          <w:vertAlign w:val="baseline"/>
        </w:rPr>
        <w:t>also provide travel assistance. For example,</w:t>
      </w:r>
      <w:r>
        <w:rPr>
          <w:color w:val="010202"/>
          <w:spacing w:val="1"/>
          <w:vertAlign w:val="baseline"/>
        </w:rPr>
        <w:t> </w:t>
      </w:r>
      <w:r>
        <w:rPr>
          <w:color w:val="010202"/>
          <w:vertAlign w:val="baseline"/>
        </w:rPr>
        <w:t>Uber</w:t>
      </w:r>
      <w:r>
        <w:rPr>
          <w:color w:val="010202"/>
          <w:spacing w:val="-3"/>
          <w:vertAlign w:val="baseline"/>
        </w:rPr>
        <w:t> </w:t>
      </w:r>
      <w:r>
        <w:rPr>
          <w:color w:val="010202"/>
          <w:vertAlign w:val="baseline"/>
        </w:rPr>
        <w:t>Health</w:t>
      </w:r>
      <w:r>
        <w:rPr>
          <w:color w:val="010202"/>
          <w:spacing w:val="-3"/>
          <w:vertAlign w:val="baseline"/>
        </w:rPr>
        <w:t> </w:t>
      </w:r>
      <w:r>
        <w:rPr>
          <w:color w:val="010202"/>
          <w:vertAlign w:val="baseline"/>
        </w:rPr>
        <w:t>has</w:t>
      </w:r>
      <w:r>
        <w:rPr>
          <w:color w:val="010202"/>
          <w:spacing w:val="-1"/>
          <w:vertAlign w:val="baseline"/>
        </w:rPr>
        <w:t> </w:t>
      </w:r>
      <w:r>
        <w:rPr>
          <w:color w:val="010202"/>
          <w:vertAlign w:val="baseline"/>
        </w:rPr>
        <w:t>partnered</w:t>
      </w:r>
      <w:r>
        <w:rPr>
          <w:color w:val="010202"/>
          <w:spacing w:val="-2"/>
          <w:vertAlign w:val="baseline"/>
        </w:rPr>
        <w:t> </w:t>
      </w:r>
      <w:r>
        <w:rPr>
          <w:color w:val="010202"/>
          <w:vertAlign w:val="baseline"/>
        </w:rPr>
        <w:t>with</w:t>
      </w:r>
      <w:r>
        <w:rPr>
          <w:color w:val="010202"/>
          <w:spacing w:val="-3"/>
          <w:vertAlign w:val="baseline"/>
        </w:rPr>
        <w:t> </w:t>
      </w:r>
      <w:r>
        <w:rPr>
          <w:color w:val="010202"/>
          <w:vertAlign w:val="baseline"/>
        </w:rPr>
        <w:t>an</w:t>
      </w:r>
      <w:r>
        <w:rPr>
          <w:color w:val="010202"/>
          <w:spacing w:val="-1"/>
          <w:vertAlign w:val="baseline"/>
        </w:rPr>
        <w:t> </w:t>
      </w:r>
      <w:r>
        <w:rPr>
          <w:color w:val="010202"/>
          <w:vertAlign w:val="baseline"/>
        </w:rPr>
        <w:t>IT</w:t>
      </w:r>
      <w:r>
        <w:rPr>
          <w:color w:val="010202"/>
          <w:spacing w:val="-7"/>
          <w:vertAlign w:val="baseline"/>
        </w:rPr>
        <w:t> </w:t>
      </w:r>
      <w:r>
        <w:rPr>
          <w:color w:val="010202"/>
          <w:vertAlign w:val="baseline"/>
        </w:rPr>
        <w:t>vendor,</w:t>
      </w:r>
    </w:p>
    <w:p>
      <w:pPr>
        <w:pStyle w:val="BodyText"/>
        <w:spacing w:line="249" w:lineRule="auto"/>
        <w:ind w:left="879" w:right="385"/>
      </w:pPr>
      <w:r>
        <w:rPr>
          <w:color w:val="010202"/>
        </w:rPr>
        <w:t>Cerner,</w:t>
      </w:r>
      <w:r>
        <w:rPr>
          <w:color w:val="010202"/>
          <w:spacing w:val="4"/>
        </w:rPr>
        <w:t> </w:t>
      </w:r>
      <w:r>
        <w:rPr>
          <w:color w:val="010202"/>
        </w:rPr>
        <w:t>in</w:t>
      </w:r>
      <w:r>
        <w:rPr>
          <w:color w:val="010202"/>
          <w:spacing w:val="4"/>
        </w:rPr>
        <w:t> </w:t>
      </w:r>
      <w:r>
        <w:rPr>
          <w:color w:val="010202"/>
        </w:rPr>
        <w:t>six</w:t>
      </w:r>
      <w:r>
        <w:rPr>
          <w:color w:val="010202"/>
          <w:spacing w:val="3"/>
        </w:rPr>
        <w:t> </w:t>
      </w:r>
      <w:r>
        <w:rPr>
          <w:color w:val="010202"/>
        </w:rPr>
        <w:t>states</w:t>
      </w:r>
      <w:r>
        <w:rPr>
          <w:color w:val="010202"/>
          <w:spacing w:val="3"/>
        </w:rPr>
        <w:t> </w:t>
      </w:r>
      <w:r>
        <w:rPr>
          <w:color w:val="010202"/>
        </w:rPr>
        <w:t>to</w:t>
      </w:r>
      <w:r>
        <w:rPr>
          <w:color w:val="010202"/>
          <w:spacing w:val="4"/>
        </w:rPr>
        <w:t> </w:t>
      </w:r>
      <w:r>
        <w:rPr>
          <w:color w:val="010202"/>
        </w:rPr>
        <w:t>get</w:t>
      </w:r>
      <w:r>
        <w:rPr>
          <w:color w:val="010202"/>
          <w:spacing w:val="4"/>
        </w:rPr>
        <w:t> </w:t>
      </w:r>
      <w:r>
        <w:rPr>
          <w:color w:val="010202"/>
        </w:rPr>
        <w:t>clients</w:t>
      </w:r>
      <w:r>
        <w:rPr>
          <w:color w:val="010202"/>
          <w:spacing w:val="4"/>
        </w:rPr>
        <w:t> </w:t>
      </w:r>
      <w:r>
        <w:rPr>
          <w:color w:val="010202"/>
        </w:rPr>
        <w:t>to</w:t>
      </w:r>
      <w:r>
        <w:rPr>
          <w:color w:val="010202"/>
          <w:spacing w:val="4"/>
        </w:rPr>
        <w:t> </w:t>
      </w:r>
      <w:r>
        <w:rPr>
          <w:color w:val="010202"/>
        </w:rPr>
        <w:t>and</w:t>
      </w:r>
      <w:r>
        <w:rPr>
          <w:color w:val="010202"/>
          <w:spacing w:val="1"/>
        </w:rPr>
        <w:t> </w:t>
      </w:r>
      <w:r>
        <w:rPr>
          <w:color w:val="010202"/>
        </w:rPr>
        <w:t>from</w:t>
      </w:r>
      <w:r>
        <w:rPr>
          <w:color w:val="010202"/>
          <w:spacing w:val="-5"/>
        </w:rPr>
        <w:t> </w:t>
      </w:r>
      <w:r>
        <w:rPr>
          <w:color w:val="010202"/>
        </w:rPr>
        <w:t>their</w:t>
      </w:r>
      <w:r>
        <w:rPr>
          <w:color w:val="010202"/>
          <w:spacing w:val="-4"/>
        </w:rPr>
        <w:t> </w:t>
      </w:r>
      <w:r>
        <w:rPr>
          <w:color w:val="010202"/>
        </w:rPr>
        <w:t>medical</w:t>
      </w:r>
      <w:r>
        <w:rPr>
          <w:color w:val="010202"/>
          <w:spacing w:val="-4"/>
        </w:rPr>
        <w:t> </w:t>
      </w:r>
      <w:r>
        <w:rPr>
          <w:color w:val="010202"/>
        </w:rPr>
        <w:t>appointments.</w:t>
      </w:r>
      <w:r>
        <w:rPr>
          <w:color w:val="010202"/>
          <w:spacing w:val="-4"/>
        </w:rPr>
        <w:t> </w:t>
      </w:r>
      <w:r>
        <w:rPr>
          <w:color w:val="010202"/>
        </w:rPr>
        <w:t>Lyft</w:t>
      </w:r>
      <w:r>
        <w:rPr>
          <w:color w:val="010202"/>
          <w:spacing w:val="-5"/>
        </w:rPr>
        <w:t> </w:t>
      </w:r>
      <w:r>
        <w:rPr>
          <w:color w:val="010202"/>
        </w:rPr>
        <w:t>is</w:t>
      </w:r>
      <w:r>
        <w:rPr>
          <w:color w:val="010202"/>
          <w:spacing w:val="-4"/>
        </w:rPr>
        <w:t> </w:t>
      </w:r>
      <w:r>
        <w:rPr>
          <w:color w:val="010202"/>
        </w:rPr>
        <w:t>also</w:t>
      </w:r>
      <w:r>
        <w:rPr>
          <w:color w:val="010202"/>
          <w:spacing w:val="-52"/>
        </w:rPr>
        <w:t> </w:t>
      </w:r>
      <w:r>
        <w:rPr>
          <w:color w:val="010202"/>
        </w:rPr>
        <w:t>designated as a covered option for providing</w:t>
      </w:r>
      <w:r>
        <w:rPr>
          <w:color w:val="010202"/>
          <w:spacing w:val="-52"/>
        </w:rPr>
        <w:t> </w:t>
      </w:r>
      <w:r>
        <w:rPr>
          <w:color w:val="010202"/>
        </w:rPr>
        <w:t>rides</w:t>
      </w:r>
      <w:r>
        <w:rPr>
          <w:color w:val="010202"/>
          <w:spacing w:val="-4"/>
        </w:rPr>
        <w:t> </w:t>
      </w:r>
      <w:r>
        <w:rPr>
          <w:color w:val="010202"/>
        </w:rPr>
        <w:t>for</w:t>
      </w:r>
      <w:r>
        <w:rPr>
          <w:color w:val="010202"/>
          <w:spacing w:val="-3"/>
        </w:rPr>
        <w:t> </w:t>
      </w:r>
      <w:r>
        <w:rPr>
          <w:color w:val="010202"/>
        </w:rPr>
        <w:t>eligible</w:t>
      </w:r>
      <w:r>
        <w:rPr>
          <w:color w:val="010202"/>
          <w:spacing w:val="-4"/>
        </w:rPr>
        <w:t> </w:t>
      </w:r>
      <w:r>
        <w:rPr>
          <w:color w:val="010202"/>
        </w:rPr>
        <w:t>Medicaid</w:t>
      </w:r>
      <w:r>
        <w:rPr>
          <w:color w:val="010202"/>
          <w:spacing w:val="-4"/>
        </w:rPr>
        <w:t> </w:t>
      </w:r>
      <w:r>
        <w:rPr>
          <w:color w:val="010202"/>
        </w:rPr>
        <w:t>beneficiaries.</w:t>
      </w:r>
      <w:r>
        <w:rPr>
          <w:color w:val="010202"/>
          <w:vertAlign w:val="superscript"/>
        </w:rPr>
        <w:t>53</w:t>
      </w:r>
    </w:p>
    <w:p>
      <w:pPr>
        <w:pStyle w:val="ListParagraph"/>
        <w:numPr>
          <w:ilvl w:val="0"/>
          <w:numId w:val="19"/>
        </w:numPr>
        <w:tabs>
          <w:tab w:pos="879" w:val="left" w:leader="none"/>
          <w:tab w:pos="880" w:val="left" w:leader="none"/>
        </w:tabs>
        <w:spacing w:line="249" w:lineRule="auto" w:before="0" w:after="0"/>
        <w:ind w:left="879" w:right="68" w:hanging="360"/>
        <w:jc w:val="left"/>
        <w:rPr>
          <w:sz w:val="22"/>
        </w:rPr>
      </w:pPr>
      <w:r>
        <w:rPr>
          <w:i/>
          <w:color w:val="010202"/>
          <w:sz w:val="22"/>
        </w:rPr>
        <w:t>Combined healthcare visits </w:t>
      </w:r>
      <w:r>
        <w:rPr>
          <w:color w:val="010202"/>
          <w:sz w:val="22"/>
        </w:rPr>
        <w:t>- Combining HIV</w:t>
      </w:r>
      <w:r>
        <w:rPr>
          <w:color w:val="010202"/>
          <w:spacing w:val="1"/>
          <w:sz w:val="22"/>
        </w:rPr>
        <w:t> </w:t>
      </w:r>
      <w:r>
        <w:rPr>
          <w:color w:val="010202"/>
          <w:sz w:val="22"/>
        </w:rPr>
        <w:t>care and other healthcare needs (e.g., routine</w:t>
      </w:r>
      <w:r>
        <w:rPr>
          <w:color w:val="010202"/>
          <w:spacing w:val="1"/>
          <w:sz w:val="22"/>
        </w:rPr>
        <w:t> </w:t>
      </w:r>
      <w:r>
        <w:rPr>
          <w:color w:val="010202"/>
          <w:sz w:val="22"/>
        </w:rPr>
        <w:t>check-up,</w:t>
      </w:r>
      <w:r>
        <w:rPr>
          <w:color w:val="010202"/>
          <w:spacing w:val="7"/>
          <w:sz w:val="22"/>
        </w:rPr>
        <w:t> </w:t>
      </w:r>
      <w:r>
        <w:rPr>
          <w:color w:val="010202"/>
          <w:sz w:val="22"/>
        </w:rPr>
        <w:t>behavioral</w:t>
      </w:r>
      <w:r>
        <w:rPr>
          <w:color w:val="010202"/>
          <w:spacing w:val="7"/>
          <w:sz w:val="22"/>
        </w:rPr>
        <w:t> </w:t>
      </w:r>
      <w:r>
        <w:rPr>
          <w:color w:val="010202"/>
          <w:sz w:val="22"/>
        </w:rPr>
        <w:t>health</w:t>
      </w:r>
      <w:r>
        <w:rPr>
          <w:color w:val="010202"/>
          <w:spacing w:val="8"/>
          <w:sz w:val="22"/>
        </w:rPr>
        <w:t> </w:t>
      </w:r>
      <w:r>
        <w:rPr>
          <w:color w:val="010202"/>
          <w:sz w:val="22"/>
        </w:rPr>
        <w:t>services)</w:t>
      </w:r>
      <w:r>
        <w:rPr>
          <w:color w:val="010202"/>
          <w:spacing w:val="6"/>
          <w:sz w:val="22"/>
        </w:rPr>
        <w:t> </w:t>
      </w:r>
      <w:r>
        <w:rPr>
          <w:color w:val="010202"/>
          <w:sz w:val="22"/>
        </w:rPr>
        <w:t>in</w:t>
      </w:r>
      <w:r>
        <w:rPr>
          <w:color w:val="010202"/>
          <w:spacing w:val="8"/>
          <w:sz w:val="22"/>
        </w:rPr>
        <w:t> </w:t>
      </w:r>
      <w:r>
        <w:rPr>
          <w:color w:val="010202"/>
          <w:sz w:val="22"/>
        </w:rPr>
        <w:t>one</w:t>
      </w:r>
      <w:r>
        <w:rPr>
          <w:color w:val="010202"/>
          <w:spacing w:val="1"/>
          <w:sz w:val="22"/>
        </w:rPr>
        <w:t> </w:t>
      </w:r>
      <w:r>
        <w:rPr>
          <w:color w:val="010202"/>
          <w:sz w:val="22"/>
        </w:rPr>
        <w:t>visit can limit the number of times a client needs</w:t>
      </w:r>
      <w:r>
        <w:rPr>
          <w:color w:val="010202"/>
          <w:spacing w:val="-52"/>
          <w:sz w:val="22"/>
        </w:rPr>
        <w:t> </w:t>
      </w:r>
      <w:r>
        <w:rPr>
          <w:color w:val="010202"/>
          <w:sz w:val="22"/>
        </w:rPr>
        <w:t>to visit their healthcare provider, especially in</w:t>
      </w:r>
      <w:r>
        <w:rPr>
          <w:color w:val="010202"/>
          <w:spacing w:val="1"/>
          <w:sz w:val="22"/>
        </w:rPr>
        <w:t> </w:t>
      </w:r>
      <w:r>
        <w:rPr>
          <w:color w:val="010202"/>
          <w:sz w:val="22"/>
        </w:rPr>
        <w:t>settings where significant travel may be needed</w:t>
      </w:r>
      <w:r>
        <w:rPr>
          <w:color w:val="010202"/>
          <w:spacing w:val="1"/>
          <w:sz w:val="22"/>
        </w:rPr>
        <w:t> </w:t>
      </w:r>
      <w:r>
        <w:rPr>
          <w:color w:val="010202"/>
          <w:sz w:val="22"/>
        </w:rPr>
        <w:t>to</w:t>
      </w:r>
      <w:r>
        <w:rPr>
          <w:color w:val="010202"/>
          <w:spacing w:val="-4"/>
          <w:sz w:val="22"/>
        </w:rPr>
        <w:t> </w:t>
      </w:r>
      <w:r>
        <w:rPr>
          <w:color w:val="010202"/>
          <w:sz w:val="22"/>
        </w:rPr>
        <w:t>attend</w:t>
      </w:r>
      <w:r>
        <w:rPr>
          <w:color w:val="010202"/>
          <w:spacing w:val="-3"/>
          <w:sz w:val="22"/>
        </w:rPr>
        <w:t> </w:t>
      </w:r>
      <w:r>
        <w:rPr>
          <w:color w:val="010202"/>
          <w:sz w:val="22"/>
        </w:rPr>
        <w:t>appointments.</w:t>
      </w:r>
      <w:r>
        <w:rPr>
          <w:color w:val="010202"/>
          <w:sz w:val="22"/>
          <w:vertAlign w:val="superscript"/>
        </w:rPr>
        <w:t>54</w:t>
      </w:r>
      <w:r>
        <w:rPr>
          <w:color w:val="010202"/>
          <w:spacing w:val="-4"/>
          <w:sz w:val="22"/>
          <w:vertAlign w:val="baseline"/>
        </w:rPr>
        <w:t> </w:t>
      </w:r>
      <w:r>
        <w:rPr>
          <w:color w:val="010202"/>
          <w:sz w:val="22"/>
          <w:vertAlign w:val="baseline"/>
        </w:rPr>
        <w:t>Practitioners</w:t>
      </w:r>
      <w:r>
        <w:rPr>
          <w:color w:val="010202"/>
          <w:spacing w:val="-4"/>
          <w:sz w:val="22"/>
          <w:vertAlign w:val="baseline"/>
        </w:rPr>
        <w:t> </w:t>
      </w:r>
      <w:r>
        <w:rPr>
          <w:color w:val="010202"/>
          <w:sz w:val="22"/>
          <w:vertAlign w:val="baseline"/>
        </w:rPr>
        <w:t>should</w:t>
      </w:r>
    </w:p>
    <w:p>
      <w:pPr>
        <w:pStyle w:val="BodyText"/>
        <w:spacing w:line="249" w:lineRule="auto"/>
        <w:ind w:left="880" w:right="22"/>
      </w:pPr>
      <w:r>
        <w:rPr>
          <w:color w:val="010202"/>
        </w:rPr>
        <w:t>clarify if adequate reimbursement for these visits</w:t>
      </w:r>
      <w:r>
        <w:rPr>
          <w:color w:val="010202"/>
          <w:spacing w:val="-52"/>
        </w:rPr>
        <w:t> </w:t>
      </w:r>
      <w:r>
        <w:rPr>
          <w:color w:val="010202"/>
        </w:rPr>
        <w:t>is available by confirming whether third party</w:t>
      </w:r>
      <w:r>
        <w:rPr>
          <w:color w:val="010202"/>
          <w:spacing w:val="1"/>
        </w:rPr>
        <w:t> </w:t>
      </w:r>
      <w:r>
        <w:rPr>
          <w:color w:val="010202"/>
        </w:rPr>
        <w:t>payers have the capacity to reimburse for same-</w:t>
      </w:r>
      <w:r>
        <w:rPr>
          <w:color w:val="010202"/>
          <w:spacing w:val="1"/>
        </w:rPr>
        <w:t> </w:t>
      </w:r>
      <w:r>
        <w:rPr>
          <w:color w:val="010202"/>
        </w:rPr>
        <w:t>day</w:t>
      </w:r>
      <w:r>
        <w:rPr>
          <w:color w:val="010202"/>
          <w:spacing w:val="-1"/>
        </w:rPr>
        <w:t> </w:t>
      </w:r>
      <w:r>
        <w:rPr>
          <w:color w:val="010202"/>
        </w:rPr>
        <w:t>services.</w:t>
      </w:r>
    </w:p>
    <w:p>
      <w:pPr>
        <w:pStyle w:val="ListParagraph"/>
        <w:numPr>
          <w:ilvl w:val="0"/>
          <w:numId w:val="19"/>
        </w:numPr>
        <w:tabs>
          <w:tab w:pos="879" w:val="left" w:leader="none"/>
          <w:tab w:pos="881" w:val="left" w:leader="none"/>
        </w:tabs>
        <w:spacing w:line="249" w:lineRule="auto" w:before="0" w:after="0"/>
        <w:ind w:left="879" w:right="179" w:hanging="360"/>
        <w:jc w:val="left"/>
        <w:rPr>
          <w:sz w:val="22"/>
        </w:rPr>
      </w:pPr>
      <w:r>
        <w:rPr>
          <w:i/>
          <w:color w:val="010202"/>
          <w:sz w:val="22"/>
        </w:rPr>
        <w:t>Mobile health programs </w:t>
      </w:r>
      <w:r>
        <w:rPr>
          <w:color w:val="010202"/>
          <w:sz w:val="22"/>
        </w:rPr>
        <w:t>- Mobile health</w:t>
      </w:r>
      <w:r>
        <w:rPr>
          <w:color w:val="010202"/>
          <w:spacing w:val="1"/>
          <w:sz w:val="22"/>
        </w:rPr>
        <w:t> </w:t>
      </w:r>
      <w:r>
        <w:rPr>
          <w:color w:val="010202"/>
          <w:sz w:val="22"/>
        </w:rPr>
        <w:t>programs have been used successfully to</w:t>
      </w:r>
      <w:r>
        <w:rPr>
          <w:color w:val="010202"/>
          <w:spacing w:val="1"/>
          <w:sz w:val="22"/>
        </w:rPr>
        <w:t> </w:t>
      </w:r>
      <w:r>
        <w:rPr>
          <w:color w:val="010202"/>
          <w:sz w:val="22"/>
        </w:rPr>
        <w:t>increase HIV screening among high-incidence</w:t>
      </w:r>
      <w:r>
        <w:rPr>
          <w:color w:val="010202"/>
          <w:spacing w:val="1"/>
          <w:sz w:val="22"/>
        </w:rPr>
        <w:t> </w:t>
      </w:r>
      <w:r>
        <w:rPr>
          <w:color w:val="010202"/>
          <w:sz w:val="22"/>
        </w:rPr>
        <w:t>populations in underserved areas.</w:t>
      </w:r>
      <w:r>
        <w:rPr>
          <w:color w:val="010202"/>
          <w:sz w:val="22"/>
          <w:vertAlign w:val="superscript"/>
        </w:rPr>
        <w:t>55</w:t>
      </w:r>
      <w:r>
        <w:rPr>
          <w:color w:val="010202"/>
          <w:sz w:val="22"/>
          <w:vertAlign w:val="baseline"/>
        </w:rPr>
        <w:t> Many</w:t>
      </w:r>
      <w:r>
        <w:rPr>
          <w:color w:val="010202"/>
          <w:spacing w:val="1"/>
          <w:sz w:val="22"/>
          <w:vertAlign w:val="baseline"/>
        </w:rPr>
        <w:t> </w:t>
      </w:r>
      <w:r>
        <w:rPr>
          <w:color w:val="010202"/>
          <w:sz w:val="22"/>
          <w:vertAlign w:val="baseline"/>
        </w:rPr>
        <w:t>syringe</w:t>
      </w:r>
      <w:r>
        <w:rPr>
          <w:color w:val="010202"/>
          <w:spacing w:val="1"/>
          <w:sz w:val="22"/>
          <w:vertAlign w:val="baseline"/>
        </w:rPr>
        <w:t> </w:t>
      </w:r>
      <w:r>
        <w:rPr>
          <w:color w:val="010202"/>
          <w:sz w:val="22"/>
          <w:vertAlign w:val="baseline"/>
        </w:rPr>
        <w:t>services</w:t>
      </w:r>
      <w:r>
        <w:rPr>
          <w:color w:val="010202"/>
          <w:spacing w:val="2"/>
          <w:sz w:val="22"/>
          <w:vertAlign w:val="baseline"/>
        </w:rPr>
        <w:t> </w:t>
      </w:r>
      <w:r>
        <w:rPr>
          <w:color w:val="010202"/>
          <w:sz w:val="22"/>
          <w:vertAlign w:val="baseline"/>
        </w:rPr>
        <w:t>programs</w:t>
      </w:r>
      <w:r>
        <w:rPr>
          <w:color w:val="010202"/>
          <w:spacing w:val="3"/>
          <w:sz w:val="22"/>
          <w:vertAlign w:val="baseline"/>
        </w:rPr>
        <w:t> </w:t>
      </w:r>
      <w:r>
        <w:rPr>
          <w:color w:val="010202"/>
          <w:sz w:val="22"/>
          <w:vertAlign w:val="baseline"/>
        </w:rPr>
        <w:t>(SSPs)</w:t>
      </w:r>
      <w:r>
        <w:rPr>
          <w:color w:val="010202"/>
          <w:spacing w:val="3"/>
          <w:sz w:val="22"/>
          <w:vertAlign w:val="baseline"/>
        </w:rPr>
        <w:t> </w:t>
      </w:r>
      <w:r>
        <w:rPr>
          <w:color w:val="010202"/>
          <w:sz w:val="22"/>
          <w:vertAlign w:val="baseline"/>
        </w:rPr>
        <w:t>utilize</w:t>
      </w:r>
      <w:r>
        <w:rPr>
          <w:color w:val="010202"/>
          <w:spacing w:val="1"/>
          <w:sz w:val="22"/>
          <w:vertAlign w:val="baseline"/>
        </w:rPr>
        <w:t> </w:t>
      </w:r>
      <w:r>
        <w:rPr>
          <w:color w:val="010202"/>
          <w:sz w:val="22"/>
          <w:vertAlign w:val="baseline"/>
        </w:rPr>
        <w:t>mobile sites due to their flexibility to respond</w:t>
      </w:r>
      <w:r>
        <w:rPr>
          <w:color w:val="010202"/>
          <w:spacing w:val="1"/>
          <w:sz w:val="22"/>
          <w:vertAlign w:val="baseline"/>
        </w:rPr>
        <w:t> </w:t>
      </w:r>
      <w:r>
        <w:rPr>
          <w:color w:val="010202"/>
          <w:sz w:val="22"/>
          <w:vertAlign w:val="baseline"/>
        </w:rPr>
        <w:t>to changing</w:t>
      </w:r>
      <w:r>
        <w:rPr>
          <w:color w:val="010202"/>
          <w:spacing w:val="1"/>
          <w:sz w:val="22"/>
          <w:vertAlign w:val="baseline"/>
        </w:rPr>
        <w:t> </w:t>
      </w:r>
      <w:r>
        <w:rPr>
          <w:color w:val="010202"/>
          <w:sz w:val="22"/>
          <w:vertAlign w:val="baseline"/>
        </w:rPr>
        <w:t>client needs</w:t>
      </w:r>
      <w:r>
        <w:rPr>
          <w:color w:val="010202"/>
          <w:spacing w:val="1"/>
          <w:sz w:val="22"/>
          <w:vertAlign w:val="baseline"/>
        </w:rPr>
        <w:t> </w:t>
      </w:r>
      <w:r>
        <w:rPr>
          <w:color w:val="010202"/>
          <w:sz w:val="22"/>
          <w:vertAlign w:val="baseline"/>
        </w:rPr>
        <w:t>and</w:t>
      </w:r>
      <w:r>
        <w:rPr>
          <w:color w:val="010202"/>
          <w:spacing w:val="1"/>
          <w:sz w:val="22"/>
          <w:vertAlign w:val="baseline"/>
        </w:rPr>
        <w:t> </w:t>
      </w:r>
      <w:r>
        <w:rPr>
          <w:color w:val="010202"/>
          <w:sz w:val="22"/>
          <w:vertAlign w:val="baseline"/>
        </w:rPr>
        <w:t>ability to</w:t>
      </w:r>
      <w:r>
        <w:rPr>
          <w:color w:val="010202"/>
          <w:spacing w:val="1"/>
          <w:sz w:val="22"/>
          <w:vertAlign w:val="baseline"/>
        </w:rPr>
        <w:t> </w:t>
      </w:r>
      <w:r>
        <w:rPr>
          <w:color w:val="010202"/>
          <w:sz w:val="22"/>
          <w:vertAlign w:val="baseline"/>
        </w:rPr>
        <w:t>provide</w:t>
      </w:r>
      <w:r>
        <w:rPr>
          <w:color w:val="010202"/>
          <w:spacing w:val="1"/>
          <w:sz w:val="22"/>
          <w:vertAlign w:val="baseline"/>
        </w:rPr>
        <w:t> </w:t>
      </w:r>
      <w:r>
        <w:rPr>
          <w:color w:val="010202"/>
          <w:sz w:val="22"/>
          <w:vertAlign w:val="baseline"/>
        </w:rPr>
        <w:t>a more informal, easily accessible location for</w:t>
      </w:r>
      <w:r>
        <w:rPr>
          <w:color w:val="010202"/>
          <w:spacing w:val="1"/>
          <w:sz w:val="22"/>
          <w:vertAlign w:val="baseline"/>
        </w:rPr>
        <w:t> </w:t>
      </w:r>
      <w:r>
        <w:rPr>
          <w:color w:val="010202"/>
          <w:sz w:val="22"/>
          <w:vertAlign w:val="baseline"/>
        </w:rPr>
        <w:t>clients</w:t>
      </w:r>
      <w:r>
        <w:rPr>
          <w:color w:val="010202"/>
          <w:spacing w:val="-4"/>
          <w:sz w:val="22"/>
          <w:vertAlign w:val="baseline"/>
        </w:rPr>
        <w:t> </w:t>
      </w:r>
      <w:r>
        <w:rPr>
          <w:color w:val="010202"/>
          <w:sz w:val="22"/>
          <w:vertAlign w:val="baseline"/>
        </w:rPr>
        <w:t>who</w:t>
      </w:r>
      <w:r>
        <w:rPr>
          <w:color w:val="010202"/>
          <w:spacing w:val="-5"/>
          <w:sz w:val="22"/>
          <w:vertAlign w:val="baseline"/>
        </w:rPr>
        <w:t> </w:t>
      </w:r>
      <w:r>
        <w:rPr>
          <w:color w:val="010202"/>
          <w:sz w:val="22"/>
          <w:vertAlign w:val="baseline"/>
        </w:rPr>
        <w:t>are</w:t>
      </w:r>
      <w:r>
        <w:rPr>
          <w:color w:val="010202"/>
          <w:spacing w:val="-4"/>
          <w:sz w:val="22"/>
          <w:vertAlign w:val="baseline"/>
        </w:rPr>
        <w:t> </w:t>
      </w:r>
      <w:r>
        <w:rPr>
          <w:color w:val="010202"/>
          <w:sz w:val="22"/>
          <w:vertAlign w:val="baseline"/>
        </w:rPr>
        <w:t>unable</w:t>
      </w:r>
      <w:r>
        <w:rPr>
          <w:color w:val="010202"/>
          <w:spacing w:val="-4"/>
          <w:sz w:val="22"/>
          <w:vertAlign w:val="baseline"/>
        </w:rPr>
        <w:t> </w:t>
      </w:r>
      <w:r>
        <w:rPr>
          <w:color w:val="010202"/>
          <w:sz w:val="22"/>
          <w:vertAlign w:val="baseline"/>
        </w:rPr>
        <w:t>to</w:t>
      </w:r>
      <w:r>
        <w:rPr>
          <w:color w:val="010202"/>
          <w:spacing w:val="-4"/>
          <w:sz w:val="22"/>
          <w:vertAlign w:val="baseline"/>
        </w:rPr>
        <w:t> </w:t>
      </w:r>
      <w:r>
        <w:rPr>
          <w:color w:val="010202"/>
          <w:sz w:val="22"/>
          <w:vertAlign w:val="baseline"/>
        </w:rPr>
        <w:t>travel</w:t>
      </w:r>
      <w:r>
        <w:rPr>
          <w:color w:val="010202"/>
          <w:spacing w:val="-4"/>
          <w:sz w:val="22"/>
          <w:vertAlign w:val="baseline"/>
        </w:rPr>
        <w:t> </w:t>
      </w:r>
      <w:r>
        <w:rPr>
          <w:color w:val="010202"/>
          <w:sz w:val="22"/>
          <w:vertAlign w:val="baseline"/>
        </w:rPr>
        <w:t>to</w:t>
      </w:r>
      <w:r>
        <w:rPr>
          <w:color w:val="010202"/>
          <w:spacing w:val="-4"/>
          <w:sz w:val="22"/>
          <w:vertAlign w:val="baseline"/>
        </w:rPr>
        <w:t> </w:t>
      </w:r>
      <w:r>
        <w:rPr>
          <w:color w:val="010202"/>
          <w:sz w:val="22"/>
          <w:vertAlign w:val="baseline"/>
        </w:rPr>
        <w:t>a</w:t>
      </w:r>
      <w:r>
        <w:rPr>
          <w:color w:val="010202"/>
          <w:spacing w:val="-4"/>
          <w:sz w:val="22"/>
          <w:vertAlign w:val="baseline"/>
        </w:rPr>
        <w:t> </w:t>
      </w:r>
      <w:r>
        <w:rPr>
          <w:color w:val="010202"/>
          <w:sz w:val="22"/>
          <w:vertAlign w:val="baseline"/>
        </w:rPr>
        <w:t>fixed</w:t>
      </w:r>
      <w:r>
        <w:rPr>
          <w:color w:val="010202"/>
          <w:spacing w:val="-5"/>
          <w:sz w:val="22"/>
          <w:vertAlign w:val="baseline"/>
        </w:rPr>
        <w:t> </w:t>
      </w:r>
      <w:r>
        <w:rPr>
          <w:color w:val="010202"/>
          <w:sz w:val="22"/>
          <w:vertAlign w:val="baseline"/>
        </w:rPr>
        <w:t>site.</w:t>
      </w:r>
      <w:r>
        <w:rPr>
          <w:color w:val="010202"/>
          <w:sz w:val="22"/>
          <w:vertAlign w:val="superscript"/>
        </w:rPr>
        <w:t>56</w:t>
      </w:r>
    </w:p>
    <w:p>
      <w:pPr>
        <w:pStyle w:val="ListParagraph"/>
        <w:numPr>
          <w:ilvl w:val="0"/>
          <w:numId w:val="19"/>
        </w:numPr>
        <w:tabs>
          <w:tab w:pos="879" w:val="left" w:leader="none"/>
          <w:tab w:pos="880" w:val="left" w:leader="none"/>
        </w:tabs>
        <w:spacing w:line="260" w:lineRule="exact" w:before="0" w:after="0"/>
        <w:ind w:left="879" w:right="0" w:hanging="360"/>
        <w:jc w:val="left"/>
        <w:rPr>
          <w:sz w:val="22"/>
        </w:rPr>
      </w:pPr>
      <w:r>
        <w:rPr>
          <w:i/>
          <w:color w:val="010202"/>
          <w:sz w:val="22"/>
        </w:rPr>
        <w:t>Outreach</w:t>
      </w:r>
      <w:r>
        <w:rPr>
          <w:i/>
          <w:color w:val="010202"/>
          <w:spacing w:val="-3"/>
          <w:sz w:val="22"/>
        </w:rPr>
        <w:t> </w:t>
      </w:r>
      <w:r>
        <w:rPr>
          <w:color w:val="010202"/>
          <w:sz w:val="22"/>
        </w:rPr>
        <w:t>-</w:t>
      </w:r>
      <w:r>
        <w:rPr>
          <w:color w:val="010202"/>
          <w:spacing w:val="-4"/>
          <w:sz w:val="22"/>
        </w:rPr>
        <w:t> </w:t>
      </w:r>
      <w:r>
        <w:rPr>
          <w:color w:val="010202"/>
          <w:sz w:val="22"/>
        </w:rPr>
        <w:t>Outreach</w:t>
      </w:r>
      <w:r>
        <w:rPr>
          <w:color w:val="010202"/>
          <w:spacing w:val="-3"/>
          <w:sz w:val="22"/>
        </w:rPr>
        <w:t> </w:t>
      </w:r>
      <w:r>
        <w:rPr>
          <w:color w:val="010202"/>
          <w:sz w:val="22"/>
        </w:rPr>
        <w:t>activities,</w:t>
      </w:r>
      <w:r>
        <w:rPr>
          <w:color w:val="010202"/>
          <w:spacing w:val="-3"/>
          <w:sz w:val="22"/>
        </w:rPr>
        <w:t> </w:t>
      </w:r>
      <w:r>
        <w:rPr>
          <w:color w:val="010202"/>
          <w:sz w:val="22"/>
        </w:rPr>
        <w:t>commonly</w:t>
      </w:r>
      <w:r>
        <w:rPr>
          <w:color w:val="010202"/>
          <w:spacing w:val="-3"/>
          <w:sz w:val="22"/>
        </w:rPr>
        <w:t> </w:t>
      </w:r>
      <w:r>
        <w:rPr>
          <w:color w:val="010202"/>
          <w:sz w:val="22"/>
        </w:rPr>
        <w:t>used</w:t>
      </w:r>
    </w:p>
    <w:p>
      <w:pPr>
        <w:pStyle w:val="BodyText"/>
        <w:spacing w:line="249" w:lineRule="auto"/>
        <w:ind w:left="879" w:right="396"/>
      </w:pPr>
      <w:r>
        <w:rPr>
          <w:color w:val="010202"/>
        </w:rPr>
        <w:t>to link and retain people with HIV in care,</w:t>
      </w:r>
      <w:r>
        <w:rPr>
          <w:color w:val="010202"/>
          <w:spacing w:val="1"/>
        </w:rPr>
        <w:t> </w:t>
      </w:r>
      <w:r>
        <w:rPr>
          <w:color w:val="010202"/>
        </w:rPr>
        <w:t>can reduce barriers to accessing care. Patient</w:t>
      </w:r>
      <w:r>
        <w:rPr>
          <w:color w:val="010202"/>
          <w:spacing w:val="-52"/>
        </w:rPr>
        <w:t> </w:t>
      </w:r>
      <w:r>
        <w:rPr>
          <w:color w:val="010202"/>
        </w:rPr>
        <w:t>navigation</w:t>
      </w:r>
      <w:r>
        <w:rPr>
          <w:color w:val="010202"/>
          <w:spacing w:val="-3"/>
        </w:rPr>
        <w:t> </w:t>
      </w:r>
      <w:r>
        <w:rPr>
          <w:color w:val="010202"/>
        </w:rPr>
        <w:t>models</w:t>
      </w:r>
      <w:r>
        <w:rPr>
          <w:color w:val="010202"/>
          <w:spacing w:val="-3"/>
        </w:rPr>
        <w:t> </w:t>
      </w:r>
      <w:r>
        <w:rPr>
          <w:color w:val="010202"/>
        </w:rPr>
        <w:t>specifically</w:t>
      </w:r>
      <w:r>
        <w:rPr>
          <w:color w:val="010202"/>
          <w:spacing w:val="-4"/>
        </w:rPr>
        <w:t> </w:t>
      </w:r>
      <w:r>
        <w:rPr>
          <w:color w:val="010202"/>
        </w:rPr>
        <w:t>emphasize</w:t>
      </w:r>
    </w:p>
    <w:p>
      <w:pPr>
        <w:pStyle w:val="BodyText"/>
        <w:ind w:left="879"/>
      </w:pPr>
      <w:r>
        <w:rPr>
          <w:color w:val="010202"/>
        </w:rPr>
        <w:t>outreach,</w:t>
      </w:r>
      <w:r>
        <w:rPr>
          <w:color w:val="010202"/>
          <w:spacing w:val="-2"/>
        </w:rPr>
        <w:t> </w:t>
      </w:r>
      <w:r>
        <w:rPr>
          <w:color w:val="010202"/>
        </w:rPr>
        <w:t>with</w:t>
      </w:r>
      <w:r>
        <w:rPr>
          <w:color w:val="010202"/>
          <w:spacing w:val="-3"/>
        </w:rPr>
        <w:t> </w:t>
      </w:r>
      <w:r>
        <w:rPr>
          <w:color w:val="010202"/>
        </w:rPr>
        <w:t>navigation</w:t>
      </w:r>
      <w:r>
        <w:rPr>
          <w:color w:val="010202"/>
          <w:spacing w:val="-1"/>
        </w:rPr>
        <w:t> </w:t>
      </w:r>
      <w:r>
        <w:rPr>
          <w:color w:val="010202"/>
        </w:rPr>
        <w:t>sessions</w:t>
      </w:r>
      <w:r>
        <w:rPr>
          <w:color w:val="010202"/>
          <w:spacing w:val="-3"/>
        </w:rPr>
        <w:t> </w:t>
      </w:r>
      <w:r>
        <w:rPr>
          <w:color w:val="010202"/>
        </w:rPr>
        <w:t>often</w:t>
      </w:r>
      <w:r>
        <w:rPr>
          <w:color w:val="010202"/>
          <w:spacing w:val="-1"/>
        </w:rPr>
        <w:t> </w:t>
      </w:r>
      <w:r>
        <w:rPr>
          <w:color w:val="010202"/>
        </w:rPr>
        <w:t>taking</w:t>
      </w:r>
    </w:p>
    <w:p>
      <w:pPr>
        <w:pStyle w:val="BodyText"/>
        <w:spacing w:line="249" w:lineRule="auto" w:before="98"/>
        <w:ind w:left="880" w:right="912"/>
      </w:pPr>
      <w:r>
        <w:rPr/>
        <w:br w:type="column"/>
      </w:r>
      <w:r>
        <w:rPr>
          <w:color w:val="010202"/>
        </w:rPr>
        <w:t>place</w:t>
      </w:r>
      <w:r>
        <w:rPr>
          <w:color w:val="010202"/>
          <w:spacing w:val="10"/>
        </w:rPr>
        <w:t> </w:t>
      </w:r>
      <w:r>
        <w:rPr>
          <w:color w:val="010202"/>
        </w:rPr>
        <w:t>in</w:t>
      </w:r>
      <w:r>
        <w:rPr>
          <w:color w:val="010202"/>
          <w:spacing w:val="11"/>
        </w:rPr>
        <w:t> </w:t>
      </w:r>
      <w:r>
        <w:rPr>
          <w:color w:val="010202"/>
        </w:rPr>
        <w:t>community</w:t>
      </w:r>
      <w:r>
        <w:rPr>
          <w:color w:val="010202"/>
          <w:spacing w:val="11"/>
        </w:rPr>
        <w:t> </w:t>
      </w:r>
      <w:r>
        <w:rPr>
          <w:color w:val="010202"/>
        </w:rPr>
        <w:t>settings</w:t>
      </w:r>
      <w:r>
        <w:rPr>
          <w:color w:val="010202"/>
          <w:spacing w:val="10"/>
        </w:rPr>
        <w:t> </w:t>
      </w:r>
      <w:r>
        <w:rPr>
          <w:color w:val="010202"/>
        </w:rPr>
        <w:t>where</w:t>
      </w:r>
      <w:r>
        <w:rPr>
          <w:color w:val="010202"/>
          <w:spacing w:val="10"/>
        </w:rPr>
        <w:t> </w:t>
      </w:r>
      <w:r>
        <w:rPr>
          <w:color w:val="010202"/>
        </w:rPr>
        <w:t>clients</w:t>
      </w:r>
      <w:r>
        <w:rPr>
          <w:color w:val="010202"/>
          <w:spacing w:val="1"/>
        </w:rPr>
        <w:t> </w:t>
      </w:r>
      <w:r>
        <w:rPr>
          <w:color w:val="010202"/>
        </w:rPr>
        <w:t>may feel more comfortable than in a clinic</w:t>
      </w:r>
      <w:r>
        <w:rPr>
          <w:color w:val="010202"/>
          <w:spacing w:val="1"/>
        </w:rPr>
        <w:t> </w:t>
      </w:r>
      <w:r>
        <w:rPr>
          <w:color w:val="010202"/>
        </w:rPr>
        <w:t>environment.</w:t>
      </w:r>
      <w:r>
        <w:rPr>
          <w:color w:val="010202"/>
          <w:vertAlign w:val="superscript"/>
        </w:rPr>
        <w:t>57</w:t>
      </w:r>
      <w:r>
        <w:rPr>
          <w:color w:val="010202"/>
          <w:vertAlign w:val="baseline"/>
        </w:rPr>
        <w:t> SSPs also expand their reach</w:t>
      </w:r>
      <w:r>
        <w:rPr>
          <w:color w:val="010202"/>
          <w:spacing w:val="1"/>
          <w:vertAlign w:val="baseline"/>
        </w:rPr>
        <w:t> </w:t>
      </w:r>
      <w:r>
        <w:rPr>
          <w:color w:val="010202"/>
          <w:vertAlign w:val="baseline"/>
        </w:rPr>
        <w:t>through secondary or peer-delivery models.</w:t>
      </w:r>
      <w:r>
        <w:rPr>
          <w:color w:val="010202"/>
          <w:spacing w:val="1"/>
          <w:vertAlign w:val="baseline"/>
        </w:rPr>
        <w:t> </w:t>
      </w:r>
      <w:r>
        <w:rPr>
          <w:color w:val="010202"/>
          <w:vertAlign w:val="baseline"/>
        </w:rPr>
        <w:t>SSPs provide people who inject drugs (PWID)</w:t>
      </w:r>
      <w:r>
        <w:rPr>
          <w:color w:val="010202"/>
          <w:spacing w:val="-52"/>
          <w:vertAlign w:val="baseline"/>
        </w:rPr>
        <w:t> </w:t>
      </w:r>
      <w:r>
        <w:rPr>
          <w:color w:val="010202"/>
          <w:vertAlign w:val="baseline"/>
        </w:rPr>
        <w:t>with sterile injection drug use equipment to</w:t>
      </w:r>
      <w:r>
        <w:rPr>
          <w:color w:val="010202"/>
          <w:spacing w:val="1"/>
          <w:vertAlign w:val="baseline"/>
        </w:rPr>
        <w:t> </w:t>
      </w:r>
      <w:r>
        <w:rPr>
          <w:color w:val="010202"/>
          <w:vertAlign w:val="baseline"/>
        </w:rPr>
        <w:t>distribute to their networks and to inform them</w:t>
      </w:r>
      <w:r>
        <w:rPr>
          <w:color w:val="010202"/>
          <w:spacing w:val="-52"/>
          <w:vertAlign w:val="baseline"/>
        </w:rPr>
        <w:t> </w:t>
      </w:r>
      <w:r>
        <w:rPr>
          <w:color w:val="010202"/>
          <w:vertAlign w:val="baseline"/>
        </w:rPr>
        <w:t>of</w:t>
      </w:r>
      <w:r>
        <w:rPr>
          <w:color w:val="010202"/>
          <w:spacing w:val="-1"/>
          <w:vertAlign w:val="baseline"/>
        </w:rPr>
        <w:t> </w:t>
      </w:r>
      <w:r>
        <w:rPr>
          <w:color w:val="010202"/>
          <w:vertAlign w:val="baseline"/>
        </w:rPr>
        <w:t>disposal options.</w:t>
      </w:r>
      <w:r>
        <w:rPr>
          <w:color w:val="010202"/>
          <w:vertAlign w:val="superscript"/>
        </w:rPr>
        <w:t>56</w:t>
      </w:r>
    </w:p>
    <w:p>
      <w:pPr>
        <w:pStyle w:val="BodyText"/>
        <w:spacing w:before="9"/>
        <w:rPr>
          <w:sz w:val="21"/>
        </w:rPr>
      </w:pPr>
      <w:r>
        <w:rPr/>
        <w:pict>
          <v:shape style="position:absolute;margin-left:324pt;margin-top:13.753191pt;width:213.8pt;height:46.3pt;mso-position-horizontal-relative:page;mso-position-vertical-relative:paragraph;z-index:-15694336;mso-wrap-distance-left:0;mso-wrap-distance-right:0" type="#_x0000_t202" id="docshape136" filled="false" stroked="false">
            <v:textbox inset="0,0,0,0">
              <w:txbxContent>
                <w:p>
                  <w:pPr>
                    <w:spacing w:before="282"/>
                    <w:ind w:left="994" w:right="0" w:firstLine="0"/>
                    <w:jc w:val="left"/>
                    <w:rPr>
                      <w:rFonts w:ascii="Palatino Linotype"/>
                      <w:sz w:val="24"/>
                    </w:rPr>
                  </w:pPr>
                  <w:r>
                    <w:rPr>
                      <w:rFonts w:ascii="Palatino Linotype"/>
                      <w:sz w:val="24"/>
                    </w:rPr>
                    <w:t>FINANCING</w:t>
                  </w:r>
                </w:p>
              </w:txbxContent>
            </v:textbox>
            <w10:wrap type="topAndBottom"/>
          </v:shape>
        </w:pict>
      </w:r>
    </w:p>
    <w:p>
      <w:pPr>
        <w:pStyle w:val="Heading3"/>
        <w:spacing w:before="68"/>
      </w:pPr>
      <w:r>
        <w:rPr>
          <w:color w:val="231F20"/>
        </w:rPr>
        <w:t>Challenge</w:t>
      </w:r>
    </w:p>
    <w:p>
      <w:pPr>
        <w:pStyle w:val="BodyText"/>
        <w:spacing w:line="266" w:lineRule="auto" w:before="222"/>
        <w:ind w:left="160" w:right="764"/>
      </w:pPr>
      <w:r>
        <w:rPr/>
        <w:drawing>
          <wp:anchor distT="0" distB="0" distL="0" distR="0" allowOverlap="1" layoutInCell="1" locked="0" behindDoc="0" simplePos="0" relativeHeight="15763456">
            <wp:simplePos x="0" y="0"/>
            <wp:positionH relativeFrom="page">
              <wp:posOffset>4114800</wp:posOffset>
            </wp:positionH>
            <wp:positionV relativeFrom="paragraph">
              <wp:posOffset>-806934</wp:posOffset>
            </wp:positionV>
            <wp:extent cx="2715259" cy="588009"/>
            <wp:effectExtent l="0" t="0" r="0" b="0"/>
            <wp:wrapNone/>
            <wp:docPr id="79" name="image29.jpeg"/>
            <wp:cNvGraphicFramePr>
              <a:graphicFrameLocks noChangeAspect="1"/>
            </wp:cNvGraphicFramePr>
            <a:graphic>
              <a:graphicData uri="http://schemas.openxmlformats.org/drawingml/2006/picture">
                <pic:pic>
                  <pic:nvPicPr>
                    <pic:cNvPr id="80" name="image29.jpeg"/>
                    <pic:cNvPicPr/>
                  </pic:nvPicPr>
                  <pic:blipFill>
                    <a:blip r:embed="rId242" cstate="print"/>
                    <a:stretch>
                      <a:fillRect/>
                    </a:stretch>
                  </pic:blipFill>
                  <pic:spPr>
                    <a:xfrm>
                      <a:off x="0" y="0"/>
                      <a:ext cx="2715259" cy="588009"/>
                    </a:xfrm>
                    <a:prstGeom prst="rect">
                      <a:avLst/>
                    </a:prstGeom>
                  </pic:spPr>
                </pic:pic>
              </a:graphicData>
            </a:graphic>
          </wp:anchor>
        </w:drawing>
      </w:r>
      <w:r>
        <w:rPr>
          <w:color w:val="231F20"/>
          <w:spacing w:val="-2"/>
        </w:rPr>
        <w:t>Funding</w:t>
      </w:r>
      <w:r>
        <w:rPr>
          <w:color w:val="231F20"/>
          <w:spacing w:val="-11"/>
        </w:rPr>
        <w:t> </w:t>
      </w:r>
      <w:r>
        <w:rPr>
          <w:color w:val="231F20"/>
          <w:spacing w:val="-2"/>
        </w:rPr>
        <w:t>(including</w:t>
      </w:r>
      <w:r>
        <w:rPr>
          <w:color w:val="231F20"/>
          <w:spacing w:val="-9"/>
        </w:rPr>
        <w:t> </w:t>
      </w:r>
      <w:r>
        <w:rPr>
          <w:color w:val="231F20"/>
          <w:spacing w:val="-2"/>
        </w:rPr>
        <w:t>financing</w:t>
      </w:r>
      <w:r>
        <w:rPr>
          <w:color w:val="231F20"/>
          <w:spacing w:val="-10"/>
        </w:rPr>
        <w:t> </w:t>
      </w:r>
      <w:r>
        <w:rPr>
          <w:color w:val="231F20"/>
          <w:spacing w:val="-2"/>
        </w:rPr>
        <w:t>trainings,</w:t>
      </w:r>
      <w:r>
        <w:rPr>
          <w:color w:val="231F20"/>
          <w:spacing w:val="-10"/>
        </w:rPr>
        <w:t> </w:t>
      </w:r>
      <w:r>
        <w:rPr>
          <w:color w:val="231F20"/>
          <w:spacing w:val="-2"/>
        </w:rPr>
        <w:t>reimbursing</w:t>
      </w:r>
      <w:r>
        <w:rPr>
          <w:color w:val="231F20"/>
          <w:spacing w:val="-9"/>
        </w:rPr>
        <w:t> </w:t>
      </w:r>
      <w:r>
        <w:rPr>
          <w:color w:val="231F20"/>
          <w:spacing w:val="-1"/>
        </w:rPr>
        <w:t>staff,</w:t>
      </w:r>
      <w:r>
        <w:rPr>
          <w:color w:val="231F20"/>
          <w:spacing w:val="-52"/>
        </w:rPr>
        <w:t> </w:t>
      </w:r>
      <w:r>
        <w:rPr>
          <w:color w:val="231F20"/>
          <w:spacing w:val="-1"/>
        </w:rPr>
        <w:t>furnishing </w:t>
      </w:r>
      <w:r>
        <w:rPr>
          <w:color w:val="231F20"/>
        </w:rPr>
        <w:t>programs with needed materials) is essential</w:t>
      </w:r>
      <w:r>
        <w:rPr>
          <w:color w:val="231F20"/>
          <w:spacing w:val="1"/>
        </w:rPr>
        <w:t> </w:t>
      </w:r>
      <w:r>
        <w:rPr>
          <w:color w:val="231F20"/>
          <w:spacing w:val="-1"/>
        </w:rPr>
        <w:t>to implementing </w:t>
      </w:r>
      <w:r>
        <w:rPr>
          <w:color w:val="231F20"/>
        </w:rPr>
        <w:t>and sustaining public health practices.</w:t>
      </w:r>
      <w:r>
        <w:rPr>
          <w:color w:val="231F20"/>
          <w:spacing w:val="1"/>
        </w:rPr>
        <w:t> </w:t>
      </w:r>
      <w:r>
        <w:rPr>
          <w:color w:val="231F20"/>
        </w:rPr>
        <w:t>Specific financing challenges for the recommended</w:t>
      </w:r>
      <w:r>
        <w:rPr>
          <w:color w:val="231F20"/>
          <w:spacing w:val="1"/>
        </w:rPr>
        <w:t> </w:t>
      </w:r>
      <w:r>
        <w:rPr>
          <w:color w:val="231F20"/>
        </w:rPr>
        <w:t>programs</w:t>
      </w:r>
      <w:r>
        <w:rPr>
          <w:color w:val="231F20"/>
          <w:spacing w:val="-5"/>
        </w:rPr>
        <w:t> </w:t>
      </w:r>
      <w:r>
        <w:rPr>
          <w:color w:val="231F20"/>
        </w:rPr>
        <w:t>include:</w:t>
      </w:r>
    </w:p>
    <w:p>
      <w:pPr>
        <w:pStyle w:val="ListParagraph"/>
        <w:numPr>
          <w:ilvl w:val="0"/>
          <w:numId w:val="19"/>
        </w:numPr>
        <w:tabs>
          <w:tab w:pos="879" w:val="left" w:leader="none"/>
          <w:tab w:pos="880" w:val="left" w:leader="none"/>
        </w:tabs>
        <w:spacing w:line="267" w:lineRule="exact" w:before="145" w:after="0"/>
        <w:ind w:left="879" w:right="0" w:hanging="360"/>
        <w:jc w:val="left"/>
        <w:rPr>
          <w:sz w:val="22"/>
        </w:rPr>
      </w:pPr>
      <w:r>
        <w:rPr>
          <w:color w:val="010202"/>
          <w:sz w:val="22"/>
        </w:rPr>
        <w:t>Insurance</w:t>
      </w:r>
      <w:r>
        <w:rPr>
          <w:color w:val="010202"/>
          <w:spacing w:val="-2"/>
          <w:sz w:val="22"/>
        </w:rPr>
        <w:t> </w:t>
      </w:r>
      <w:r>
        <w:rPr>
          <w:color w:val="010202"/>
          <w:sz w:val="22"/>
        </w:rPr>
        <w:t>reimbursements</w:t>
      </w:r>
      <w:r>
        <w:rPr>
          <w:color w:val="010202"/>
          <w:spacing w:val="-2"/>
          <w:sz w:val="22"/>
        </w:rPr>
        <w:t> </w:t>
      </w:r>
      <w:r>
        <w:rPr>
          <w:color w:val="010202"/>
          <w:sz w:val="22"/>
        </w:rPr>
        <w:t>for</w:t>
      </w:r>
      <w:r>
        <w:rPr>
          <w:color w:val="010202"/>
          <w:spacing w:val="-2"/>
          <w:sz w:val="22"/>
        </w:rPr>
        <w:t> </w:t>
      </w:r>
      <w:r>
        <w:rPr>
          <w:color w:val="010202"/>
          <w:sz w:val="22"/>
        </w:rPr>
        <w:t>services</w:t>
      </w:r>
    </w:p>
    <w:p>
      <w:pPr>
        <w:pStyle w:val="ListParagraph"/>
        <w:numPr>
          <w:ilvl w:val="0"/>
          <w:numId w:val="19"/>
        </w:numPr>
        <w:tabs>
          <w:tab w:pos="879" w:val="left" w:leader="none"/>
          <w:tab w:pos="880" w:val="left" w:leader="none"/>
        </w:tabs>
        <w:spacing w:line="249" w:lineRule="auto" w:before="0" w:after="0"/>
        <w:ind w:left="879" w:right="799" w:hanging="360"/>
        <w:jc w:val="left"/>
        <w:rPr>
          <w:sz w:val="22"/>
        </w:rPr>
      </w:pPr>
      <w:r>
        <w:rPr>
          <w:color w:val="010202"/>
          <w:sz w:val="22"/>
        </w:rPr>
        <w:t>Sustainable federal and state funding for service</w:t>
      </w:r>
      <w:r>
        <w:rPr>
          <w:color w:val="010202"/>
          <w:spacing w:val="-53"/>
          <w:sz w:val="22"/>
        </w:rPr>
        <w:t> </w:t>
      </w:r>
      <w:r>
        <w:rPr>
          <w:color w:val="010202"/>
          <w:sz w:val="22"/>
        </w:rPr>
        <w:t>delivery not covered by insurance</w:t>
      </w:r>
    </w:p>
    <w:p>
      <w:pPr>
        <w:pStyle w:val="ListParagraph"/>
        <w:numPr>
          <w:ilvl w:val="0"/>
          <w:numId w:val="19"/>
        </w:numPr>
        <w:tabs>
          <w:tab w:pos="879" w:val="left" w:leader="none"/>
          <w:tab w:pos="880" w:val="left" w:leader="none"/>
        </w:tabs>
        <w:spacing w:line="251" w:lineRule="exact" w:before="0" w:after="0"/>
        <w:ind w:left="879" w:right="0" w:hanging="360"/>
        <w:jc w:val="left"/>
        <w:rPr>
          <w:sz w:val="22"/>
        </w:rPr>
      </w:pPr>
      <w:r>
        <w:rPr>
          <w:color w:val="010202"/>
          <w:spacing w:val="-4"/>
          <w:sz w:val="22"/>
        </w:rPr>
        <w:t>Restrictions</w:t>
      </w:r>
      <w:r>
        <w:rPr>
          <w:color w:val="010202"/>
          <w:spacing w:val="-10"/>
          <w:sz w:val="22"/>
        </w:rPr>
        <w:t> </w:t>
      </w:r>
      <w:r>
        <w:rPr>
          <w:color w:val="010202"/>
          <w:spacing w:val="-4"/>
          <w:sz w:val="22"/>
        </w:rPr>
        <w:t>on</w:t>
      </w:r>
      <w:r>
        <w:rPr>
          <w:color w:val="010202"/>
          <w:spacing w:val="-10"/>
          <w:sz w:val="22"/>
        </w:rPr>
        <w:t> </w:t>
      </w:r>
      <w:r>
        <w:rPr>
          <w:color w:val="010202"/>
          <w:spacing w:val="-4"/>
          <w:sz w:val="22"/>
        </w:rPr>
        <w:t>the</w:t>
      </w:r>
      <w:r>
        <w:rPr>
          <w:color w:val="010202"/>
          <w:spacing w:val="-10"/>
          <w:sz w:val="22"/>
        </w:rPr>
        <w:t> </w:t>
      </w:r>
      <w:r>
        <w:rPr>
          <w:color w:val="010202"/>
          <w:spacing w:val="-4"/>
          <w:sz w:val="22"/>
        </w:rPr>
        <w:t>use</w:t>
      </w:r>
      <w:r>
        <w:rPr>
          <w:color w:val="010202"/>
          <w:spacing w:val="-9"/>
          <w:sz w:val="22"/>
        </w:rPr>
        <w:t> </w:t>
      </w:r>
      <w:r>
        <w:rPr>
          <w:color w:val="010202"/>
          <w:spacing w:val="-4"/>
          <w:sz w:val="22"/>
        </w:rPr>
        <w:t>of</w:t>
      </w:r>
      <w:r>
        <w:rPr>
          <w:color w:val="010202"/>
          <w:spacing w:val="-10"/>
          <w:sz w:val="22"/>
        </w:rPr>
        <w:t> </w:t>
      </w:r>
      <w:r>
        <w:rPr>
          <w:color w:val="010202"/>
          <w:spacing w:val="-4"/>
          <w:sz w:val="22"/>
        </w:rPr>
        <w:t>federal</w:t>
      </w:r>
      <w:r>
        <w:rPr>
          <w:color w:val="010202"/>
          <w:spacing w:val="-10"/>
          <w:sz w:val="22"/>
        </w:rPr>
        <w:t> </w:t>
      </w:r>
      <w:r>
        <w:rPr>
          <w:color w:val="010202"/>
          <w:spacing w:val="-4"/>
          <w:sz w:val="22"/>
        </w:rPr>
        <w:t>funding</w:t>
      </w:r>
      <w:r>
        <w:rPr>
          <w:color w:val="010202"/>
          <w:spacing w:val="-10"/>
          <w:sz w:val="22"/>
        </w:rPr>
        <w:t> </w:t>
      </w:r>
      <w:r>
        <w:rPr>
          <w:color w:val="010202"/>
          <w:spacing w:val="-4"/>
          <w:sz w:val="22"/>
        </w:rPr>
        <w:t>for</w:t>
      </w:r>
      <w:r>
        <w:rPr>
          <w:color w:val="010202"/>
          <w:spacing w:val="-9"/>
          <w:sz w:val="22"/>
        </w:rPr>
        <w:t> </w:t>
      </w:r>
      <w:r>
        <w:rPr>
          <w:color w:val="010202"/>
          <w:spacing w:val="-3"/>
          <w:sz w:val="22"/>
        </w:rPr>
        <w:t>SSPs</w:t>
      </w:r>
    </w:p>
    <w:p>
      <w:pPr>
        <w:pStyle w:val="ListParagraph"/>
        <w:numPr>
          <w:ilvl w:val="0"/>
          <w:numId w:val="19"/>
        </w:numPr>
        <w:tabs>
          <w:tab w:pos="879" w:val="left" w:leader="none"/>
          <w:tab w:pos="880" w:val="left" w:leader="none"/>
        </w:tabs>
        <w:spacing w:line="249" w:lineRule="auto" w:before="0" w:after="0"/>
        <w:ind w:left="879" w:right="945" w:hanging="360"/>
        <w:jc w:val="left"/>
        <w:rPr>
          <w:sz w:val="22"/>
        </w:rPr>
      </w:pPr>
      <w:r>
        <w:rPr>
          <w:color w:val="010202"/>
          <w:sz w:val="22"/>
        </w:rPr>
        <w:t>Lack of funding for reinforcers and vouchers</w:t>
      </w:r>
      <w:r>
        <w:rPr>
          <w:color w:val="010202"/>
          <w:spacing w:val="1"/>
          <w:sz w:val="22"/>
        </w:rPr>
        <w:t> </w:t>
      </w:r>
      <w:r>
        <w:rPr>
          <w:color w:val="010202"/>
          <w:sz w:val="22"/>
        </w:rPr>
        <w:t>necessary</w:t>
      </w:r>
      <w:r>
        <w:rPr>
          <w:color w:val="010202"/>
          <w:spacing w:val="-3"/>
          <w:sz w:val="22"/>
        </w:rPr>
        <w:t> </w:t>
      </w:r>
      <w:r>
        <w:rPr>
          <w:color w:val="010202"/>
          <w:sz w:val="22"/>
        </w:rPr>
        <w:t>for</w:t>
      </w:r>
      <w:r>
        <w:rPr>
          <w:color w:val="010202"/>
          <w:spacing w:val="-2"/>
          <w:sz w:val="22"/>
        </w:rPr>
        <w:t> </w:t>
      </w:r>
      <w:r>
        <w:rPr>
          <w:color w:val="010202"/>
          <w:sz w:val="22"/>
        </w:rPr>
        <w:t>Contingency</w:t>
      </w:r>
      <w:r>
        <w:rPr>
          <w:color w:val="010202"/>
          <w:spacing w:val="-2"/>
          <w:sz w:val="22"/>
        </w:rPr>
        <w:t> </w:t>
      </w:r>
      <w:r>
        <w:rPr>
          <w:color w:val="010202"/>
          <w:sz w:val="22"/>
        </w:rPr>
        <w:t>Management</w:t>
      </w:r>
      <w:r>
        <w:rPr>
          <w:color w:val="010202"/>
          <w:spacing w:val="-3"/>
          <w:sz w:val="22"/>
        </w:rPr>
        <w:t> </w:t>
      </w:r>
      <w:r>
        <w:rPr>
          <w:color w:val="010202"/>
          <w:sz w:val="22"/>
        </w:rPr>
        <w:t>(CM)</w:t>
      </w:r>
    </w:p>
    <w:p>
      <w:pPr>
        <w:pStyle w:val="ListParagraph"/>
        <w:numPr>
          <w:ilvl w:val="0"/>
          <w:numId w:val="19"/>
        </w:numPr>
        <w:tabs>
          <w:tab w:pos="879" w:val="left" w:leader="none"/>
          <w:tab w:pos="880" w:val="left" w:leader="none"/>
        </w:tabs>
        <w:spacing w:line="254" w:lineRule="exact" w:before="0" w:after="0"/>
        <w:ind w:left="879" w:right="0" w:hanging="360"/>
        <w:jc w:val="left"/>
        <w:rPr>
          <w:sz w:val="22"/>
        </w:rPr>
      </w:pPr>
      <w:r>
        <w:rPr>
          <w:color w:val="010202"/>
          <w:spacing w:val="-2"/>
          <w:sz w:val="22"/>
        </w:rPr>
        <w:t>Lack</w:t>
      </w:r>
      <w:r>
        <w:rPr>
          <w:color w:val="010202"/>
          <w:spacing w:val="-12"/>
          <w:sz w:val="22"/>
        </w:rPr>
        <w:t> </w:t>
      </w:r>
      <w:r>
        <w:rPr>
          <w:color w:val="010202"/>
          <w:spacing w:val="-2"/>
          <w:sz w:val="22"/>
        </w:rPr>
        <w:t>of</w:t>
      </w:r>
      <w:r>
        <w:rPr>
          <w:color w:val="010202"/>
          <w:spacing w:val="-11"/>
          <w:sz w:val="22"/>
        </w:rPr>
        <w:t> </w:t>
      </w:r>
      <w:r>
        <w:rPr>
          <w:color w:val="010202"/>
          <w:spacing w:val="-2"/>
          <w:sz w:val="22"/>
        </w:rPr>
        <w:t>funding</w:t>
      </w:r>
      <w:r>
        <w:rPr>
          <w:color w:val="010202"/>
          <w:spacing w:val="-11"/>
          <w:sz w:val="22"/>
        </w:rPr>
        <w:t> </w:t>
      </w:r>
      <w:r>
        <w:rPr>
          <w:color w:val="010202"/>
          <w:spacing w:val="-2"/>
          <w:sz w:val="22"/>
        </w:rPr>
        <w:t>for</w:t>
      </w:r>
      <w:r>
        <w:rPr>
          <w:color w:val="010202"/>
          <w:spacing w:val="-11"/>
          <w:sz w:val="22"/>
        </w:rPr>
        <w:t> </w:t>
      </w:r>
      <w:r>
        <w:rPr>
          <w:color w:val="010202"/>
          <w:spacing w:val="-2"/>
          <w:sz w:val="22"/>
        </w:rPr>
        <w:t>highly</w:t>
      </w:r>
      <w:r>
        <w:rPr>
          <w:color w:val="010202"/>
          <w:spacing w:val="-11"/>
          <w:sz w:val="22"/>
        </w:rPr>
        <w:t> </w:t>
      </w:r>
      <w:r>
        <w:rPr>
          <w:color w:val="010202"/>
          <w:spacing w:val="-1"/>
          <w:sz w:val="22"/>
        </w:rPr>
        <w:t>experienced</w:t>
      </w:r>
      <w:r>
        <w:rPr>
          <w:color w:val="010202"/>
          <w:spacing w:val="-11"/>
          <w:sz w:val="22"/>
        </w:rPr>
        <w:t> </w:t>
      </w:r>
      <w:r>
        <w:rPr>
          <w:color w:val="010202"/>
          <w:spacing w:val="-1"/>
          <w:sz w:val="22"/>
        </w:rPr>
        <w:t>clinicians</w:t>
      </w:r>
    </w:p>
    <w:p>
      <w:pPr>
        <w:pStyle w:val="BodyText"/>
        <w:spacing w:before="5"/>
        <w:ind w:left="879"/>
      </w:pPr>
      <w:r>
        <w:rPr>
          <w:color w:val="010202"/>
          <w:spacing w:val="-2"/>
        </w:rPr>
        <w:t>to</w:t>
      </w:r>
      <w:r>
        <w:rPr>
          <w:color w:val="010202"/>
          <w:spacing w:val="-12"/>
        </w:rPr>
        <w:t> </w:t>
      </w:r>
      <w:r>
        <w:rPr>
          <w:color w:val="010202"/>
          <w:spacing w:val="-2"/>
        </w:rPr>
        <w:t>implement</w:t>
      </w:r>
      <w:r>
        <w:rPr>
          <w:color w:val="010202"/>
          <w:spacing w:val="-11"/>
        </w:rPr>
        <w:t> </w:t>
      </w:r>
      <w:r>
        <w:rPr>
          <w:color w:val="010202"/>
          <w:spacing w:val="-2"/>
        </w:rPr>
        <w:t>and</w:t>
      </w:r>
      <w:r>
        <w:rPr>
          <w:color w:val="010202"/>
          <w:spacing w:val="-11"/>
        </w:rPr>
        <w:t> </w:t>
      </w:r>
      <w:r>
        <w:rPr>
          <w:color w:val="010202"/>
          <w:spacing w:val="-2"/>
        </w:rPr>
        <w:t>facilitate</w:t>
      </w:r>
      <w:r>
        <w:rPr>
          <w:color w:val="010202"/>
          <w:spacing w:val="-11"/>
        </w:rPr>
        <w:t> </w:t>
      </w:r>
      <w:r>
        <w:rPr>
          <w:color w:val="010202"/>
          <w:spacing w:val="-1"/>
        </w:rPr>
        <w:t>programming</w:t>
      </w:r>
    </w:p>
    <w:p>
      <w:pPr>
        <w:pStyle w:val="Heading3"/>
        <w:spacing w:before="172"/>
      </w:pPr>
      <w:r>
        <w:rPr>
          <w:color w:val="231F20"/>
        </w:rPr>
        <w:t>Strategies</w:t>
      </w:r>
    </w:p>
    <w:p>
      <w:pPr>
        <w:pStyle w:val="BodyText"/>
        <w:spacing w:line="266" w:lineRule="auto" w:before="222"/>
        <w:ind w:left="160" w:right="1177"/>
      </w:pPr>
      <w:r>
        <w:rPr>
          <w:color w:val="010202"/>
          <w:spacing w:val="-1"/>
        </w:rPr>
        <w:t>Clinic</w:t>
      </w:r>
      <w:r>
        <w:rPr>
          <w:color w:val="010202"/>
          <w:spacing w:val="-12"/>
        </w:rPr>
        <w:t> </w:t>
      </w:r>
      <w:r>
        <w:rPr>
          <w:color w:val="010202"/>
          <w:spacing w:val="-1"/>
        </w:rPr>
        <w:t>administrators</w:t>
      </w:r>
      <w:r>
        <w:rPr>
          <w:color w:val="010202"/>
          <w:spacing w:val="-12"/>
        </w:rPr>
        <w:t> </w:t>
      </w:r>
      <w:r>
        <w:rPr>
          <w:color w:val="010202"/>
          <w:spacing w:val="-1"/>
        </w:rPr>
        <w:t>and</w:t>
      </w:r>
      <w:r>
        <w:rPr>
          <w:color w:val="010202"/>
          <w:spacing w:val="-11"/>
        </w:rPr>
        <w:t> </w:t>
      </w:r>
      <w:r>
        <w:rPr>
          <w:color w:val="010202"/>
          <w:spacing w:val="-1"/>
        </w:rPr>
        <w:t>leadership</w:t>
      </w:r>
      <w:r>
        <w:rPr>
          <w:color w:val="010202"/>
          <w:spacing w:val="-12"/>
        </w:rPr>
        <w:t> </w:t>
      </w:r>
      <w:r>
        <w:rPr>
          <w:color w:val="010202"/>
          <w:spacing w:val="-1"/>
        </w:rPr>
        <w:t>need</w:t>
      </w:r>
      <w:r>
        <w:rPr>
          <w:color w:val="010202"/>
          <w:spacing w:val="-12"/>
        </w:rPr>
        <w:t> </w:t>
      </w:r>
      <w:r>
        <w:rPr>
          <w:color w:val="010202"/>
          <w:spacing w:val="-1"/>
        </w:rPr>
        <w:t>to</w:t>
      </w:r>
      <w:r>
        <w:rPr>
          <w:color w:val="010202"/>
          <w:spacing w:val="-11"/>
        </w:rPr>
        <w:t> </w:t>
      </w:r>
      <w:r>
        <w:rPr>
          <w:color w:val="010202"/>
          <w:spacing w:val="-1"/>
        </w:rPr>
        <w:t>consider</w:t>
      </w:r>
      <w:r>
        <w:rPr>
          <w:color w:val="010202"/>
          <w:spacing w:val="-52"/>
        </w:rPr>
        <w:t> </w:t>
      </w:r>
      <w:r>
        <w:rPr>
          <w:color w:val="010202"/>
        </w:rPr>
        <w:t>strategies</w:t>
      </w:r>
      <w:r>
        <w:rPr>
          <w:color w:val="010202"/>
          <w:spacing w:val="-6"/>
        </w:rPr>
        <w:t> </w:t>
      </w:r>
      <w:r>
        <w:rPr>
          <w:color w:val="010202"/>
        </w:rPr>
        <w:t>for</w:t>
      </w:r>
      <w:r>
        <w:rPr>
          <w:color w:val="010202"/>
          <w:spacing w:val="-5"/>
        </w:rPr>
        <w:t> </w:t>
      </w:r>
      <w:r>
        <w:rPr>
          <w:color w:val="010202"/>
        </w:rPr>
        <w:t>how</w:t>
      </w:r>
      <w:r>
        <w:rPr>
          <w:color w:val="010202"/>
          <w:spacing w:val="-5"/>
        </w:rPr>
        <w:t> </w:t>
      </w:r>
      <w:r>
        <w:rPr>
          <w:color w:val="010202"/>
        </w:rPr>
        <w:t>to:</w:t>
      </w:r>
    </w:p>
    <w:p>
      <w:pPr>
        <w:pStyle w:val="ListParagraph"/>
        <w:numPr>
          <w:ilvl w:val="0"/>
          <w:numId w:val="19"/>
        </w:numPr>
        <w:tabs>
          <w:tab w:pos="879" w:val="left" w:leader="none"/>
          <w:tab w:pos="880" w:val="left" w:leader="none"/>
        </w:tabs>
        <w:spacing w:line="267" w:lineRule="exact" w:before="147" w:after="0"/>
        <w:ind w:left="879" w:right="0" w:hanging="360"/>
        <w:jc w:val="left"/>
        <w:rPr>
          <w:sz w:val="22"/>
        </w:rPr>
      </w:pPr>
      <w:r>
        <w:rPr>
          <w:color w:val="010202"/>
          <w:sz w:val="22"/>
        </w:rPr>
        <w:t>Fund</w:t>
      </w:r>
      <w:r>
        <w:rPr>
          <w:color w:val="010202"/>
          <w:spacing w:val="-2"/>
          <w:sz w:val="22"/>
        </w:rPr>
        <w:t> </w:t>
      </w:r>
      <w:r>
        <w:rPr>
          <w:color w:val="010202"/>
          <w:sz w:val="22"/>
        </w:rPr>
        <w:t>a</w:t>
      </w:r>
      <w:r>
        <w:rPr>
          <w:color w:val="010202"/>
          <w:spacing w:val="-1"/>
          <w:sz w:val="22"/>
        </w:rPr>
        <w:t> </w:t>
      </w:r>
      <w:r>
        <w:rPr>
          <w:color w:val="010202"/>
          <w:sz w:val="22"/>
        </w:rPr>
        <w:t>practice</w:t>
      </w:r>
    </w:p>
    <w:p>
      <w:pPr>
        <w:pStyle w:val="ListParagraph"/>
        <w:numPr>
          <w:ilvl w:val="0"/>
          <w:numId w:val="19"/>
        </w:numPr>
        <w:tabs>
          <w:tab w:pos="879" w:val="left" w:leader="none"/>
          <w:tab w:pos="880" w:val="left" w:leader="none"/>
        </w:tabs>
        <w:spacing w:line="249" w:lineRule="auto" w:before="0" w:after="0"/>
        <w:ind w:left="879" w:right="903" w:hanging="360"/>
        <w:jc w:val="left"/>
        <w:rPr>
          <w:sz w:val="22"/>
        </w:rPr>
      </w:pPr>
      <w:r>
        <w:rPr>
          <w:color w:val="010202"/>
          <w:sz w:val="22"/>
        </w:rPr>
        <w:t>Diversify funding streams across federal, state,</w:t>
      </w:r>
      <w:r>
        <w:rPr>
          <w:color w:val="010202"/>
          <w:spacing w:val="-53"/>
          <w:sz w:val="22"/>
        </w:rPr>
        <w:t> </w:t>
      </w:r>
      <w:r>
        <w:rPr>
          <w:color w:val="010202"/>
          <w:sz w:val="22"/>
        </w:rPr>
        <w:t>local,</w:t>
      </w:r>
      <w:r>
        <w:rPr>
          <w:color w:val="010202"/>
          <w:spacing w:val="-1"/>
          <w:sz w:val="22"/>
        </w:rPr>
        <w:t> </w:t>
      </w:r>
      <w:r>
        <w:rPr>
          <w:color w:val="010202"/>
          <w:sz w:val="22"/>
        </w:rPr>
        <w:t>and private</w:t>
      </w:r>
      <w:r>
        <w:rPr>
          <w:color w:val="010202"/>
          <w:spacing w:val="-1"/>
          <w:sz w:val="22"/>
        </w:rPr>
        <w:t> </w:t>
      </w:r>
      <w:r>
        <w:rPr>
          <w:color w:val="010202"/>
          <w:sz w:val="22"/>
        </w:rPr>
        <w:t>initiatives</w:t>
      </w:r>
      <w:r>
        <w:rPr>
          <w:color w:val="010202"/>
          <w:sz w:val="22"/>
          <w:vertAlign w:val="superscript"/>
        </w:rPr>
        <w:t>58</w:t>
      </w:r>
    </w:p>
    <w:p>
      <w:pPr>
        <w:pStyle w:val="ListParagraph"/>
        <w:numPr>
          <w:ilvl w:val="0"/>
          <w:numId w:val="19"/>
        </w:numPr>
        <w:tabs>
          <w:tab w:pos="879" w:val="left" w:leader="none"/>
          <w:tab w:pos="881" w:val="left" w:leader="none"/>
        </w:tabs>
        <w:spacing w:line="254" w:lineRule="exact" w:before="0" w:after="0"/>
        <w:ind w:left="880" w:right="0" w:hanging="361"/>
        <w:jc w:val="left"/>
        <w:rPr>
          <w:sz w:val="22"/>
        </w:rPr>
      </w:pPr>
      <w:r>
        <w:rPr>
          <w:color w:val="010202"/>
          <w:sz w:val="22"/>
        </w:rPr>
        <w:t>Counteract cost-prohibitive challenges to</w:t>
      </w:r>
    </w:p>
    <w:p>
      <w:pPr>
        <w:pStyle w:val="BodyText"/>
        <w:spacing w:before="8"/>
        <w:ind w:left="880"/>
      </w:pPr>
      <w:r>
        <w:rPr>
          <w:color w:val="010202"/>
        </w:rPr>
        <w:t>program implementation</w:t>
      </w:r>
    </w:p>
    <w:p>
      <w:pPr>
        <w:pStyle w:val="BodyText"/>
        <w:spacing w:before="207"/>
        <w:ind w:left="160"/>
      </w:pPr>
      <w:r>
        <w:rPr>
          <w:color w:val="231F20"/>
          <w:spacing w:val="-1"/>
        </w:rPr>
        <w:t>When</w:t>
      </w:r>
      <w:r>
        <w:rPr>
          <w:color w:val="231F20"/>
          <w:spacing w:val="-13"/>
        </w:rPr>
        <w:t> </w:t>
      </w:r>
      <w:r>
        <w:rPr>
          <w:color w:val="231F20"/>
        </w:rPr>
        <w:t>doing</w:t>
      </w:r>
      <w:r>
        <w:rPr>
          <w:color w:val="231F20"/>
          <w:spacing w:val="-13"/>
        </w:rPr>
        <w:t> </w:t>
      </w:r>
      <w:r>
        <w:rPr>
          <w:color w:val="231F20"/>
        </w:rPr>
        <w:t>so,</w:t>
      </w:r>
      <w:r>
        <w:rPr>
          <w:color w:val="231F20"/>
          <w:spacing w:val="-13"/>
        </w:rPr>
        <w:t> </w:t>
      </w:r>
      <w:r>
        <w:rPr>
          <w:color w:val="231F20"/>
        </w:rPr>
        <w:t>they</w:t>
      </w:r>
      <w:r>
        <w:rPr>
          <w:color w:val="231F20"/>
          <w:spacing w:val="-13"/>
        </w:rPr>
        <w:t> </w:t>
      </w:r>
      <w:r>
        <w:rPr>
          <w:color w:val="231F20"/>
        </w:rPr>
        <w:t>should</w:t>
      </w:r>
      <w:r>
        <w:rPr>
          <w:color w:val="231F20"/>
          <w:spacing w:val="-13"/>
        </w:rPr>
        <w:t> </w:t>
      </w:r>
      <w:r>
        <w:rPr>
          <w:color w:val="231F20"/>
        </w:rPr>
        <w:t>pay</w:t>
      </w:r>
      <w:r>
        <w:rPr>
          <w:color w:val="231F20"/>
          <w:spacing w:val="-13"/>
        </w:rPr>
        <w:t> </w:t>
      </w:r>
      <w:r>
        <w:rPr>
          <w:color w:val="231F20"/>
        </w:rPr>
        <w:t>particular</w:t>
      </w:r>
      <w:r>
        <w:rPr>
          <w:color w:val="231F20"/>
          <w:spacing w:val="-12"/>
        </w:rPr>
        <w:t> </w:t>
      </w:r>
      <w:r>
        <w:rPr>
          <w:color w:val="231F20"/>
        </w:rPr>
        <w:t>attention</w:t>
      </w:r>
      <w:r>
        <w:rPr>
          <w:color w:val="231F20"/>
          <w:spacing w:val="-13"/>
        </w:rPr>
        <w:t> </w:t>
      </w:r>
      <w:r>
        <w:rPr>
          <w:color w:val="231F20"/>
        </w:rPr>
        <w:t>to:</w:t>
      </w:r>
    </w:p>
    <w:p>
      <w:pPr>
        <w:pStyle w:val="ListParagraph"/>
        <w:numPr>
          <w:ilvl w:val="0"/>
          <w:numId w:val="19"/>
        </w:numPr>
        <w:tabs>
          <w:tab w:pos="879" w:val="left" w:leader="none"/>
          <w:tab w:pos="880" w:val="left" w:leader="none"/>
        </w:tabs>
        <w:spacing w:line="249" w:lineRule="auto" w:before="175" w:after="0"/>
        <w:ind w:left="879" w:right="1183" w:hanging="360"/>
        <w:jc w:val="left"/>
        <w:rPr>
          <w:sz w:val="22"/>
        </w:rPr>
      </w:pPr>
      <w:r>
        <w:rPr>
          <w:color w:val="010202"/>
          <w:sz w:val="22"/>
        </w:rPr>
        <w:t>The</w:t>
      </w:r>
      <w:r>
        <w:rPr>
          <w:color w:val="010202"/>
          <w:spacing w:val="-4"/>
          <w:sz w:val="22"/>
        </w:rPr>
        <w:t> </w:t>
      </w:r>
      <w:r>
        <w:rPr>
          <w:color w:val="010202"/>
          <w:sz w:val="22"/>
        </w:rPr>
        <w:t>specific</w:t>
      </w:r>
      <w:r>
        <w:rPr>
          <w:color w:val="010202"/>
          <w:spacing w:val="-5"/>
          <w:sz w:val="22"/>
        </w:rPr>
        <w:t> </w:t>
      </w:r>
      <w:r>
        <w:rPr>
          <w:color w:val="010202"/>
          <w:sz w:val="22"/>
        </w:rPr>
        <w:t>resources</w:t>
      </w:r>
      <w:r>
        <w:rPr>
          <w:color w:val="010202"/>
          <w:spacing w:val="-3"/>
          <w:sz w:val="22"/>
        </w:rPr>
        <w:t> </w:t>
      </w:r>
      <w:r>
        <w:rPr>
          <w:color w:val="010202"/>
          <w:sz w:val="22"/>
        </w:rPr>
        <w:t>available</w:t>
      </w:r>
      <w:r>
        <w:rPr>
          <w:color w:val="010202"/>
          <w:spacing w:val="-4"/>
          <w:sz w:val="22"/>
        </w:rPr>
        <w:t> </w:t>
      </w:r>
      <w:r>
        <w:rPr>
          <w:color w:val="010202"/>
          <w:sz w:val="22"/>
        </w:rPr>
        <w:t>and</w:t>
      </w:r>
      <w:r>
        <w:rPr>
          <w:color w:val="010202"/>
          <w:spacing w:val="-4"/>
          <w:sz w:val="22"/>
        </w:rPr>
        <w:t> </w:t>
      </w:r>
      <w:r>
        <w:rPr>
          <w:color w:val="010202"/>
          <w:sz w:val="22"/>
        </w:rPr>
        <w:t>needed</w:t>
      </w:r>
      <w:r>
        <w:rPr>
          <w:color w:val="010202"/>
          <w:spacing w:val="-52"/>
          <w:sz w:val="22"/>
        </w:rPr>
        <w:t> </w:t>
      </w:r>
      <w:r>
        <w:rPr>
          <w:color w:val="010202"/>
          <w:sz w:val="22"/>
        </w:rPr>
        <w:t>to implement HIV and mental illness and/</w:t>
      </w:r>
      <w:r>
        <w:rPr>
          <w:color w:val="010202"/>
          <w:spacing w:val="1"/>
          <w:sz w:val="22"/>
        </w:rPr>
        <w:t> </w:t>
      </w:r>
      <w:r>
        <w:rPr>
          <w:color w:val="010202"/>
          <w:sz w:val="22"/>
        </w:rPr>
        <w:t>or</w:t>
      </w:r>
      <w:r>
        <w:rPr>
          <w:color w:val="010202"/>
          <w:spacing w:val="-3"/>
          <w:sz w:val="22"/>
        </w:rPr>
        <w:t> </w:t>
      </w:r>
      <w:r>
        <w:rPr>
          <w:color w:val="010202"/>
          <w:sz w:val="22"/>
        </w:rPr>
        <w:t>SUD</w:t>
      </w:r>
      <w:r>
        <w:rPr>
          <w:color w:val="010202"/>
          <w:spacing w:val="-4"/>
          <w:sz w:val="22"/>
        </w:rPr>
        <w:t> </w:t>
      </w:r>
      <w:r>
        <w:rPr>
          <w:color w:val="010202"/>
          <w:sz w:val="22"/>
        </w:rPr>
        <w:t>services,</w:t>
      </w:r>
      <w:r>
        <w:rPr>
          <w:color w:val="010202"/>
          <w:spacing w:val="-4"/>
          <w:sz w:val="22"/>
        </w:rPr>
        <w:t> </w:t>
      </w:r>
      <w:r>
        <w:rPr>
          <w:color w:val="010202"/>
          <w:sz w:val="22"/>
        </w:rPr>
        <w:t>including</w:t>
      </w:r>
      <w:r>
        <w:rPr>
          <w:color w:val="010202"/>
          <w:spacing w:val="-2"/>
          <w:sz w:val="22"/>
        </w:rPr>
        <w:t> </w:t>
      </w:r>
      <w:r>
        <w:rPr>
          <w:color w:val="010202"/>
          <w:sz w:val="22"/>
        </w:rPr>
        <w:t>number</w:t>
      </w:r>
      <w:r>
        <w:rPr>
          <w:color w:val="010202"/>
          <w:spacing w:val="-3"/>
          <w:sz w:val="22"/>
        </w:rPr>
        <w:t> </w:t>
      </w:r>
      <w:r>
        <w:rPr>
          <w:color w:val="010202"/>
          <w:sz w:val="22"/>
        </w:rPr>
        <w:t>of</w:t>
      </w:r>
      <w:r>
        <w:rPr>
          <w:color w:val="010202"/>
          <w:spacing w:val="-3"/>
          <w:sz w:val="22"/>
        </w:rPr>
        <w:t> </w:t>
      </w:r>
      <w:r>
        <w:rPr>
          <w:color w:val="010202"/>
          <w:sz w:val="22"/>
        </w:rPr>
        <w:t>staff,</w:t>
      </w:r>
    </w:p>
    <w:p>
      <w:pPr>
        <w:pStyle w:val="BodyText"/>
        <w:spacing w:line="249" w:lineRule="auto" w:before="1"/>
        <w:ind w:left="879" w:right="1050"/>
      </w:pPr>
      <w:r>
        <w:rPr>
          <w:color w:val="010202"/>
        </w:rPr>
        <w:t>additional costs related to program materials,</w:t>
      </w:r>
      <w:r>
        <w:rPr>
          <w:color w:val="010202"/>
          <w:spacing w:val="-52"/>
        </w:rPr>
        <w:t> </w:t>
      </w:r>
      <w:r>
        <w:rPr>
          <w:color w:val="010202"/>
        </w:rPr>
        <w:t>and</w:t>
      </w:r>
      <w:r>
        <w:rPr>
          <w:color w:val="010202"/>
          <w:spacing w:val="-1"/>
        </w:rPr>
        <w:t> </w:t>
      </w:r>
      <w:r>
        <w:rPr>
          <w:color w:val="010202"/>
        </w:rPr>
        <w:t>anticipated</w:t>
      </w:r>
      <w:r>
        <w:rPr>
          <w:color w:val="010202"/>
          <w:spacing w:val="-1"/>
        </w:rPr>
        <w:t> </w:t>
      </w:r>
      <w:r>
        <w:rPr>
          <w:color w:val="010202"/>
        </w:rPr>
        <w:t>duration</w:t>
      </w:r>
      <w:r>
        <w:rPr>
          <w:color w:val="010202"/>
          <w:spacing w:val="-1"/>
        </w:rPr>
        <w:t> </w:t>
      </w:r>
      <w:r>
        <w:rPr>
          <w:color w:val="010202"/>
        </w:rPr>
        <w:t>of</w:t>
      </w:r>
      <w:r>
        <w:rPr>
          <w:color w:val="010202"/>
          <w:spacing w:val="-1"/>
        </w:rPr>
        <w:t> </w:t>
      </w:r>
      <w:r>
        <w:rPr>
          <w:color w:val="010202"/>
        </w:rPr>
        <w:t>funding.</w:t>
      </w:r>
      <w:r>
        <w:rPr>
          <w:color w:val="010202"/>
          <w:vertAlign w:val="superscript"/>
        </w:rPr>
        <w:t>58</w:t>
      </w:r>
    </w:p>
    <w:p>
      <w:pPr>
        <w:pStyle w:val="ListParagraph"/>
        <w:numPr>
          <w:ilvl w:val="0"/>
          <w:numId w:val="19"/>
        </w:numPr>
        <w:tabs>
          <w:tab w:pos="880" w:val="left" w:leader="none"/>
          <w:tab w:pos="881" w:val="left" w:leader="none"/>
        </w:tabs>
        <w:spacing w:line="256" w:lineRule="exact" w:before="0" w:after="0"/>
        <w:ind w:left="880" w:right="0" w:hanging="361"/>
        <w:jc w:val="left"/>
        <w:rPr>
          <w:sz w:val="22"/>
        </w:rPr>
      </w:pPr>
      <w:r>
        <w:rPr>
          <w:color w:val="010202"/>
          <w:sz w:val="22"/>
        </w:rPr>
        <w:t>Potential</w:t>
      </w:r>
      <w:r>
        <w:rPr>
          <w:color w:val="010202"/>
          <w:spacing w:val="-3"/>
          <w:sz w:val="22"/>
        </w:rPr>
        <w:t> </w:t>
      </w:r>
      <w:r>
        <w:rPr>
          <w:color w:val="010202"/>
          <w:sz w:val="22"/>
        </w:rPr>
        <w:t>collaborators</w:t>
      </w:r>
      <w:r>
        <w:rPr>
          <w:color w:val="010202"/>
          <w:spacing w:val="-1"/>
          <w:sz w:val="22"/>
        </w:rPr>
        <w:t> </w:t>
      </w:r>
      <w:r>
        <w:rPr>
          <w:color w:val="010202"/>
          <w:sz w:val="22"/>
        </w:rPr>
        <w:t>that</w:t>
      </w:r>
      <w:r>
        <w:rPr>
          <w:color w:val="010202"/>
          <w:spacing w:val="-1"/>
          <w:sz w:val="22"/>
        </w:rPr>
        <w:t> </w:t>
      </w:r>
      <w:r>
        <w:rPr>
          <w:color w:val="010202"/>
          <w:sz w:val="22"/>
        </w:rPr>
        <w:t>may</w:t>
      </w:r>
      <w:r>
        <w:rPr>
          <w:color w:val="010202"/>
          <w:spacing w:val="-1"/>
          <w:sz w:val="22"/>
        </w:rPr>
        <w:t> </w:t>
      </w:r>
      <w:r>
        <w:rPr>
          <w:color w:val="010202"/>
          <w:sz w:val="22"/>
        </w:rPr>
        <w:t>have</w:t>
      </w:r>
      <w:r>
        <w:rPr>
          <w:color w:val="010202"/>
          <w:spacing w:val="-1"/>
          <w:sz w:val="22"/>
        </w:rPr>
        <w:t> </w:t>
      </w:r>
      <w:r>
        <w:rPr>
          <w:color w:val="010202"/>
          <w:sz w:val="22"/>
        </w:rPr>
        <w:t>access</w:t>
      </w:r>
      <w:r>
        <w:rPr>
          <w:color w:val="010202"/>
          <w:spacing w:val="-1"/>
          <w:sz w:val="22"/>
        </w:rPr>
        <w:t> </w:t>
      </w:r>
      <w:r>
        <w:rPr>
          <w:color w:val="010202"/>
          <w:sz w:val="22"/>
        </w:rPr>
        <w:t>to</w:t>
      </w:r>
    </w:p>
    <w:p>
      <w:pPr>
        <w:pStyle w:val="BodyText"/>
        <w:spacing w:line="249" w:lineRule="auto" w:before="10"/>
        <w:ind w:left="880" w:right="767"/>
      </w:pPr>
      <w:r>
        <w:rPr>
          <w:color w:val="010202"/>
        </w:rPr>
        <w:t>alternative funding sources. Community-based</w:t>
      </w:r>
      <w:r>
        <w:rPr>
          <w:color w:val="010202"/>
          <w:spacing w:val="1"/>
        </w:rPr>
        <w:t> </w:t>
      </w:r>
      <w:r>
        <w:rPr>
          <w:color w:val="010202"/>
        </w:rPr>
        <w:t>organizations,</w:t>
      </w:r>
      <w:r>
        <w:rPr>
          <w:color w:val="010202"/>
          <w:spacing w:val="-6"/>
        </w:rPr>
        <w:t> </w:t>
      </w:r>
      <w:r>
        <w:rPr>
          <w:color w:val="010202"/>
        </w:rPr>
        <w:t>correctional</w:t>
      </w:r>
      <w:r>
        <w:rPr>
          <w:color w:val="010202"/>
          <w:spacing w:val="-6"/>
        </w:rPr>
        <w:t> </w:t>
      </w:r>
      <w:r>
        <w:rPr>
          <w:color w:val="010202"/>
        </w:rPr>
        <w:t>facilities,</w:t>
      </w:r>
      <w:r>
        <w:rPr>
          <w:color w:val="010202"/>
          <w:spacing w:val="-6"/>
        </w:rPr>
        <w:t> </w:t>
      </w:r>
      <w:r>
        <w:rPr>
          <w:color w:val="010202"/>
        </w:rPr>
        <w:t>community</w:t>
      </w:r>
      <w:r>
        <w:rPr>
          <w:color w:val="010202"/>
          <w:spacing w:val="-52"/>
        </w:rPr>
        <w:t> </w:t>
      </w:r>
      <w:r>
        <w:rPr>
          <w:color w:val="010202"/>
        </w:rPr>
        <w:t>health</w:t>
      </w:r>
      <w:r>
        <w:rPr>
          <w:color w:val="010202"/>
          <w:spacing w:val="-1"/>
        </w:rPr>
        <w:t> </w:t>
      </w:r>
      <w:r>
        <w:rPr>
          <w:color w:val="010202"/>
        </w:rPr>
        <w:t>centers, or mental illness</w:t>
      </w:r>
      <w:r>
        <w:rPr>
          <w:color w:val="010202"/>
          <w:spacing w:val="-1"/>
        </w:rPr>
        <w:t> </w:t>
      </w:r>
      <w:r>
        <w:rPr>
          <w:color w:val="010202"/>
        </w:rPr>
        <w:t>and/or SUD</w:t>
      </w:r>
    </w:p>
    <w:p>
      <w:pPr>
        <w:spacing w:after="0" w:line="249" w:lineRule="auto"/>
        <w:sectPr>
          <w:type w:val="continuous"/>
          <w:pgSz w:w="12240" w:h="15840"/>
          <w:pgMar w:header="0" w:footer="666" w:top="1500" w:bottom="0" w:left="560" w:right="0"/>
          <w:cols w:num="2" w:equalWidth="0">
            <w:col w:w="5235" w:space="525"/>
            <w:col w:w="5920"/>
          </w:cols>
        </w:sectPr>
      </w:pPr>
    </w:p>
    <w:p>
      <w:pPr>
        <w:pStyle w:val="BodyText"/>
        <w:rPr>
          <w:sz w:val="20"/>
        </w:rPr>
      </w:pPr>
    </w:p>
    <w:p>
      <w:pPr>
        <w:pStyle w:val="BodyText"/>
        <w:rPr>
          <w:sz w:val="25"/>
        </w:rPr>
      </w:pPr>
    </w:p>
    <w:p>
      <w:pPr>
        <w:spacing w:after="0"/>
        <w:rPr>
          <w:sz w:val="25"/>
        </w:rPr>
        <w:sectPr>
          <w:pgSz w:w="12240" w:h="15840"/>
          <w:pgMar w:header="0" w:footer="666" w:top="380" w:bottom="860" w:left="560" w:right="0"/>
        </w:sectPr>
      </w:pPr>
    </w:p>
    <w:p>
      <w:pPr>
        <w:pStyle w:val="BodyText"/>
        <w:spacing w:line="249" w:lineRule="auto" w:before="116"/>
        <w:ind w:left="880" w:right="72"/>
      </w:pPr>
      <w:r>
        <w:rPr>
          <w:color w:val="010202"/>
        </w:rPr>
        <w:t>treatment settings can act as partners when</w:t>
      </w:r>
      <w:r>
        <w:rPr>
          <w:color w:val="010202"/>
          <w:spacing w:val="1"/>
        </w:rPr>
        <w:t> </w:t>
      </w:r>
      <w:r>
        <w:rPr>
          <w:color w:val="010202"/>
        </w:rPr>
        <w:t>applying for grants that may only be accessible</w:t>
      </w:r>
      <w:r>
        <w:rPr>
          <w:color w:val="010202"/>
          <w:spacing w:val="-52"/>
        </w:rPr>
        <w:t> </w:t>
      </w:r>
      <w:r>
        <w:rPr>
          <w:color w:val="010202"/>
        </w:rPr>
        <w:t>to specific types of organizations. Partnerships</w:t>
      </w:r>
      <w:r>
        <w:rPr>
          <w:color w:val="010202"/>
          <w:spacing w:val="1"/>
        </w:rPr>
        <w:t> </w:t>
      </w:r>
      <w:r>
        <w:rPr>
          <w:color w:val="010202"/>
        </w:rPr>
        <w:t>can</w:t>
      </w:r>
      <w:r>
        <w:rPr>
          <w:color w:val="010202"/>
          <w:spacing w:val="-2"/>
        </w:rPr>
        <w:t> </w:t>
      </w:r>
      <w:r>
        <w:rPr>
          <w:color w:val="010202"/>
        </w:rPr>
        <w:t>also</w:t>
      </w:r>
      <w:r>
        <w:rPr>
          <w:color w:val="010202"/>
          <w:spacing w:val="-2"/>
        </w:rPr>
        <w:t> </w:t>
      </w:r>
      <w:r>
        <w:rPr>
          <w:color w:val="010202"/>
        </w:rPr>
        <w:t>be</w:t>
      </w:r>
      <w:r>
        <w:rPr>
          <w:color w:val="010202"/>
          <w:spacing w:val="-2"/>
        </w:rPr>
        <w:t> </w:t>
      </w:r>
      <w:r>
        <w:rPr>
          <w:color w:val="010202"/>
        </w:rPr>
        <w:t>a</w:t>
      </w:r>
      <w:r>
        <w:rPr>
          <w:color w:val="010202"/>
          <w:spacing w:val="-2"/>
        </w:rPr>
        <w:t> </w:t>
      </w:r>
      <w:r>
        <w:rPr>
          <w:color w:val="010202"/>
        </w:rPr>
        <w:t>way</w:t>
      </w:r>
      <w:r>
        <w:rPr>
          <w:color w:val="010202"/>
          <w:spacing w:val="-3"/>
        </w:rPr>
        <w:t> </w:t>
      </w:r>
      <w:r>
        <w:rPr>
          <w:color w:val="010202"/>
        </w:rPr>
        <w:t>to</w:t>
      </w:r>
      <w:r>
        <w:rPr>
          <w:color w:val="010202"/>
          <w:spacing w:val="-2"/>
        </w:rPr>
        <w:t> </w:t>
      </w:r>
      <w:r>
        <w:rPr>
          <w:color w:val="010202"/>
        </w:rPr>
        <w:t>offset</w:t>
      </w:r>
      <w:r>
        <w:rPr>
          <w:color w:val="010202"/>
          <w:spacing w:val="-2"/>
        </w:rPr>
        <w:t> </w:t>
      </w:r>
      <w:r>
        <w:rPr>
          <w:color w:val="010202"/>
        </w:rPr>
        <w:t>the</w:t>
      </w:r>
      <w:r>
        <w:rPr>
          <w:color w:val="010202"/>
          <w:spacing w:val="-1"/>
        </w:rPr>
        <w:t> </w:t>
      </w:r>
      <w:r>
        <w:rPr>
          <w:color w:val="010202"/>
        </w:rPr>
        <w:t>cost</w:t>
      </w:r>
      <w:r>
        <w:rPr>
          <w:color w:val="010202"/>
          <w:spacing w:val="-2"/>
        </w:rPr>
        <w:t> </w:t>
      </w:r>
      <w:r>
        <w:rPr>
          <w:color w:val="010202"/>
        </w:rPr>
        <w:t>of</w:t>
      </w:r>
      <w:r>
        <w:rPr>
          <w:color w:val="010202"/>
          <w:spacing w:val="-2"/>
        </w:rPr>
        <w:t> </w:t>
      </w:r>
      <w:r>
        <w:rPr>
          <w:color w:val="010202"/>
        </w:rPr>
        <w:t>program-</w:t>
      </w:r>
      <w:r>
        <w:rPr>
          <w:color w:val="010202"/>
          <w:spacing w:val="-52"/>
        </w:rPr>
        <w:t> </w:t>
      </w:r>
      <w:r>
        <w:rPr>
          <w:color w:val="010202"/>
        </w:rPr>
        <w:t>related materials.</w:t>
      </w:r>
    </w:p>
    <w:p>
      <w:pPr>
        <w:pStyle w:val="ListParagraph"/>
        <w:numPr>
          <w:ilvl w:val="1"/>
          <w:numId w:val="19"/>
        </w:numPr>
        <w:tabs>
          <w:tab w:pos="1239" w:val="left" w:leader="none"/>
          <w:tab w:pos="1240" w:val="left" w:leader="none"/>
        </w:tabs>
        <w:spacing w:line="249" w:lineRule="auto" w:before="78" w:after="0"/>
        <w:ind w:left="1239" w:right="38" w:hanging="360"/>
        <w:jc w:val="left"/>
        <w:rPr>
          <w:sz w:val="22"/>
        </w:rPr>
      </w:pPr>
      <w:r>
        <w:rPr>
          <w:color w:val="010202"/>
          <w:sz w:val="22"/>
        </w:rPr>
        <w:t>CM costs pose a unique challenge, as many</w:t>
      </w:r>
      <w:r>
        <w:rPr>
          <w:color w:val="010202"/>
          <w:spacing w:val="1"/>
          <w:sz w:val="22"/>
        </w:rPr>
        <w:t> </w:t>
      </w:r>
      <w:r>
        <w:rPr>
          <w:color w:val="010202"/>
          <w:sz w:val="22"/>
        </w:rPr>
        <w:t>state Medicaid, Medicare, and private</w:t>
      </w:r>
      <w:r>
        <w:rPr>
          <w:color w:val="010202"/>
          <w:spacing w:val="1"/>
          <w:sz w:val="22"/>
        </w:rPr>
        <w:t> </w:t>
      </w:r>
      <w:r>
        <w:rPr>
          <w:color w:val="010202"/>
          <w:sz w:val="22"/>
        </w:rPr>
        <w:t>insurance entities may not reimburse the</w:t>
      </w:r>
      <w:r>
        <w:rPr>
          <w:color w:val="010202"/>
          <w:spacing w:val="1"/>
          <w:sz w:val="22"/>
        </w:rPr>
        <w:t> </w:t>
      </w:r>
      <w:r>
        <w:rPr>
          <w:color w:val="010202"/>
          <w:sz w:val="22"/>
        </w:rPr>
        <w:t>reinforcers that are used in this practice, and</w:t>
      </w:r>
      <w:r>
        <w:rPr>
          <w:color w:val="010202"/>
          <w:spacing w:val="-52"/>
          <w:sz w:val="22"/>
        </w:rPr>
        <w:t> </w:t>
      </w:r>
      <w:r>
        <w:rPr>
          <w:color w:val="010202"/>
          <w:sz w:val="22"/>
        </w:rPr>
        <w:t>programs are prohibited from reimbursing</w:t>
      </w:r>
      <w:r>
        <w:rPr>
          <w:color w:val="010202"/>
          <w:spacing w:val="1"/>
          <w:sz w:val="22"/>
        </w:rPr>
        <w:t> </w:t>
      </w:r>
      <w:r>
        <w:rPr>
          <w:color w:val="010202"/>
          <w:sz w:val="22"/>
        </w:rPr>
        <w:t>for more than $75 annually or $15 per indi-</w:t>
      </w:r>
      <w:r>
        <w:rPr>
          <w:color w:val="010202"/>
          <w:spacing w:val="1"/>
          <w:sz w:val="22"/>
        </w:rPr>
        <w:t> </w:t>
      </w:r>
      <w:r>
        <w:rPr>
          <w:color w:val="010202"/>
          <w:sz w:val="22"/>
        </w:rPr>
        <w:t>vidual appointment, regardless of the source</w:t>
      </w:r>
      <w:r>
        <w:rPr>
          <w:color w:val="010202"/>
          <w:spacing w:val="-52"/>
          <w:sz w:val="22"/>
        </w:rPr>
        <w:t> </w:t>
      </w:r>
      <w:r>
        <w:rPr>
          <w:color w:val="010202"/>
          <w:spacing w:val="-1"/>
          <w:sz w:val="22"/>
        </w:rPr>
        <w:t>of the funds. Additional </w:t>
      </w:r>
      <w:r>
        <w:rPr>
          <w:color w:val="010202"/>
          <w:sz w:val="22"/>
        </w:rPr>
        <w:t>funding sources,</w:t>
      </w:r>
      <w:r>
        <w:rPr>
          <w:color w:val="010202"/>
          <w:spacing w:val="1"/>
          <w:sz w:val="22"/>
        </w:rPr>
        <w:t> </w:t>
      </w:r>
      <w:r>
        <w:rPr>
          <w:color w:val="010202"/>
          <w:sz w:val="22"/>
        </w:rPr>
        <w:t>such</w:t>
      </w:r>
      <w:r>
        <w:rPr>
          <w:color w:val="010202"/>
          <w:spacing w:val="-2"/>
          <w:sz w:val="22"/>
        </w:rPr>
        <w:t> </w:t>
      </w:r>
      <w:r>
        <w:rPr>
          <w:color w:val="010202"/>
          <w:sz w:val="22"/>
        </w:rPr>
        <w:t>as</w:t>
      </w:r>
      <w:r>
        <w:rPr>
          <w:color w:val="010202"/>
          <w:spacing w:val="-1"/>
          <w:sz w:val="22"/>
        </w:rPr>
        <w:t> </w:t>
      </w:r>
      <w:r>
        <w:rPr>
          <w:color w:val="010202"/>
          <w:sz w:val="22"/>
        </w:rPr>
        <w:t>federal, state,</w:t>
      </w:r>
      <w:r>
        <w:rPr>
          <w:color w:val="010202"/>
          <w:spacing w:val="-2"/>
          <w:sz w:val="22"/>
        </w:rPr>
        <w:t> </w:t>
      </w:r>
      <w:r>
        <w:rPr>
          <w:color w:val="010202"/>
          <w:sz w:val="22"/>
        </w:rPr>
        <w:t>and</w:t>
      </w:r>
      <w:r>
        <w:rPr>
          <w:color w:val="010202"/>
          <w:spacing w:val="-1"/>
          <w:sz w:val="22"/>
        </w:rPr>
        <w:t> </w:t>
      </w:r>
      <w:r>
        <w:rPr>
          <w:color w:val="010202"/>
          <w:sz w:val="22"/>
        </w:rPr>
        <w:t>private grants,</w:t>
      </w:r>
    </w:p>
    <w:p>
      <w:pPr>
        <w:pStyle w:val="BodyText"/>
        <w:spacing w:line="249" w:lineRule="auto" w:before="7"/>
        <w:ind w:left="1239" w:right="72"/>
      </w:pPr>
      <w:r>
        <w:rPr/>
        <w:pict>
          <v:group style="position:absolute;margin-left:36pt;margin-top:107.533508pt;width:252.05pt;height:342pt;mso-position-horizontal-relative:page;mso-position-vertical-relative:paragraph;z-index:15764480" id="docshapegroup137" coordorigin="720,2151" coordsize="5041,6840">
            <v:shape style="position:absolute;left:720;top:2150;width:5041;height:6840" id="docshape138" coordorigin="720,2151" coordsize="5041,6840" path="m5671,2151l810,2151,775,2158,746,2177,727,2206,720,2241,720,8901,727,8936,746,8964,775,8984,810,8991,5671,8991,5706,8984,5735,8964,5754,8936,5761,8901,5761,2241,5754,2206,5735,2177,5706,2158,5671,2151xe" filled="true" fillcolor="#f7e0e0" stroked="false">
              <v:path arrowok="t"/>
              <v:fill type="solid"/>
            </v:shape>
            <v:shape style="position:absolute;left:720;top:2150;width:5041;height:6840" type="#_x0000_t202" id="docshape139" filled="false" stroked="false">
              <v:textbox inset="0,0,0,0">
                <w:txbxContent>
                  <w:p>
                    <w:pPr>
                      <w:spacing w:line="199" w:lineRule="auto" w:before="132"/>
                      <w:ind w:left="1933" w:right="319" w:hanging="1608"/>
                      <w:jc w:val="left"/>
                      <w:rPr>
                        <w:rFonts w:ascii="Arial Black"/>
                        <w:sz w:val="24"/>
                      </w:rPr>
                    </w:pPr>
                    <w:r>
                      <w:rPr>
                        <w:rFonts w:ascii="Arial Black"/>
                        <w:color w:val="CE384B"/>
                        <w:sz w:val="24"/>
                      </w:rPr>
                      <w:t>RYAN</w:t>
                    </w:r>
                    <w:r>
                      <w:rPr>
                        <w:rFonts w:ascii="Arial Black"/>
                        <w:color w:val="CE384B"/>
                        <w:spacing w:val="-17"/>
                        <w:sz w:val="24"/>
                      </w:rPr>
                      <w:t> </w:t>
                    </w:r>
                    <w:r>
                      <w:rPr>
                        <w:rFonts w:ascii="Arial Black"/>
                        <w:color w:val="CE384B"/>
                        <w:sz w:val="24"/>
                      </w:rPr>
                      <w:t>WHITE</w:t>
                    </w:r>
                    <w:r>
                      <w:rPr>
                        <w:rFonts w:ascii="Arial Black"/>
                        <w:color w:val="CE384B"/>
                        <w:spacing w:val="-17"/>
                        <w:sz w:val="24"/>
                      </w:rPr>
                      <w:t> </w:t>
                    </w:r>
                    <w:r>
                      <w:rPr>
                        <w:rFonts w:ascii="Arial Black"/>
                        <w:color w:val="CE384B"/>
                        <w:sz w:val="24"/>
                      </w:rPr>
                      <w:t>HIV/AIDS</w:t>
                    </w:r>
                    <w:r>
                      <w:rPr>
                        <w:rFonts w:ascii="Arial Black"/>
                        <w:color w:val="CE384B"/>
                        <w:spacing w:val="-16"/>
                        <w:sz w:val="24"/>
                      </w:rPr>
                      <w:t> </w:t>
                    </w:r>
                    <w:r>
                      <w:rPr>
                        <w:rFonts w:ascii="Arial Black"/>
                        <w:color w:val="CE384B"/>
                        <w:sz w:val="24"/>
                      </w:rPr>
                      <w:t>PROGRAM</w:t>
                    </w:r>
                    <w:r>
                      <w:rPr>
                        <w:rFonts w:ascii="Arial Black"/>
                        <w:color w:val="CE384B"/>
                        <w:spacing w:val="-77"/>
                        <w:sz w:val="24"/>
                      </w:rPr>
                      <w:t> </w:t>
                    </w:r>
                    <w:r>
                      <w:rPr>
                        <w:rFonts w:ascii="Arial Black"/>
                        <w:color w:val="CE384B"/>
                        <w:sz w:val="24"/>
                      </w:rPr>
                      <w:t>(RWHAP)</w:t>
                    </w:r>
                  </w:p>
                  <w:p>
                    <w:pPr>
                      <w:numPr>
                        <w:ilvl w:val="0"/>
                        <w:numId w:val="20"/>
                      </w:numPr>
                      <w:tabs>
                        <w:tab w:pos="539" w:val="left" w:leader="none"/>
                        <w:tab w:pos="540" w:val="left" w:leader="none"/>
                      </w:tabs>
                      <w:spacing w:line="259" w:lineRule="auto" w:before="107"/>
                      <w:ind w:left="539" w:right="262" w:hanging="360"/>
                      <w:jc w:val="left"/>
                      <w:rPr>
                        <w:rFonts w:ascii="Arial" w:hAnsi="Arial"/>
                        <w:sz w:val="21"/>
                      </w:rPr>
                    </w:pPr>
                    <w:r>
                      <w:rPr>
                        <w:rFonts w:ascii="Arial" w:hAnsi="Arial"/>
                        <w:color w:val="010202"/>
                        <w:sz w:val="21"/>
                      </w:rPr>
                      <w:t>RWHAP, a federal initiative started in 1990,</w:t>
                    </w:r>
                    <w:r>
                      <w:rPr>
                        <w:rFonts w:ascii="Arial" w:hAnsi="Arial"/>
                        <w:color w:val="010202"/>
                        <w:spacing w:val="1"/>
                        <w:sz w:val="21"/>
                      </w:rPr>
                      <w:t> </w:t>
                    </w:r>
                    <w:r>
                      <w:rPr>
                        <w:rFonts w:ascii="Arial" w:hAnsi="Arial"/>
                        <w:color w:val="010202"/>
                        <w:sz w:val="21"/>
                      </w:rPr>
                      <w:t>can act as the “payer of last resort” for people</w:t>
                    </w:r>
                    <w:r>
                      <w:rPr>
                        <w:rFonts w:ascii="Arial" w:hAnsi="Arial"/>
                        <w:color w:val="010202"/>
                        <w:spacing w:val="-57"/>
                        <w:sz w:val="21"/>
                      </w:rPr>
                      <w:t> </w:t>
                    </w:r>
                    <w:r>
                      <w:rPr>
                        <w:rFonts w:ascii="Arial" w:hAnsi="Arial"/>
                        <w:color w:val="010202"/>
                        <w:sz w:val="21"/>
                      </w:rPr>
                      <w:t>with HIV, and be used to complete care for</w:t>
                    </w:r>
                    <w:r>
                      <w:rPr>
                        <w:rFonts w:ascii="Arial" w:hAnsi="Arial"/>
                        <w:color w:val="010202"/>
                        <w:spacing w:val="1"/>
                        <w:sz w:val="21"/>
                      </w:rPr>
                      <w:t> </w:t>
                    </w:r>
                    <w:r>
                      <w:rPr>
                        <w:rFonts w:ascii="Arial" w:hAnsi="Arial"/>
                        <w:color w:val="010202"/>
                        <w:sz w:val="21"/>
                      </w:rPr>
                      <w:t>uninsured and underinsured individuals (for</w:t>
                    </w:r>
                    <w:r>
                      <w:rPr>
                        <w:rFonts w:ascii="Arial" w:hAnsi="Arial"/>
                        <w:color w:val="010202"/>
                        <w:spacing w:val="1"/>
                        <w:sz w:val="21"/>
                      </w:rPr>
                      <w:t> </w:t>
                    </w:r>
                    <w:r>
                      <w:rPr>
                        <w:rFonts w:ascii="Arial" w:hAnsi="Arial"/>
                        <w:color w:val="010202"/>
                        <w:sz w:val="21"/>
                      </w:rPr>
                      <w:t>out of pocket costs, including medication</w:t>
                    </w:r>
                    <w:r>
                      <w:rPr>
                        <w:rFonts w:ascii="Arial" w:hAnsi="Arial"/>
                        <w:color w:val="010202"/>
                        <w:spacing w:val="1"/>
                        <w:sz w:val="21"/>
                      </w:rPr>
                      <w:t> </w:t>
                    </w:r>
                    <w:r>
                      <w:rPr>
                        <w:rFonts w:ascii="Arial" w:hAnsi="Arial"/>
                        <w:color w:val="010202"/>
                        <w:sz w:val="21"/>
                      </w:rPr>
                      <w:t>copays or co-insurance for office visits).</w:t>
                    </w:r>
                    <w:r>
                      <w:rPr>
                        <w:rFonts w:ascii="Arial" w:hAnsi="Arial"/>
                        <w:color w:val="010202"/>
                        <w:spacing w:val="1"/>
                        <w:sz w:val="21"/>
                      </w:rPr>
                      <w:t> </w:t>
                    </w:r>
                    <w:r>
                      <w:rPr>
                        <w:rFonts w:ascii="Arial" w:hAnsi="Arial"/>
                        <w:color w:val="010202"/>
                        <w:sz w:val="21"/>
                      </w:rPr>
                      <w:t>RWHAP</w:t>
                    </w:r>
                    <w:r>
                      <w:rPr>
                        <w:rFonts w:ascii="Arial" w:hAnsi="Arial"/>
                        <w:color w:val="010202"/>
                        <w:spacing w:val="2"/>
                        <w:sz w:val="21"/>
                      </w:rPr>
                      <w:t> </w:t>
                    </w:r>
                    <w:r>
                      <w:rPr>
                        <w:rFonts w:ascii="Arial" w:hAnsi="Arial"/>
                        <w:color w:val="010202"/>
                        <w:sz w:val="21"/>
                      </w:rPr>
                      <w:t>complements</w:t>
                    </w:r>
                    <w:r>
                      <w:rPr>
                        <w:rFonts w:ascii="Arial" w:hAnsi="Arial"/>
                        <w:color w:val="010202"/>
                        <w:spacing w:val="7"/>
                        <w:sz w:val="21"/>
                      </w:rPr>
                      <w:t> </w:t>
                    </w:r>
                    <w:r>
                      <w:rPr>
                        <w:rFonts w:ascii="Arial" w:hAnsi="Arial"/>
                        <w:color w:val="010202"/>
                        <w:sz w:val="21"/>
                      </w:rPr>
                      <w:t>and</w:t>
                    </w:r>
                    <w:r>
                      <w:rPr>
                        <w:rFonts w:ascii="Arial" w:hAnsi="Arial"/>
                        <w:color w:val="010202"/>
                        <w:spacing w:val="5"/>
                        <w:sz w:val="21"/>
                      </w:rPr>
                      <w:t> </w:t>
                    </w:r>
                    <w:r>
                      <w:rPr>
                        <w:rFonts w:ascii="Arial" w:hAnsi="Arial"/>
                        <w:color w:val="010202"/>
                        <w:sz w:val="21"/>
                      </w:rPr>
                      <w:t>supplements</w:t>
                    </w:r>
                    <w:r>
                      <w:rPr>
                        <w:rFonts w:ascii="Arial" w:hAnsi="Arial"/>
                        <w:color w:val="010202"/>
                        <w:spacing w:val="1"/>
                        <w:sz w:val="21"/>
                      </w:rPr>
                      <w:t> </w:t>
                    </w:r>
                    <w:r>
                      <w:rPr>
                        <w:rFonts w:ascii="Arial" w:hAnsi="Arial"/>
                        <w:color w:val="010202"/>
                        <w:sz w:val="21"/>
                      </w:rPr>
                      <w:t>other health programs such as Medicaid and</w:t>
                    </w:r>
                    <w:r>
                      <w:rPr>
                        <w:rFonts w:ascii="Arial" w:hAnsi="Arial"/>
                        <w:color w:val="010202"/>
                        <w:spacing w:val="1"/>
                        <w:sz w:val="21"/>
                      </w:rPr>
                      <w:t> </w:t>
                    </w:r>
                    <w:r>
                      <w:rPr>
                        <w:rFonts w:ascii="Arial" w:hAnsi="Arial"/>
                        <w:color w:val="010202"/>
                        <w:sz w:val="21"/>
                      </w:rPr>
                      <w:t>commercial</w:t>
                    </w:r>
                    <w:r>
                      <w:rPr>
                        <w:rFonts w:ascii="Arial" w:hAnsi="Arial"/>
                        <w:color w:val="010202"/>
                        <w:spacing w:val="-1"/>
                        <w:sz w:val="21"/>
                      </w:rPr>
                      <w:t> </w:t>
                    </w:r>
                    <w:r>
                      <w:rPr>
                        <w:rFonts w:ascii="Arial" w:hAnsi="Arial"/>
                        <w:color w:val="010202"/>
                        <w:sz w:val="21"/>
                      </w:rPr>
                      <w:t>health</w:t>
                    </w:r>
                    <w:r>
                      <w:rPr>
                        <w:rFonts w:ascii="Arial" w:hAnsi="Arial"/>
                        <w:color w:val="010202"/>
                        <w:spacing w:val="-2"/>
                        <w:sz w:val="21"/>
                      </w:rPr>
                      <w:t> </w:t>
                    </w:r>
                    <w:r>
                      <w:rPr>
                        <w:rFonts w:ascii="Arial" w:hAnsi="Arial"/>
                        <w:color w:val="010202"/>
                        <w:sz w:val="21"/>
                      </w:rPr>
                      <w:t>insurance.</w:t>
                    </w:r>
                  </w:p>
                  <w:p>
                    <w:pPr>
                      <w:numPr>
                        <w:ilvl w:val="0"/>
                        <w:numId w:val="20"/>
                      </w:numPr>
                      <w:tabs>
                        <w:tab w:pos="539" w:val="left" w:leader="none"/>
                        <w:tab w:pos="540" w:val="left" w:leader="none"/>
                      </w:tabs>
                      <w:spacing w:line="256" w:lineRule="auto" w:before="65"/>
                      <w:ind w:left="539" w:right="450" w:hanging="360"/>
                      <w:jc w:val="left"/>
                      <w:rPr>
                        <w:rFonts w:ascii="Arial"/>
                        <w:sz w:val="21"/>
                      </w:rPr>
                    </w:pPr>
                    <w:r>
                      <w:rPr>
                        <w:rFonts w:ascii="Arial"/>
                        <w:color w:val="010202"/>
                        <w:sz w:val="21"/>
                      </w:rPr>
                      <w:t>RWHAP plays a critical role in improving</w:t>
                    </w:r>
                    <w:r>
                      <w:rPr>
                        <w:rFonts w:ascii="Arial"/>
                        <w:color w:val="010202"/>
                        <w:spacing w:val="1"/>
                        <w:sz w:val="21"/>
                      </w:rPr>
                      <w:t> </w:t>
                    </w:r>
                    <w:r>
                      <w:rPr>
                        <w:rFonts w:ascii="Arial"/>
                        <w:color w:val="010202"/>
                        <w:sz w:val="21"/>
                      </w:rPr>
                      <w:t>health</w:t>
                    </w:r>
                    <w:r>
                      <w:rPr>
                        <w:rFonts w:ascii="Arial"/>
                        <w:color w:val="010202"/>
                        <w:spacing w:val="-6"/>
                        <w:sz w:val="21"/>
                      </w:rPr>
                      <w:t> </w:t>
                    </w:r>
                    <w:r>
                      <w:rPr>
                        <w:rFonts w:ascii="Arial"/>
                        <w:color w:val="010202"/>
                        <w:sz w:val="21"/>
                      </w:rPr>
                      <w:t>outcomes</w:t>
                    </w:r>
                    <w:r>
                      <w:rPr>
                        <w:rFonts w:ascii="Arial"/>
                        <w:color w:val="010202"/>
                        <w:spacing w:val="-5"/>
                        <w:sz w:val="21"/>
                      </w:rPr>
                      <w:t> </w:t>
                    </w:r>
                    <w:r>
                      <w:rPr>
                        <w:rFonts w:ascii="Arial"/>
                        <w:color w:val="010202"/>
                        <w:sz w:val="21"/>
                      </w:rPr>
                      <w:t>for</w:t>
                    </w:r>
                    <w:r>
                      <w:rPr>
                        <w:rFonts w:ascii="Arial"/>
                        <w:color w:val="010202"/>
                        <w:spacing w:val="-4"/>
                        <w:sz w:val="21"/>
                      </w:rPr>
                      <w:t> </w:t>
                    </w:r>
                    <w:r>
                      <w:rPr>
                        <w:rFonts w:ascii="Arial"/>
                        <w:color w:val="010202"/>
                        <w:sz w:val="21"/>
                      </w:rPr>
                      <w:t>people</w:t>
                    </w:r>
                    <w:r>
                      <w:rPr>
                        <w:rFonts w:ascii="Arial"/>
                        <w:color w:val="010202"/>
                        <w:spacing w:val="-5"/>
                        <w:sz w:val="21"/>
                      </w:rPr>
                      <w:t> </w:t>
                    </w:r>
                    <w:r>
                      <w:rPr>
                        <w:rFonts w:ascii="Arial"/>
                        <w:color w:val="010202"/>
                        <w:sz w:val="21"/>
                      </w:rPr>
                      <w:t>with</w:t>
                    </w:r>
                    <w:r>
                      <w:rPr>
                        <w:rFonts w:ascii="Arial"/>
                        <w:color w:val="010202"/>
                        <w:spacing w:val="-6"/>
                        <w:sz w:val="21"/>
                      </w:rPr>
                      <w:t> </w:t>
                    </w:r>
                    <w:r>
                      <w:rPr>
                        <w:rFonts w:ascii="Arial"/>
                        <w:color w:val="010202"/>
                        <w:sz w:val="21"/>
                      </w:rPr>
                      <w:t>HIV</w:t>
                    </w:r>
                    <w:r>
                      <w:rPr>
                        <w:rFonts w:ascii="Arial"/>
                        <w:color w:val="010202"/>
                        <w:spacing w:val="-5"/>
                        <w:sz w:val="21"/>
                      </w:rPr>
                      <w:t> </w:t>
                    </w:r>
                    <w:r>
                      <w:rPr>
                        <w:rFonts w:ascii="Arial"/>
                        <w:color w:val="010202"/>
                        <w:sz w:val="21"/>
                      </w:rPr>
                      <w:t>across</w:t>
                    </w:r>
                    <w:r>
                      <w:rPr>
                        <w:rFonts w:ascii="Arial"/>
                        <w:color w:val="010202"/>
                        <w:spacing w:val="-55"/>
                        <w:sz w:val="21"/>
                      </w:rPr>
                      <w:t> </w:t>
                    </w:r>
                    <w:r>
                      <w:rPr>
                        <w:rFonts w:ascii="Arial"/>
                        <w:color w:val="010202"/>
                        <w:sz w:val="21"/>
                      </w:rPr>
                      <w:t>the care continuum.</w:t>
                    </w:r>
                  </w:p>
                  <w:p>
                    <w:pPr>
                      <w:numPr>
                        <w:ilvl w:val="0"/>
                        <w:numId w:val="20"/>
                      </w:numPr>
                      <w:tabs>
                        <w:tab w:pos="539" w:val="left" w:leader="none"/>
                        <w:tab w:pos="540" w:val="left" w:leader="none"/>
                      </w:tabs>
                      <w:spacing w:line="256" w:lineRule="auto" w:before="78"/>
                      <w:ind w:left="539" w:right="328" w:hanging="360"/>
                      <w:jc w:val="left"/>
                      <w:rPr>
                        <w:rFonts w:ascii="Arial"/>
                        <w:sz w:val="21"/>
                      </w:rPr>
                    </w:pPr>
                    <w:r>
                      <w:rPr>
                        <w:rFonts w:ascii="Arial"/>
                        <w:color w:val="010202"/>
                        <w:sz w:val="21"/>
                      </w:rPr>
                      <w:t>This funding is only available for people with</w:t>
                    </w:r>
                    <w:r>
                      <w:rPr>
                        <w:rFonts w:ascii="Arial"/>
                        <w:color w:val="010202"/>
                        <w:spacing w:val="1"/>
                        <w:sz w:val="21"/>
                      </w:rPr>
                      <w:t> </w:t>
                    </w:r>
                    <w:r>
                      <w:rPr>
                        <w:rFonts w:ascii="Arial"/>
                        <w:color w:val="010202"/>
                        <w:sz w:val="21"/>
                      </w:rPr>
                      <w:t>HIV,</w:t>
                    </w:r>
                    <w:r>
                      <w:rPr>
                        <w:rFonts w:ascii="Arial"/>
                        <w:color w:val="010202"/>
                        <w:spacing w:val="-6"/>
                        <w:sz w:val="21"/>
                      </w:rPr>
                      <w:t> </w:t>
                    </w:r>
                    <w:r>
                      <w:rPr>
                        <w:rFonts w:ascii="Arial"/>
                        <w:color w:val="010202"/>
                        <w:sz w:val="21"/>
                      </w:rPr>
                      <w:t>leaving</w:t>
                    </w:r>
                    <w:r>
                      <w:rPr>
                        <w:rFonts w:ascii="Arial"/>
                        <w:color w:val="010202"/>
                        <w:spacing w:val="-6"/>
                        <w:sz w:val="21"/>
                      </w:rPr>
                      <w:t> </w:t>
                    </w:r>
                    <w:r>
                      <w:rPr>
                        <w:rFonts w:ascii="Arial"/>
                        <w:color w:val="010202"/>
                        <w:sz w:val="21"/>
                      </w:rPr>
                      <w:t>a</w:t>
                    </w:r>
                    <w:r>
                      <w:rPr>
                        <w:rFonts w:ascii="Arial"/>
                        <w:color w:val="010202"/>
                        <w:spacing w:val="-7"/>
                        <w:sz w:val="21"/>
                      </w:rPr>
                      <w:t> </w:t>
                    </w:r>
                    <w:r>
                      <w:rPr>
                        <w:rFonts w:ascii="Arial"/>
                        <w:color w:val="010202"/>
                        <w:sz w:val="21"/>
                      </w:rPr>
                      <w:t>gap</w:t>
                    </w:r>
                    <w:r>
                      <w:rPr>
                        <w:rFonts w:ascii="Arial"/>
                        <w:color w:val="010202"/>
                        <w:spacing w:val="-6"/>
                        <w:sz w:val="21"/>
                      </w:rPr>
                      <w:t> </w:t>
                    </w:r>
                    <w:r>
                      <w:rPr>
                        <w:rFonts w:ascii="Arial"/>
                        <w:color w:val="010202"/>
                        <w:sz w:val="21"/>
                      </w:rPr>
                      <w:t>in</w:t>
                    </w:r>
                    <w:r>
                      <w:rPr>
                        <w:rFonts w:ascii="Arial"/>
                        <w:color w:val="010202"/>
                        <w:spacing w:val="-7"/>
                        <w:sz w:val="21"/>
                      </w:rPr>
                      <w:t> </w:t>
                    </w:r>
                    <w:r>
                      <w:rPr>
                        <w:rFonts w:ascii="Arial"/>
                        <w:color w:val="010202"/>
                        <w:sz w:val="21"/>
                      </w:rPr>
                      <w:t>coverage</w:t>
                    </w:r>
                    <w:r>
                      <w:rPr>
                        <w:rFonts w:ascii="Arial"/>
                        <w:color w:val="010202"/>
                        <w:spacing w:val="-5"/>
                        <w:sz w:val="21"/>
                      </w:rPr>
                      <w:t> </w:t>
                    </w:r>
                    <w:r>
                      <w:rPr>
                        <w:rFonts w:ascii="Arial"/>
                        <w:color w:val="010202"/>
                        <w:sz w:val="21"/>
                      </w:rPr>
                      <w:t>for</w:t>
                    </w:r>
                    <w:r>
                      <w:rPr>
                        <w:rFonts w:ascii="Arial"/>
                        <w:color w:val="010202"/>
                        <w:spacing w:val="-6"/>
                        <w:sz w:val="21"/>
                      </w:rPr>
                      <w:t> </w:t>
                    </w:r>
                    <w:r>
                      <w:rPr>
                        <w:rFonts w:ascii="Arial"/>
                        <w:color w:val="010202"/>
                        <w:sz w:val="21"/>
                      </w:rPr>
                      <w:t>preventive</w:t>
                    </w:r>
                    <w:r>
                      <w:rPr>
                        <w:rFonts w:ascii="Arial"/>
                        <w:color w:val="010202"/>
                        <w:spacing w:val="-55"/>
                        <w:sz w:val="21"/>
                      </w:rPr>
                      <w:t> </w:t>
                    </w:r>
                    <w:r>
                      <w:rPr>
                        <w:rFonts w:ascii="Arial"/>
                        <w:color w:val="010202"/>
                        <w:sz w:val="21"/>
                      </w:rPr>
                      <w:t>services.</w:t>
                    </w:r>
                  </w:p>
                  <w:p>
                    <w:pPr>
                      <w:numPr>
                        <w:ilvl w:val="0"/>
                        <w:numId w:val="20"/>
                      </w:numPr>
                      <w:tabs>
                        <w:tab w:pos="539" w:val="left" w:leader="none"/>
                        <w:tab w:pos="540" w:val="left" w:leader="none"/>
                      </w:tabs>
                      <w:spacing w:line="256" w:lineRule="auto" w:before="78"/>
                      <w:ind w:left="539" w:right="204" w:hanging="360"/>
                      <w:jc w:val="left"/>
                      <w:rPr>
                        <w:rFonts w:ascii="Arial"/>
                        <w:sz w:val="21"/>
                      </w:rPr>
                    </w:pPr>
                    <w:r>
                      <w:rPr>
                        <w:rFonts w:ascii="Arial"/>
                        <w:color w:val="010202"/>
                        <w:sz w:val="21"/>
                      </w:rPr>
                      <w:t>Each year over half a million people receive at</w:t>
                    </w:r>
                    <w:r>
                      <w:rPr>
                        <w:rFonts w:ascii="Arial"/>
                        <w:color w:val="010202"/>
                        <w:spacing w:val="-57"/>
                        <w:sz w:val="21"/>
                      </w:rPr>
                      <w:t> </w:t>
                    </w:r>
                    <w:r>
                      <w:rPr>
                        <w:rFonts w:ascii="Arial"/>
                        <w:color w:val="010202"/>
                        <w:sz w:val="21"/>
                      </w:rPr>
                      <w:t>least</w:t>
                    </w:r>
                    <w:r>
                      <w:rPr>
                        <w:rFonts w:ascii="Arial"/>
                        <w:color w:val="010202"/>
                        <w:spacing w:val="-2"/>
                        <w:sz w:val="21"/>
                      </w:rPr>
                      <w:t> </w:t>
                    </w:r>
                    <w:r>
                      <w:rPr>
                        <w:rFonts w:ascii="Arial"/>
                        <w:color w:val="010202"/>
                        <w:sz w:val="21"/>
                      </w:rPr>
                      <w:t>one</w:t>
                    </w:r>
                    <w:r>
                      <w:rPr>
                        <w:rFonts w:ascii="Arial"/>
                        <w:color w:val="010202"/>
                        <w:spacing w:val="-2"/>
                        <w:sz w:val="21"/>
                      </w:rPr>
                      <w:t> </w:t>
                    </w:r>
                    <w:r>
                      <w:rPr>
                        <w:rFonts w:ascii="Arial"/>
                        <w:color w:val="010202"/>
                        <w:sz w:val="21"/>
                      </w:rPr>
                      <w:t>service</w:t>
                    </w:r>
                    <w:r>
                      <w:rPr>
                        <w:rFonts w:ascii="Arial"/>
                        <w:color w:val="010202"/>
                        <w:spacing w:val="-1"/>
                        <w:sz w:val="21"/>
                      </w:rPr>
                      <w:t> </w:t>
                    </w:r>
                    <w:r>
                      <w:rPr>
                        <w:rFonts w:ascii="Arial"/>
                        <w:color w:val="010202"/>
                        <w:sz w:val="21"/>
                      </w:rPr>
                      <w:t>under</w:t>
                    </w:r>
                    <w:r>
                      <w:rPr>
                        <w:rFonts w:ascii="Arial"/>
                        <w:color w:val="010202"/>
                        <w:spacing w:val="-2"/>
                        <w:sz w:val="21"/>
                      </w:rPr>
                      <w:t> </w:t>
                    </w:r>
                    <w:r>
                      <w:rPr>
                        <w:rFonts w:ascii="Arial"/>
                        <w:color w:val="010202"/>
                        <w:sz w:val="21"/>
                      </w:rPr>
                      <w:t>the</w:t>
                    </w:r>
                    <w:r>
                      <w:rPr>
                        <w:rFonts w:ascii="Arial"/>
                        <w:color w:val="010202"/>
                        <w:spacing w:val="-1"/>
                        <w:sz w:val="21"/>
                      </w:rPr>
                      <w:t> </w:t>
                    </w:r>
                    <w:r>
                      <w:rPr>
                        <w:rFonts w:ascii="Arial"/>
                        <w:color w:val="010202"/>
                        <w:sz w:val="21"/>
                      </w:rPr>
                      <w:t>program.</w:t>
                    </w:r>
                  </w:p>
                  <w:p>
                    <w:pPr>
                      <w:numPr>
                        <w:ilvl w:val="0"/>
                        <w:numId w:val="20"/>
                      </w:numPr>
                      <w:tabs>
                        <w:tab w:pos="539" w:val="left" w:leader="none"/>
                        <w:tab w:pos="540" w:val="left" w:leader="none"/>
                      </w:tabs>
                      <w:spacing w:line="256" w:lineRule="auto" w:before="77"/>
                      <w:ind w:left="539" w:right="386" w:hanging="360"/>
                      <w:jc w:val="left"/>
                      <w:rPr>
                        <w:rFonts w:ascii="Arial"/>
                        <w:sz w:val="12"/>
                      </w:rPr>
                    </w:pPr>
                    <w:r>
                      <w:rPr>
                        <w:rFonts w:ascii="Arial"/>
                        <w:color w:val="010202"/>
                        <w:sz w:val="21"/>
                      </w:rPr>
                      <w:t>RWHAP</w:t>
                    </w:r>
                    <w:r>
                      <w:rPr>
                        <w:rFonts w:ascii="Arial"/>
                        <w:color w:val="010202"/>
                        <w:spacing w:val="-6"/>
                        <w:sz w:val="21"/>
                      </w:rPr>
                      <w:t> </w:t>
                    </w:r>
                    <w:r>
                      <w:rPr>
                        <w:rFonts w:ascii="Arial"/>
                        <w:color w:val="010202"/>
                        <w:sz w:val="21"/>
                      </w:rPr>
                      <w:t>is</w:t>
                    </w:r>
                    <w:r>
                      <w:rPr>
                        <w:rFonts w:ascii="Arial"/>
                        <w:color w:val="010202"/>
                        <w:spacing w:val="-3"/>
                        <w:sz w:val="21"/>
                      </w:rPr>
                      <w:t> </w:t>
                    </w:r>
                    <w:r>
                      <w:rPr>
                        <w:rFonts w:ascii="Arial"/>
                        <w:color w:val="010202"/>
                        <w:sz w:val="21"/>
                      </w:rPr>
                      <w:t>the</w:t>
                    </w:r>
                    <w:r>
                      <w:rPr>
                        <w:rFonts w:ascii="Arial"/>
                        <w:color w:val="010202"/>
                        <w:spacing w:val="-1"/>
                        <w:sz w:val="21"/>
                      </w:rPr>
                      <w:t> </w:t>
                    </w:r>
                    <w:r>
                      <w:rPr>
                        <w:rFonts w:ascii="Arial"/>
                        <w:color w:val="010202"/>
                        <w:sz w:val="21"/>
                      </w:rPr>
                      <w:t>third</w:t>
                    </w:r>
                    <w:r>
                      <w:rPr>
                        <w:rFonts w:ascii="Arial"/>
                        <w:color w:val="010202"/>
                        <w:spacing w:val="-2"/>
                        <w:sz w:val="21"/>
                      </w:rPr>
                      <w:t> </w:t>
                    </w:r>
                    <w:r>
                      <w:rPr>
                        <w:rFonts w:ascii="Arial"/>
                        <w:color w:val="010202"/>
                        <w:sz w:val="21"/>
                      </w:rPr>
                      <w:t>largest</w:t>
                    </w:r>
                    <w:r>
                      <w:rPr>
                        <w:rFonts w:ascii="Arial"/>
                        <w:color w:val="010202"/>
                        <w:spacing w:val="-3"/>
                        <w:sz w:val="21"/>
                      </w:rPr>
                      <w:t> </w:t>
                    </w:r>
                    <w:r>
                      <w:rPr>
                        <w:rFonts w:ascii="Arial"/>
                        <w:color w:val="010202"/>
                        <w:sz w:val="21"/>
                      </w:rPr>
                      <w:t>source</w:t>
                    </w:r>
                    <w:r>
                      <w:rPr>
                        <w:rFonts w:ascii="Arial"/>
                        <w:color w:val="010202"/>
                        <w:spacing w:val="-1"/>
                        <w:sz w:val="21"/>
                      </w:rPr>
                      <w:t> </w:t>
                    </w:r>
                    <w:r>
                      <w:rPr>
                        <w:rFonts w:ascii="Arial"/>
                        <w:color w:val="010202"/>
                        <w:sz w:val="21"/>
                      </w:rPr>
                      <w:t>of</w:t>
                    </w:r>
                    <w:r>
                      <w:rPr>
                        <w:rFonts w:ascii="Arial"/>
                        <w:color w:val="010202"/>
                        <w:spacing w:val="-3"/>
                        <w:sz w:val="21"/>
                      </w:rPr>
                      <w:t> </w:t>
                    </w:r>
                    <w:r>
                      <w:rPr>
                        <w:rFonts w:ascii="Arial"/>
                        <w:color w:val="010202"/>
                        <w:sz w:val="21"/>
                      </w:rPr>
                      <w:t>federal</w:t>
                    </w:r>
                    <w:r>
                      <w:rPr>
                        <w:rFonts w:ascii="Arial"/>
                        <w:color w:val="010202"/>
                        <w:spacing w:val="-55"/>
                        <w:sz w:val="21"/>
                      </w:rPr>
                      <w:t> </w:t>
                    </w:r>
                    <w:r>
                      <w:rPr>
                        <w:rFonts w:ascii="Arial"/>
                        <w:color w:val="010202"/>
                        <w:sz w:val="21"/>
                      </w:rPr>
                      <w:t>funding for HIV care in the United States,</w:t>
                    </w:r>
                    <w:r>
                      <w:rPr>
                        <w:rFonts w:ascii="Arial"/>
                        <w:color w:val="010202"/>
                        <w:spacing w:val="1"/>
                        <w:sz w:val="21"/>
                      </w:rPr>
                      <w:t> </w:t>
                    </w:r>
                    <w:r>
                      <w:rPr>
                        <w:rFonts w:ascii="Arial"/>
                        <w:color w:val="010202"/>
                        <w:sz w:val="21"/>
                      </w:rPr>
                      <w:t>following Medicare and Medicaid, and was</w:t>
                    </w:r>
                    <w:r>
                      <w:rPr>
                        <w:rFonts w:ascii="Arial"/>
                        <w:color w:val="010202"/>
                        <w:spacing w:val="1"/>
                        <w:sz w:val="21"/>
                      </w:rPr>
                      <w:t> </w:t>
                    </w:r>
                    <w:r>
                      <w:rPr>
                        <w:rFonts w:ascii="Arial"/>
                        <w:color w:val="010202"/>
                        <w:sz w:val="21"/>
                      </w:rPr>
                      <w:t>funded</w:t>
                    </w:r>
                    <w:r>
                      <w:rPr>
                        <w:rFonts w:ascii="Arial"/>
                        <w:color w:val="010202"/>
                        <w:spacing w:val="-1"/>
                        <w:sz w:val="21"/>
                      </w:rPr>
                      <w:t> </w:t>
                    </w:r>
                    <w:r>
                      <w:rPr>
                        <w:rFonts w:ascii="Arial"/>
                        <w:color w:val="010202"/>
                        <w:sz w:val="21"/>
                      </w:rPr>
                      <w:t>at</w:t>
                    </w:r>
                    <w:r>
                      <w:rPr>
                        <w:rFonts w:ascii="Arial"/>
                        <w:color w:val="010202"/>
                        <w:spacing w:val="-2"/>
                        <w:sz w:val="21"/>
                      </w:rPr>
                      <w:t> </w:t>
                    </w:r>
                    <w:r>
                      <w:rPr>
                        <w:rFonts w:ascii="Arial"/>
                        <w:color w:val="010202"/>
                        <w:sz w:val="21"/>
                      </w:rPr>
                      <w:t>$2.3</w:t>
                    </w:r>
                    <w:r>
                      <w:rPr>
                        <w:rFonts w:ascii="Arial"/>
                        <w:color w:val="010202"/>
                        <w:spacing w:val="-1"/>
                        <w:sz w:val="21"/>
                      </w:rPr>
                      <w:t> </w:t>
                    </w:r>
                    <w:r>
                      <w:rPr>
                        <w:rFonts w:ascii="Arial"/>
                        <w:color w:val="010202"/>
                        <w:sz w:val="21"/>
                      </w:rPr>
                      <w:t>billion</w:t>
                    </w:r>
                    <w:r>
                      <w:rPr>
                        <w:rFonts w:ascii="Arial"/>
                        <w:color w:val="010202"/>
                        <w:spacing w:val="-2"/>
                        <w:sz w:val="21"/>
                      </w:rPr>
                      <w:t> </w:t>
                    </w:r>
                    <w:r>
                      <w:rPr>
                        <w:rFonts w:ascii="Arial"/>
                        <w:color w:val="010202"/>
                        <w:sz w:val="21"/>
                      </w:rPr>
                      <w:t>in</w:t>
                    </w:r>
                    <w:r>
                      <w:rPr>
                        <w:rFonts w:ascii="Arial"/>
                        <w:color w:val="010202"/>
                        <w:spacing w:val="-2"/>
                        <w:sz w:val="21"/>
                      </w:rPr>
                      <w:t> </w:t>
                    </w:r>
                    <w:r>
                      <w:rPr>
                        <w:rFonts w:ascii="Arial"/>
                        <w:color w:val="010202"/>
                        <w:sz w:val="21"/>
                      </w:rPr>
                      <w:t>FY</w:t>
                    </w:r>
                    <w:r>
                      <w:rPr>
                        <w:rFonts w:ascii="Arial"/>
                        <w:color w:val="010202"/>
                        <w:spacing w:val="-4"/>
                        <w:sz w:val="21"/>
                      </w:rPr>
                      <w:t> </w:t>
                    </w:r>
                    <w:r>
                      <w:rPr>
                        <w:rFonts w:ascii="Arial"/>
                        <w:color w:val="010202"/>
                        <w:sz w:val="21"/>
                      </w:rPr>
                      <w:t>2019.</w:t>
                    </w:r>
                    <w:r>
                      <w:rPr>
                        <w:rFonts w:ascii="Arial"/>
                        <w:color w:val="010202"/>
                        <w:position w:val="7"/>
                        <w:sz w:val="12"/>
                      </w:rPr>
                      <w:t>59</w:t>
                    </w:r>
                  </w:p>
                </w:txbxContent>
              </v:textbox>
              <w10:wrap type="none"/>
            </v:shape>
            <w10:wrap type="none"/>
          </v:group>
        </w:pict>
      </w:r>
      <w:r>
        <w:rPr>
          <w:color w:val="010202"/>
        </w:rPr>
        <w:t>as well as contributions from or opportu-</w:t>
      </w:r>
      <w:r>
        <w:rPr>
          <w:color w:val="010202"/>
          <w:spacing w:val="1"/>
        </w:rPr>
        <w:t> </w:t>
      </w:r>
      <w:r>
        <w:rPr>
          <w:color w:val="010202"/>
        </w:rPr>
        <w:t>nities to share costs with partners, can help</w:t>
      </w:r>
      <w:r>
        <w:rPr>
          <w:color w:val="010202"/>
          <w:spacing w:val="1"/>
        </w:rPr>
        <w:t> </w:t>
      </w:r>
      <w:r>
        <w:rPr>
          <w:color w:val="010202"/>
        </w:rPr>
        <w:t>overcome barriers to funding CM reinforc-</w:t>
      </w:r>
      <w:r>
        <w:rPr>
          <w:color w:val="010202"/>
          <w:spacing w:val="1"/>
        </w:rPr>
        <w:t> </w:t>
      </w:r>
      <w:r>
        <w:rPr>
          <w:color w:val="010202"/>
          <w:spacing w:val="-1"/>
        </w:rPr>
        <w:t>ers. SAMHSA suggests </w:t>
      </w:r>
      <w:r>
        <w:rPr>
          <w:color w:val="010202"/>
        </w:rPr>
        <w:t>soliciting donations</w:t>
      </w:r>
      <w:r>
        <w:rPr>
          <w:color w:val="010202"/>
          <w:spacing w:val="-52"/>
        </w:rPr>
        <w:t> </w:t>
      </w:r>
      <w:r>
        <w:rPr>
          <w:color w:val="010202"/>
        </w:rPr>
        <w:t>(which might prove particularly effective at</w:t>
      </w:r>
      <w:r>
        <w:rPr>
          <w:color w:val="010202"/>
          <w:spacing w:val="-52"/>
        </w:rPr>
        <w:t> </w:t>
      </w:r>
      <w:r>
        <w:rPr>
          <w:color w:val="010202"/>
        </w:rPr>
        <w:t>providing CM reinforcers) and making use</w:t>
      </w:r>
      <w:r>
        <w:rPr>
          <w:color w:val="010202"/>
          <w:spacing w:val="1"/>
        </w:rPr>
        <w:t> </w:t>
      </w:r>
      <w:r>
        <w:rPr>
          <w:color w:val="010202"/>
        </w:rPr>
        <w:t>of</w:t>
      </w:r>
      <w:r>
        <w:rPr>
          <w:color w:val="010202"/>
          <w:spacing w:val="-2"/>
        </w:rPr>
        <w:t> </w:t>
      </w:r>
      <w:r>
        <w:rPr>
          <w:color w:val="010202"/>
        </w:rPr>
        <w:t>volunteers</w:t>
      </w:r>
      <w:r>
        <w:rPr>
          <w:color w:val="010202"/>
          <w:spacing w:val="-2"/>
        </w:rPr>
        <w:t> </w:t>
      </w:r>
      <w:r>
        <w:rPr>
          <w:color w:val="010202"/>
        </w:rPr>
        <w:t>or</w:t>
      </w:r>
      <w:r>
        <w:rPr>
          <w:color w:val="010202"/>
          <w:spacing w:val="-1"/>
        </w:rPr>
        <w:t> </w:t>
      </w:r>
      <w:r>
        <w:rPr>
          <w:color w:val="010202"/>
        </w:rPr>
        <w:t>internships</w:t>
      </w:r>
      <w:r>
        <w:rPr>
          <w:color w:val="010202"/>
          <w:spacing w:val="-2"/>
        </w:rPr>
        <w:t> </w:t>
      </w:r>
      <w:r>
        <w:rPr>
          <w:color w:val="010202"/>
        </w:rPr>
        <w:t>to</w:t>
      </w:r>
      <w:r>
        <w:rPr>
          <w:color w:val="010202"/>
          <w:spacing w:val="-1"/>
        </w:rPr>
        <w:t> </w:t>
      </w:r>
      <w:r>
        <w:rPr>
          <w:color w:val="010202"/>
        </w:rPr>
        <w:t>cut</w:t>
      </w:r>
      <w:r>
        <w:rPr>
          <w:color w:val="010202"/>
          <w:spacing w:val="-2"/>
        </w:rPr>
        <w:t> </w:t>
      </w:r>
      <w:r>
        <w:rPr>
          <w:color w:val="010202"/>
        </w:rPr>
        <w:t>costs.</w:t>
      </w:r>
      <w:r>
        <w:rPr>
          <w:color w:val="010202"/>
          <w:vertAlign w:val="superscript"/>
        </w:rPr>
        <w:t>60</w:t>
      </w:r>
    </w:p>
    <w:p>
      <w:pPr>
        <w:pStyle w:val="ListParagraph"/>
        <w:numPr>
          <w:ilvl w:val="0"/>
          <w:numId w:val="21"/>
        </w:numPr>
        <w:tabs>
          <w:tab w:pos="1239" w:val="left" w:leader="none"/>
          <w:tab w:pos="1241" w:val="left" w:leader="none"/>
        </w:tabs>
        <w:spacing w:line="249" w:lineRule="auto" w:before="100" w:after="0"/>
        <w:ind w:left="1240" w:right="1342" w:hanging="360"/>
        <w:jc w:val="left"/>
        <w:rPr>
          <w:sz w:val="22"/>
        </w:rPr>
      </w:pPr>
      <w:r>
        <w:rPr>
          <w:color w:val="010202"/>
          <w:spacing w:val="-1"/>
          <w:sz w:val="22"/>
        </w:rPr>
        <w:br w:type="column"/>
      </w:r>
      <w:r>
        <w:rPr>
          <w:color w:val="010202"/>
          <w:sz w:val="22"/>
        </w:rPr>
        <w:t>How the practice aligns with federal-level</w:t>
      </w:r>
      <w:r>
        <w:rPr>
          <w:color w:val="010202"/>
          <w:spacing w:val="-53"/>
          <w:sz w:val="22"/>
        </w:rPr>
        <w:t> </w:t>
      </w:r>
      <w:r>
        <w:rPr>
          <w:color w:val="010202"/>
          <w:sz w:val="22"/>
        </w:rPr>
        <w:t>priorities and funding opportunities.</w:t>
      </w:r>
    </w:p>
    <w:p>
      <w:pPr>
        <w:pStyle w:val="ListParagraph"/>
        <w:numPr>
          <w:ilvl w:val="0"/>
          <w:numId w:val="21"/>
        </w:numPr>
        <w:tabs>
          <w:tab w:pos="1239" w:val="left" w:leader="none"/>
          <w:tab w:pos="1241" w:val="left" w:leader="none"/>
        </w:tabs>
        <w:spacing w:line="254" w:lineRule="exact" w:before="0" w:after="0"/>
        <w:ind w:left="1240" w:right="0" w:hanging="361"/>
        <w:jc w:val="left"/>
        <w:rPr>
          <w:sz w:val="22"/>
        </w:rPr>
      </w:pPr>
      <w:r>
        <w:rPr>
          <w:color w:val="010202"/>
          <w:sz w:val="22"/>
        </w:rPr>
        <w:t>The</w:t>
      </w:r>
      <w:r>
        <w:rPr>
          <w:color w:val="010202"/>
          <w:spacing w:val="-1"/>
          <w:sz w:val="22"/>
        </w:rPr>
        <w:t> </w:t>
      </w:r>
      <w:r>
        <w:rPr>
          <w:color w:val="010202"/>
          <w:sz w:val="22"/>
        </w:rPr>
        <w:t>“Ending</w:t>
      </w:r>
      <w:r>
        <w:rPr>
          <w:color w:val="010202"/>
          <w:spacing w:val="-1"/>
          <w:sz w:val="22"/>
        </w:rPr>
        <w:t> </w:t>
      </w:r>
      <w:r>
        <w:rPr>
          <w:color w:val="010202"/>
          <w:sz w:val="22"/>
        </w:rPr>
        <w:t>the HIV</w:t>
      </w:r>
      <w:r>
        <w:rPr>
          <w:color w:val="010202"/>
          <w:spacing w:val="-6"/>
          <w:sz w:val="22"/>
        </w:rPr>
        <w:t> </w:t>
      </w:r>
      <w:r>
        <w:rPr>
          <w:color w:val="010202"/>
          <w:sz w:val="22"/>
        </w:rPr>
        <w:t>Epidemic:</w:t>
      </w:r>
      <w:r>
        <w:rPr>
          <w:color w:val="010202"/>
          <w:spacing w:val="-14"/>
          <w:sz w:val="22"/>
        </w:rPr>
        <w:t> </w:t>
      </w:r>
      <w:r>
        <w:rPr>
          <w:color w:val="010202"/>
          <w:sz w:val="22"/>
        </w:rPr>
        <w:t>A</w:t>
      </w:r>
      <w:r>
        <w:rPr>
          <w:color w:val="010202"/>
          <w:spacing w:val="-13"/>
          <w:sz w:val="22"/>
        </w:rPr>
        <w:t> </w:t>
      </w:r>
      <w:r>
        <w:rPr>
          <w:color w:val="010202"/>
          <w:sz w:val="22"/>
        </w:rPr>
        <w:t>Plan</w:t>
      </w:r>
      <w:r>
        <w:rPr>
          <w:color w:val="010202"/>
          <w:spacing w:val="-2"/>
          <w:sz w:val="22"/>
        </w:rPr>
        <w:t> </w:t>
      </w:r>
      <w:r>
        <w:rPr>
          <w:color w:val="010202"/>
          <w:sz w:val="22"/>
        </w:rPr>
        <w:t>for</w:t>
      </w:r>
    </w:p>
    <w:p>
      <w:pPr>
        <w:pStyle w:val="BodyText"/>
        <w:spacing w:line="249" w:lineRule="auto" w:before="10"/>
        <w:ind w:left="1240" w:right="808"/>
      </w:pPr>
      <w:r>
        <w:rPr>
          <w:color w:val="010202"/>
        </w:rPr>
        <w:t>America” initiative allocated $716 million in</w:t>
      </w:r>
      <w:r>
        <w:rPr>
          <w:color w:val="010202"/>
          <w:spacing w:val="1"/>
        </w:rPr>
        <w:t> </w:t>
      </w:r>
      <w:r>
        <w:rPr>
          <w:color w:val="010202"/>
        </w:rPr>
        <w:t>fiscal</w:t>
      </w:r>
      <w:r>
        <w:rPr>
          <w:color w:val="010202"/>
          <w:spacing w:val="-6"/>
        </w:rPr>
        <w:t> </w:t>
      </w:r>
      <w:r>
        <w:rPr>
          <w:color w:val="010202"/>
        </w:rPr>
        <w:t>year</w:t>
      </w:r>
      <w:r>
        <w:rPr>
          <w:color w:val="010202"/>
          <w:spacing w:val="-5"/>
        </w:rPr>
        <w:t> </w:t>
      </w:r>
      <w:r>
        <w:rPr>
          <w:color w:val="010202"/>
        </w:rPr>
        <w:t>(FY)</w:t>
      </w:r>
      <w:r>
        <w:rPr>
          <w:color w:val="010202"/>
          <w:spacing w:val="-4"/>
        </w:rPr>
        <w:t> </w:t>
      </w:r>
      <w:r>
        <w:rPr>
          <w:color w:val="010202"/>
        </w:rPr>
        <w:t>2021</w:t>
      </w:r>
      <w:r>
        <w:rPr>
          <w:color w:val="010202"/>
          <w:spacing w:val="-5"/>
        </w:rPr>
        <w:t> </w:t>
      </w:r>
      <w:r>
        <w:rPr>
          <w:color w:val="010202"/>
        </w:rPr>
        <w:t>to</w:t>
      </w:r>
      <w:r>
        <w:rPr>
          <w:color w:val="010202"/>
          <w:spacing w:val="-4"/>
        </w:rPr>
        <w:t> </w:t>
      </w:r>
      <w:r>
        <w:rPr>
          <w:color w:val="010202"/>
        </w:rPr>
        <w:t>preventing,</w:t>
      </w:r>
      <w:r>
        <w:rPr>
          <w:color w:val="010202"/>
          <w:spacing w:val="-5"/>
        </w:rPr>
        <w:t> </w:t>
      </w:r>
      <w:r>
        <w:rPr>
          <w:color w:val="010202"/>
        </w:rPr>
        <w:t>diagnosing,</w:t>
      </w:r>
      <w:r>
        <w:rPr>
          <w:color w:val="010202"/>
          <w:spacing w:val="-52"/>
        </w:rPr>
        <w:t> </w:t>
      </w:r>
      <w:r>
        <w:rPr>
          <w:color w:val="010202"/>
        </w:rPr>
        <w:t>treating,</w:t>
      </w:r>
      <w:r>
        <w:rPr>
          <w:color w:val="010202"/>
          <w:spacing w:val="-2"/>
        </w:rPr>
        <w:t> </w:t>
      </w:r>
      <w:r>
        <w:rPr>
          <w:color w:val="010202"/>
        </w:rPr>
        <w:t>and</w:t>
      </w:r>
      <w:r>
        <w:rPr>
          <w:color w:val="010202"/>
          <w:spacing w:val="-2"/>
        </w:rPr>
        <w:t> </w:t>
      </w:r>
      <w:r>
        <w:rPr>
          <w:color w:val="010202"/>
        </w:rPr>
        <w:t>responding</w:t>
      </w:r>
      <w:r>
        <w:rPr>
          <w:color w:val="010202"/>
          <w:spacing w:val="-2"/>
        </w:rPr>
        <w:t> </w:t>
      </w:r>
      <w:r>
        <w:rPr>
          <w:color w:val="010202"/>
        </w:rPr>
        <w:t>to</w:t>
      </w:r>
      <w:r>
        <w:rPr>
          <w:color w:val="010202"/>
          <w:spacing w:val="-1"/>
        </w:rPr>
        <w:t> </w:t>
      </w:r>
      <w:r>
        <w:rPr>
          <w:color w:val="010202"/>
        </w:rPr>
        <w:t>HIV.</w:t>
      </w:r>
      <w:r>
        <w:rPr>
          <w:color w:val="010202"/>
          <w:vertAlign w:val="superscript"/>
        </w:rPr>
        <w:t>61</w:t>
      </w:r>
    </w:p>
    <w:p>
      <w:pPr>
        <w:pStyle w:val="ListParagraph"/>
        <w:numPr>
          <w:ilvl w:val="0"/>
          <w:numId w:val="21"/>
        </w:numPr>
        <w:tabs>
          <w:tab w:pos="1239" w:val="left" w:leader="none"/>
          <w:tab w:pos="1240" w:val="left" w:leader="none"/>
        </w:tabs>
        <w:spacing w:line="256" w:lineRule="exact" w:before="0" w:after="0"/>
        <w:ind w:left="1239" w:right="0" w:hanging="360"/>
        <w:jc w:val="left"/>
        <w:rPr>
          <w:sz w:val="22"/>
        </w:rPr>
      </w:pPr>
      <w:r>
        <w:rPr>
          <w:color w:val="010202"/>
          <w:sz w:val="22"/>
        </w:rPr>
        <w:t>Potential</w:t>
      </w:r>
      <w:r>
        <w:rPr>
          <w:color w:val="010202"/>
          <w:spacing w:val="-6"/>
          <w:sz w:val="22"/>
        </w:rPr>
        <w:t> </w:t>
      </w:r>
      <w:r>
        <w:rPr>
          <w:color w:val="010202"/>
          <w:sz w:val="22"/>
        </w:rPr>
        <w:t>insurance</w:t>
      </w:r>
      <w:r>
        <w:rPr>
          <w:color w:val="010202"/>
          <w:spacing w:val="-4"/>
          <w:sz w:val="22"/>
        </w:rPr>
        <w:t> </w:t>
      </w:r>
      <w:r>
        <w:rPr>
          <w:color w:val="010202"/>
          <w:sz w:val="22"/>
        </w:rPr>
        <w:t>reimbursement</w:t>
      </w:r>
      <w:r>
        <w:rPr>
          <w:color w:val="010202"/>
          <w:spacing w:val="-5"/>
          <w:sz w:val="22"/>
        </w:rPr>
        <w:t> </w:t>
      </w:r>
      <w:r>
        <w:rPr>
          <w:color w:val="010202"/>
          <w:sz w:val="22"/>
        </w:rPr>
        <w:t>strategies.</w:t>
      </w:r>
    </w:p>
    <w:p>
      <w:pPr>
        <w:pStyle w:val="ListParagraph"/>
        <w:numPr>
          <w:ilvl w:val="1"/>
          <w:numId w:val="21"/>
        </w:numPr>
        <w:tabs>
          <w:tab w:pos="1599" w:val="left" w:leader="none"/>
          <w:tab w:pos="1600" w:val="left" w:leader="none"/>
        </w:tabs>
        <w:spacing w:line="249" w:lineRule="auto" w:before="85" w:after="0"/>
        <w:ind w:left="1599" w:right="780" w:hanging="360"/>
        <w:jc w:val="left"/>
        <w:rPr>
          <w:sz w:val="22"/>
        </w:rPr>
      </w:pPr>
      <w:r>
        <w:rPr>
          <w:color w:val="010202"/>
          <w:sz w:val="22"/>
        </w:rPr>
        <w:t>PrEP is included in Grade A preventive in-</w:t>
      </w:r>
      <w:r>
        <w:rPr>
          <w:color w:val="010202"/>
          <w:spacing w:val="1"/>
          <w:sz w:val="22"/>
        </w:rPr>
        <w:t> </w:t>
      </w:r>
      <w:r>
        <w:rPr>
          <w:color w:val="010202"/>
          <w:sz w:val="22"/>
        </w:rPr>
        <w:t>terventions by the U.S. Preventive Services</w:t>
      </w:r>
      <w:r>
        <w:rPr>
          <w:color w:val="010202"/>
          <w:spacing w:val="1"/>
          <w:sz w:val="22"/>
        </w:rPr>
        <w:t> </w:t>
      </w:r>
      <w:r>
        <w:rPr>
          <w:color w:val="010202"/>
          <w:sz w:val="22"/>
        </w:rPr>
        <w:t>Task</w:t>
      </w:r>
      <w:r>
        <w:rPr>
          <w:color w:val="010202"/>
          <w:spacing w:val="-5"/>
          <w:sz w:val="22"/>
        </w:rPr>
        <w:t> </w:t>
      </w:r>
      <w:r>
        <w:rPr>
          <w:color w:val="010202"/>
          <w:sz w:val="22"/>
        </w:rPr>
        <w:t>Force.</w:t>
      </w:r>
      <w:r>
        <w:rPr>
          <w:color w:val="010202"/>
          <w:spacing w:val="-8"/>
          <w:sz w:val="22"/>
        </w:rPr>
        <w:t> </w:t>
      </w:r>
      <w:r>
        <w:rPr>
          <w:color w:val="010202"/>
          <w:sz w:val="22"/>
        </w:rPr>
        <w:t>Therefore,</w:t>
      </w:r>
      <w:r>
        <w:rPr>
          <w:color w:val="010202"/>
          <w:spacing w:val="-4"/>
          <w:sz w:val="22"/>
        </w:rPr>
        <w:t> </w:t>
      </w:r>
      <w:r>
        <w:rPr>
          <w:color w:val="010202"/>
          <w:sz w:val="22"/>
        </w:rPr>
        <w:t>most</w:t>
      </w:r>
      <w:r>
        <w:rPr>
          <w:color w:val="010202"/>
          <w:spacing w:val="-5"/>
          <w:sz w:val="22"/>
        </w:rPr>
        <w:t> </w:t>
      </w:r>
      <w:r>
        <w:rPr>
          <w:color w:val="010202"/>
          <w:sz w:val="22"/>
        </w:rPr>
        <w:t>insurance</w:t>
      </w:r>
      <w:r>
        <w:rPr>
          <w:color w:val="010202"/>
          <w:spacing w:val="-4"/>
          <w:sz w:val="22"/>
        </w:rPr>
        <w:t> </w:t>
      </w:r>
      <w:r>
        <w:rPr>
          <w:color w:val="010202"/>
          <w:sz w:val="22"/>
        </w:rPr>
        <w:t>plans</w:t>
      </w:r>
      <w:r>
        <w:rPr>
          <w:color w:val="010202"/>
          <w:spacing w:val="-52"/>
          <w:sz w:val="22"/>
        </w:rPr>
        <w:t> </w:t>
      </w:r>
      <w:r>
        <w:rPr>
          <w:color w:val="010202"/>
          <w:sz w:val="22"/>
        </w:rPr>
        <w:t>are required to cover prescriptions for PrEP</w:t>
      </w:r>
      <w:r>
        <w:rPr>
          <w:color w:val="010202"/>
          <w:spacing w:val="1"/>
          <w:sz w:val="22"/>
        </w:rPr>
        <w:t> </w:t>
      </w:r>
      <w:r>
        <w:rPr>
          <w:color w:val="010202"/>
          <w:sz w:val="22"/>
        </w:rPr>
        <w:t>at no cost to the client. However, the task</w:t>
      </w:r>
      <w:r>
        <w:rPr>
          <w:color w:val="010202"/>
          <w:spacing w:val="1"/>
          <w:sz w:val="22"/>
        </w:rPr>
        <w:t> </w:t>
      </w:r>
      <w:r>
        <w:rPr>
          <w:color w:val="010202"/>
          <w:sz w:val="22"/>
        </w:rPr>
        <w:t>force recommendation does not extend to</w:t>
      </w:r>
      <w:r>
        <w:rPr>
          <w:color w:val="010202"/>
          <w:spacing w:val="1"/>
          <w:sz w:val="22"/>
        </w:rPr>
        <w:t> </w:t>
      </w:r>
      <w:r>
        <w:rPr>
          <w:color w:val="010202"/>
          <w:sz w:val="22"/>
        </w:rPr>
        <w:t>lab</w:t>
      </w:r>
      <w:r>
        <w:rPr>
          <w:color w:val="010202"/>
          <w:spacing w:val="-2"/>
          <w:sz w:val="22"/>
        </w:rPr>
        <w:t> </w:t>
      </w:r>
      <w:r>
        <w:rPr>
          <w:color w:val="010202"/>
          <w:sz w:val="22"/>
        </w:rPr>
        <w:t>tests</w:t>
      </w:r>
      <w:r>
        <w:rPr>
          <w:color w:val="010202"/>
          <w:spacing w:val="-1"/>
          <w:sz w:val="22"/>
        </w:rPr>
        <w:t> </w:t>
      </w:r>
      <w:r>
        <w:rPr>
          <w:color w:val="010202"/>
          <w:sz w:val="22"/>
        </w:rPr>
        <w:t>or</w:t>
      </w:r>
      <w:r>
        <w:rPr>
          <w:color w:val="010202"/>
          <w:spacing w:val="-1"/>
          <w:sz w:val="22"/>
        </w:rPr>
        <w:t> </w:t>
      </w:r>
      <w:r>
        <w:rPr>
          <w:color w:val="010202"/>
          <w:sz w:val="22"/>
        </w:rPr>
        <w:t>other</w:t>
      </w:r>
      <w:r>
        <w:rPr>
          <w:color w:val="010202"/>
          <w:spacing w:val="-1"/>
          <w:sz w:val="22"/>
        </w:rPr>
        <w:t> </w:t>
      </w:r>
      <w:r>
        <w:rPr>
          <w:color w:val="010202"/>
          <w:sz w:val="22"/>
        </w:rPr>
        <w:t>clinical</w:t>
      </w:r>
      <w:r>
        <w:rPr>
          <w:color w:val="010202"/>
          <w:spacing w:val="-1"/>
          <w:sz w:val="22"/>
        </w:rPr>
        <w:t> </w:t>
      </w:r>
      <w:r>
        <w:rPr>
          <w:color w:val="010202"/>
          <w:sz w:val="22"/>
        </w:rPr>
        <w:t>services.</w:t>
      </w:r>
      <w:r>
        <w:rPr>
          <w:color w:val="010202"/>
          <w:sz w:val="22"/>
          <w:vertAlign w:val="superscript"/>
        </w:rPr>
        <w:t>62</w:t>
      </w:r>
    </w:p>
    <w:p>
      <w:pPr>
        <w:pStyle w:val="BodyText"/>
        <w:spacing w:line="256" w:lineRule="auto" w:before="21"/>
        <w:ind w:left="1600" w:right="1118" w:hanging="360"/>
      </w:pPr>
      <w:r>
        <w:rPr>
          <w:rFonts w:ascii="Courier New"/>
          <w:color w:val="0E0F0F"/>
        </w:rPr>
        <w:t>o</w:t>
      </w:r>
      <w:r>
        <w:rPr>
          <w:rFonts w:ascii="Courier New"/>
          <w:color w:val="0E0F0F"/>
          <w:spacing w:val="1"/>
        </w:rPr>
        <w:t> </w:t>
      </w:r>
      <w:r>
        <w:rPr>
          <w:color w:val="231F20"/>
        </w:rPr>
        <w:t>The Centers for Medicare &amp; Medicaid</w:t>
      </w:r>
      <w:r>
        <w:rPr>
          <w:color w:val="231F20"/>
          <w:spacing w:val="1"/>
        </w:rPr>
        <w:t> </w:t>
      </w:r>
      <w:r>
        <w:rPr>
          <w:color w:val="231F20"/>
          <w:spacing w:val="-1"/>
        </w:rPr>
        <w:t>Services</w:t>
      </w:r>
      <w:r>
        <w:rPr>
          <w:color w:val="231F20"/>
          <w:spacing w:val="-12"/>
        </w:rPr>
        <w:t> </w:t>
      </w:r>
      <w:r>
        <w:rPr>
          <w:color w:val="231F20"/>
          <w:spacing w:val="-1"/>
        </w:rPr>
        <w:t>offer</w:t>
      </w:r>
      <w:r>
        <w:rPr>
          <w:color w:val="231F20"/>
          <w:spacing w:val="-12"/>
        </w:rPr>
        <w:t> </w:t>
      </w:r>
      <w:r>
        <w:rPr>
          <w:color w:val="231F20"/>
          <w:spacing w:val="-1"/>
        </w:rPr>
        <w:t>grant</w:t>
      </w:r>
      <w:r>
        <w:rPr>
          <w:color w:val="231F20"/>
          <w:spacing w:val="-11"/>
        </w:rPr>
        <w:t> </w:t>
      </w:r>
      <w:r>
        <w:rPr>
          <w:color w:val="231F20"/>
          <w:spacing w:val="-1"/>
        </w:rPr>
        <w:t>funding</w:t>
      </w:r>
      <w:r>
        <w:rPr>
          <w:color w:val="231F20"/>
          <w:spacing w:val="-11"/>
        </w:rPr>
        <w:t> </w:t>
      </w:r>
      <w:r>
        <w:rPr>
          <w:color w:val="231F20"/>
          <w:spacing w:val="-1"/>
        </w:rPr>
        <w:t>to</w:t>
      </w:r>
      <w:r>
        <w:rPr>
          <w:color w:val="231F20"/>
          <w:spacing w:val="-11"/>
        </w:rPr>
        <w:t> </w:t>
      </w:r>
      <w:r>
        <w:rPr>
          <w:color w:val="231F20"/>
          <w:spacing w:val="-1"/>
        </w:rPr>
        <w:t>reimburse</w:t>
      </w:r>
      <w:r>
        <w:rPr>
          <w:color w:val="231F20"/>
          <w:spacing w:val="-52"/>
        </w:rPr>
        <w:t> </w:t>
      </w:r>
      <w:r>
        <w:rPr>
          <w:color w:val="231F20"/>
        </w:rPr>
        <w:t>patient</w:t>
      </w:r>
      <w:r>
        <w:rPr>
          <w:color w:val="231F20"/>
          <w:spacing w:val="-6"/>
        </w:rPr>
        <w:t> </w:t>
      </w:r>
      <w:r>
        <w:rPr>
          <w:color w:val="231F20"/>
        </w:rPr>
        <w:t>navigators.</w:t>
      </w:r>
      <w:r>
        <w:rPr>
          <w:color w:val="231F20"/>
          <w:vertAlign w:val="superscript"/>
        </w:rPr>
        <w:t>63</w:t>
      </w:r>
    </w:p>
    <w:p>
      <w:pPr>
        <w:pStyle w:val="ListParagraph"/>
        <w:numPr>
          <w:ilvl w:val="0"/>
          <w:numId w:val="21"/>
        </w:numPr>
        <w:tabs>
          <w:tab w:pos="1239" w:val="left" w:leader="none"/>
          <w:tab w:pos="1241" w:val="left" w:leader="none"/>
        </w:tabs>
        <w:spacing w:line="249" w:lineRule="auto" w:before="67" w:after="0"/>
        <w:ind w:left="1240" w:right="736" w:hanging="360"/>
        <w:jc w:val="left"/>
        <w:rPr>
          <w:sz w:val="22"/>
        </w:rPr>
      </w:pPr>
      <w:r>
        <w:rPr>
          <w:color w:val="010202"/>
          <w:sz w:val="22"/>
        </w:rPr>
        <w:t>Opportunities to expand the types of trained</w:t>
      </w:r>
      <w:r>
        <w:rPr>
          <w:color w:val="010202"/>
          <w:spacing w:val="1"/>
          <w:sz w:val="22"/>
        </w:rPr>
        <w:t> </w:t>
      </w:r>
      <w:r>
        <w:rPr>
          <w:color w:val="010202"/>
          <w:sz w:val="22"/>
        </w:rPr>
        <w:t>facilitators leading behavioral health</w:t>
      </w:r>
      <w:r>
        <w:rPr>
          <w:color w:val="010202"/>
          <w:spacing w:val="1"/>
          <w:sz w:val="22"/>
        </w:rPr>
        <w:t> </w:t>
      </w:r>
      <w:r>
        <w:rPr>
          <w:color w:val="010202"/>
          <w:sz w:val="22"/>
        </w:rPr>
        <w:t>interventions, such as CBT and CM. Tapping</w:t>
      </w:r>
      <w:r>
        <w:rPr>
          <w:color w:val="010202"/>
          <w:spacing w:val="1"/>
          <w:sz w:val="22"/>
        </w:rPr>
        <w:t> </w:t>
      </w:r>
      <w:r>
        <w:rPr>
          <w:color w:val="010202"/>
          <w:sz w:val="22"/>
        </w:rPr>
        <w:t>graduate students and psychology or social work</w:t>
      </w:r>
      <w:r>
        <w:rPr>
          <w:color w:val="010202"/>
          <w:spacing w:val="-52"/>
          <w:sz w:val="22"/>
        </w:rPr>
        <w:t> </w:t>
      </w:r>
      <w:r>
        <w:rPr>
          <w:color w:val="010202"/>
          <w:sz w:val="22"/>
        </w:rPr>
        <w:t>interns to facilitate these programs under clinical</w:t>
      </w:r>
      <w:r>
        <w:rPr>
          <w:color w:val="010202"/>
          <w:spacing w:val="-52"/>
          <w:sz w:val="22"/>
        </w:rPr>
        <w:t> </w:t>
      </w:r>
      <w:r>
        <w:rPr>
          <w:color w:val="010202"/>
          <w:sz w:val="22"/>
        </w:rPr>
        <w:t>supervision can offset program costs as these</w:t>
      </w:r>
      <w:r>
        <w:rPr>
          <w:color w:val="010202"/>
          <w:spacing w:val="1"/>
          <w:sz w:val="22"/>
        </w:rPr>
        <w:t> </w:t>
      </w:r>
      <w:r>
        <w:rPr>
          <w:color w:val="010202"/>
          <w:sz w:val="22"/>
        </w:rPr>
        <w:t>practitioners</w:t>
      </w:r>
      <w:r>
        <w:rPr>
          <w:color w:val="010202"/>
          <w:spacing w:val="-2"/>
          <w:sz w:val="22"/>
        </w:rPr>
        <w:t> </w:t>
      </w:r>
      <w:r>
        <w:rPr>
          <w:color w:val="010202"/>
          <w:sz w:val="22"/>
        </w:rPr>
        <w:t>are</w:t>
      </w:r>
      <w:r>
        <w:rPr>
          <w:color w:val="010202"/>
          <w:spacing w:val="-2"/>
          <w:sz w:val="22"/>
        </w:rPr>
        <w:t> </w:t>
      </w:r>
      <w:r>
        <w:rPr>
          <w:color w:val="010202"/>
          <w:sz w:val="22"/>
        </w:rPr>
        <w:t>generally</w:t>
      </w:r>
      <w:r>
        <w:rPr>
          <w:color w:val="010202"/>
          <w:spacing w:val="-1"/>
          <w:sz w:val="22"/>
        </w:rPr>
        <w:t> </w:t>
      </w:r>
      <w:r>
        <w:rPr>
          <w:color w:val="010202"/>
          <w:sz w:val="22"/>
        </w:rPr>
        <w:t>not</w:t>
      </w:r>
      <w:r>
        <w:rPr>
          <w:color w:val="010202"/>
          <w:spacing w:val="-2"/>
          <w:sz w:val="22"/>
        </w:rPr>
        <w:t> </w:t>
      </w:r>
      <w:r>
        <w:rPr>
          <w:color w:val="010202"/>
          <w:sz w:val="22"/>
        </w:rPr>
        <w:t>paid.</w:t>
      </w:r>
      <w:r>
        <w:rPr>
          <w:color w:val="010202"/>
          <w:sz w:val="22"/>
          <w:vertAlign w:val="superscript"/>
        </w:rPr>
        <w:t>64-65</w:t>
      </w:r>
    </w:p>
    <w:p>
      <w:pPr>
        <w:spacing w:after="0" w:line="249" w:lineRule="auto"/>
        <w:jc w:val="left"/>
        <w:rPr>
          <w:sz w:val="22"/>
        </w:rPr>
        <w:sectPr>
          <w:type w:val="continuous"/>
          <w:pgSz w:w="12240" w:h="15840"/>
          <w:pgMar w:header="0" w:footer="666" w:top="1500" w:bottom="0" w:left="560" w:right="0"/>
          <w:cols w:num="2" w:equalWidth="0">
            <w:col w:w="5179" w:space="221"/>
            <w:col w:w="6280"/>
          </w:cols>
        </w:sectPr>
      </w:pPr>
    </w:p>
    <w:p>
      <w:pPr>
        <w:pStyle w:val="BodyText"/>
        <w:rPr>
          <w:sz w:val="20"/>
        </w:rPr>
      </w:pPr>
    </w:p>
    <w:p>
      <w:pPr>
        <w:pStyle w:val="BodyText"/>
        <w:spacing w:before="7"/>
        <w:rPr>
          <w:sz w:val="12"/>
        </w:rPr>
      </w:pPr>
    </w:p>
    <w:p>
      <w:pPr>
        <w:pStyle w:val="BodyText"/>
        <w:ind w:left="5919"/>
        <w:rPr>
          <w:sz w:val="20"/>
        </w:rPr>
      </w:pPr>
      <w:r>
        <w:rPr>
          <w:sz w:val="20"/>
        </w:rPr>
        <w:pict>
          <v:group style="width:252.05pt;height:151pt;mso-position-horizontal-relative:char;mso-position-vertical-relative:line" id="docshapegroup140" coordorigin="0,0" coordsize="5041,3020">
            <v:shape style="position:absolute;left:0;top:0;width:5041;height:3020" id="docshape141" coordorigin="0,0" coordsize="5041,3020" path="m4951,0l90,0,55,7,26,26,7,55,0,90,0,2929,7,2964,26,2993,55,3012,90,3019,4951,3019,4986,3012,5015,2993,5034,2964,5041,2929,5041,90,5034,55,5015,26,4986,7,4951,0xe" filled="true" fillcolor="#f7e0e0" stroked="false">
              <v:path arrowok="t"/>
              <v:fill type="solid"/>
            </v:shape>
            <v:shape style="position:absolute;left:0;top:0;width:5041;height:3020" type="#_x0000_t202" id="docshape142" filled="false" stroked="false">
              <v:textbox inset="0,0,0,0">
                <w:txbxContent>
                  <w:p>
                    <w:pPr>
                      <w:spacing w:line="199" w:lineRule="auto" w:before="132"/>
                      <w:ind w:left="1969" w:right="427" w:hanging="1523"/>
                      <w:jc w:val="left"/>
                      <w:rPr>
                        <w:rFonts w:ascii="Arial Black"/>
                        <w:sz w:val="24"/>
                      </w:rPr>
                    </w:pPr>
                    <w:r>
                      <w:rPr>
                        <w:rFonts w:ascii="Arial Black"/>
                        <w:color w:val="CE384B"/>
                        <w:sz w:val="24"/>
                      </w:rPr>
                      <w:t>Special Funding Considerations</w:t>
                    </w:r>
                    <w:r>
                      <w:rPr>
                        <w:rFonts w:ascii="Arial Black"/>
                        <w:color w:val="CE384B"/>
                        <w:spacing w:val="-78"/>
                        <w:sz w:val="24"/>
                      </w:rPr>
                      <w:t> </w:t>
                    </w:r>
                    <w:r>
                      <w:rPr>
                        <w:rFonts w:ascii="Arial Black"/>
                        <w:color w:val="CE384B"/>
                        <w:sz w:val="24"/>
                      </w:rPr>
                      <w:t>for</w:t>
                    </w:r>
                    <w:r>
                      <w:rPr>
                        <w:rFonts w:ascii="Arial Black"/>
                        <w:color w:val="CE384B"/>
                        <w:spacing w:val="-2"/>
                        <w:sz w:val="24"/>
                      </w:rPr>
                      <w:t> </w:t>
                    </w:r>
                    <w:r>
                      <w:rPr>
                        <w:rFonts w:ascii="Arial Black"/>
                        <w:color w:val="CE384B"/>
                        <w:sz w:val="24"/>
                      </w:rPr>
                      <w:t>SSPs</w:t>
                    </w:r>
                  </w:p>
                  <w:p>
                    <w:pPr>
                      <w:spacing w:line="259" w:lineRule="auto" w:before="121"/>
                      <w:ind w:left="179" w:right="262" w:firstLine="0"/>
                      <w:jc w:val="left"/>
                      <w:rPr>
                        <w:sz w:val="12"/>
                      </w:rPr>
                    </w:pPr>
                    <w:r>
                      <w:rPr>
                        <w:rFonts w:ascii="Arial"/>
                        <w:color w:val="010202"/>
                        <w:sz w:val="21"/>
                      </w:rPr>
                      <w:t>The Consolidated Appropriations Act of 2016</w:t>
                    </w:r>
                    <w:r>
                      <w:rPr>
                        <w:rFonts w:ascii="Arial"/>
                        <w:color w:val="010202"/>
                        <w:spacing w:val="1"/>
                        <w:sz w:val="21"/>
                      </w:rPr>
                      <w:t> </w:t>
                    </w:r>
                    <w:r>
                      <w:rPr>
                        <w:rFonts w:ascii="Arial"/>
                        <w:color w:val="010202"/>
                        <w:sz w:val="21"/>
                      </w:rPr>
                      <w:t>allows</w:t>
                    </w:r>
                    <w:r>
                      <w:rPr>
                        <w:rFonts w:ascii="Arial"/>
                        <w:color w:val="010202"/>
                        <w:spacing w:val="-5"/>
                        <w:sz w:val="21"/>
                      </w:rPr>
                      <w:t> </w:t>
                    </w:r>
                    <w:r>
                      <w:rPr>
                        <w:rFonts w:ascii="Arial"/>
                        <w:color w:val="010202"/>
                        <w:sz w:val="21"/>
                      </w:rPr>
                      <w:t>the</w:t>
                    </w:r>
                    <w:r>
                      <w:rPr>
                        <w:rFonts w:ascii="Arial"/>
                        <w:color w:val="010202"/>
                        <w:spacing w:val="-4"/>
                        <w:sz w:val="21"/>
                      </w:rPr>
                      <w:t> </w:t>
                    </w:r>
                    <w:r>
                      <w:rPr>
                        <w:rFonts w:ascii="Arial"/>
                        <w:color w:val="010202"/>
                        <w:sz w:val="21"/>
                      </w:rPr>
                      <w:t>U.S.</w:t>
                    </w:r>
                    <w:r>
                      <w:rPr>
                        <w:rFonts w:ascii="Arial"/>
                        <w:color w:val="010202"/>
                        <w:spacing w:val="-5"/>
                        <w:sz w:val="21"/>
                      </w:rPr>
                      <w:t> </w:t>
                    </w:r>
                    <w:r>
                      <w:rPr>
                        <w:rFonts w:ascii="Arial"/>
                        <w:color w:val="010202"/>
                        <w:sz w:val="21"/>
                      </w:rPr>
                      <w:t>Department</w:t>
                    </w:r>
                    <w:r>
                      <w:rPr>
                        <w:rFonts w:ascii="Arial"/>
                        <w:color w:val="010202"/>
                        <w:spacing w:val="-5"/>
                        <w:sz w:val="21"/>
                      </w:rPr>
                      <w:t> </w:t>
                    </w:r>
                    <w:r>
                      <w:rPr>
                        <w:rFonts w:ascii="Arial"/>
                        <w:color w:val="010202"/>
                        <w:sz w:val="21"/>
                      </w:rPr>
                      <w:t>of</w:t>
                    </w:r>
                    <w:r>
                      <w:rPr>
                        <w:rFonts w:ascii="Arial"/>
                        <w:color w:val="010202"/>
                        <w:spacing w:val="-5"/>
                        <w:sz w:val="21"/>
                      </w:rPr>
                      <w:t> </w:t>
                    </w:r>
                    <w:r>
                      <w:rPr>
                        <w:rFonts w:ascii="Arial"/>
                        <w:color w:val="010202"/>
                        <w:sz w:val="21"/>
                      </w:rPr>
                      <w:t>Health</w:t>
                    </w:r>
                    <w:r>
                      <w:rPr>
                        <w:rFonts w:ascii="Arial"/>
                        <w:color w:val="010202"/>
                        <w:spacing w:val="-5"/>
                        <w:sz w:val="21"/>
                      </w:rPr>
                      <w:t> </w:t>
                    </w:r>
                    <w:r>
                      <w:rPr>
                        <w:rFonts w:ascii="Arial"/>
                        <w:color w:val="010202"/>
                        <w:sz w:val="21"/>
                      </w:rPr>
                      <w:t>and</w:t>
                    </w:r>
                    <w:r>
                      <w:rPr>
                        <w:rFonts w:ascii="Arial"/>
                        <w:color w:val="010202"/>
                        <w:spacing w:val="-5"/>
                        <w:sz w:val="21"/>
                      </w:rPr>
                      <w:t> </w:t>
                    </w:r>
                    <w:r>
                      <w:rPr>
                        <w:rFonts w:ascii="Arial"/>
                        <w:color w:val="010202"/>
                        <w:sz w:val="21"/>
                      </w:rPr>
                      <w:t>Human</w:t>
                    </w:r>
                    <w:r>
                      <w:rPr>
                        <w:rFonts w:ascii="Arial"/>
                        <w:color w:val="010202"/>
                        <w:spacing w:val="-56"/>
                        <w:sz w:val="21"/>
                      </w:rPr>
                      <w:t> </w:t>
                    </w:r>
                    <w:r>
                      <w:rPr>
                        <w:rFonts w:ascii="Arial"/>
                        <w:color w:val="010202"/>
                        <w:sz w:val="21"/>
                      </w:rPr>
                      <w:t>Services to fund SSP education and program</w:t>
                    </w:r>
                    <w:r>
                      <w:rPr>
                        <w:rFonts w:ascii="Arial"/>
                        <w:color w:val="010202"/>
                        <w:spacing w:val="1"/>
                        <w:sz w:val="21"/>
                      </w:rPr>
                      <w:t> </w:t>
                    </w:r>
                    <w:r>
                      <w:rPr>
                        <w:rFonts w:ascii="Arial"/>
                        <w:color w:val="010202"/>
                        <w:sz w:val="21"/>
                      </w:rPr>
                      <w:t>evaluation.</w:t>
                    </w:r>
                    <w:r>
                      <w:rPr>
                        <w:color w:val="010202"/>
                        <w:position w:val="7"/>
                        <w:sz w:val="12"/>
                      </w:rPr>
                      <w:t>66</w:t>
                    </w:r>
                    <w:r>
                      <w:rPr>
                        <w:color w:val="010202"/>
                        <w:spacing w:val="1"/>
                        <w:position w:val="7"/>
                        <w:sz w:val="12"/>
                      </w:rPr>
                      <w:t> </w:t>
                    </w:r>
                    <w:r>
                      <w:rPr>
                        <w:rFonts w:ascii="Arial"/>
                        <w:color w:val="010202"/>
                        <w:sz w:val="21"/>
                      </w:rPr>
                      <w:t>Importantly, this legislation, as well</w:t>
                    </w:r>
                    <w:r>
                      <w:rPr>
                        <w:rFonts w:ascii="Arial"/>
                        <w:color w:val="010202"/>
                        <w:spacing w:val="1"/>
                        <w:sz w:val="21"/>
                      </w:rPr>
                      <w:t> </w:t>
                    </w:r>
                    <w:r>
                      <w:rPr>
                        <w:rFonts w:ascii="Arial"/>
                        <w:color w:val="010202"/>
                        <w:sz w:val="21"/>
                      </w:rPr>
                      <w:t>as</w:t>
                    </w:r>
                    <w:r>
                      <w:rPr>
                        <w:rFonts w:ascii="Arial"/>
                        <w:color w:val="010202"/>
                        <w:spacing w:val="15"/>
                        <w:sz w:val="21"/>
                      </w:rPr>
                      <w:t> </w:t>
                    </w:r>
                    <w:r>
                      <w:rPr>
                        <w:rFonts w:ascii="Arial"/>
                        <w:color w:val="010202"/>
                        <w:sz w:val="21"/>
                      </w:rPr>
                      <w:t>subsequent</w:t>
                    </w:r>
                    <w:r>
                      <w:rPr>
                        <w:rFonts w:ascii="Arial"/>
                        <w:color w:val="010202"/>
                        <w:spacing w:val="16"/>
                        <w:sz w:val="21"/>
                      </w:rPr>
                      <w:t> </w:t>
                    </w:r>
                    <w:r>
                      <w:rPr>
                        <w:rFonts w:ascii="Arial"/>
                        <w:color w:val="010202"/>
                        <w:sz w:val="21"/>
                      </w:rPr>
                      <w:t>congressional</w:t>
                    </w:r>
                    <w:r>
                      <w:rPr>
                        <w:rFonts w:ascii="Arial"/>
                        <w:color w:val="010202"/>
                        <w:spacing w:val="16"/>
                        <w:sz w:val="21"/>
                      </w:rPr>
                      <w:t> </w:t>
                    </w:r>
                    <w:r>
                      <w:rPr>
                        <w:rFonts w:ascii="Arial"/>
                        <w:color w:val="010202"/>
                        <w:sz w:val="21"/>
                      </w:rPr>
                      <w:t>appropriations</w:t>
                    </w:r>
                    <w:r>
                      <w:rPr>
                        <w:rFonts w:ascii="Arial"/>
                        <w:color w:val="010202"/>
                        <w:spacing w:val="1"/>
                        <w:sz w:val="21"/>
                      </w:rPr>
                      <w:t> </w:t>
                    </w:r>
                    <w:r>
                      <w:rPr>
                        <w:rFonts w:ascii="Arial"/>
                        <w:color w:val="010202"/>
                        <w:sz w:val="21"/>
                      </w:rPr>
                      <w:t>acts, states that federal funds cannot be used to</w:t>
                    </w:r>
                    <w:r>
                      <w:rPr>
                        <w:rFonts w:ascii="Arial"/>
                        <w:color w:val="010202"/>
                        <w:spacing w:val="1"/>
                        <w:sz w:val="21"/>
                      </w:rPr>
                      <w:t> </w:t>
                    </w:r>
                    <w:r>
                      <w:rPr>
                        <w:rFonts w:ascii="Arial"/>
                        <w:color w:val="010202"/>
                        <w:sz w:val="21"/>
                      </w:rPr>
                      <w:t>purchase</w:t>
                    </w:r>
                    <w:r>
                      <w:rPr>
                        <w:rFonts w:ascii="Arial"/>
                        <w:color w:val="010202"/>
                        <w:spacing w:val="-2"/>
                        <w:sz w:val="21"/>
                      </w:rPr>
                      <w:t> </w:t>
                    </w:r>
                    <w:r>
                      <w:rPr>
                        <w:rFonts w:ascii="Arial"/>
                        <w:color w:val="010202"/>
                        <w:sz w:val="21"/>
                      </w:rPr>
                      <w:t>needles</w:t>
                    </w:r>
                    <w:r>
                      <w:rPr>
                        <w:rFonts w:ascii="Arial"/>
                        <w:color w:val="010202"/>
                        <w:spacing w:val="-1"/>
                        <w:sz w:val="21"/>
                      </w:rPr>
                      <w:t> </w:t>
                    </w:r>
                    <w:r>
                      <w:rPr>
                        <w:rFonts w:ascii="Arial"/>
                        <w:color w:val="010202"/>
                        <w:sz w:val="21"/>
                      </w:rPr>
                      <w:t>or</w:t>
                    </w:r>
                    <w:r>
                      <w:rPr>
                        <w:rFonts w:ascii="Arial"/>
                        <w:color w:val="010202"/>
                        <w:spacing w:val="-1"/>
                        <w:sz w:val="21"/>
                      </w:rPr>
                      <w:t> </w:t>
                    </w:r>
                    <w:r>
                      <w:rPr>
                        <w:rFonts w:ascii="Arial"/>
                        <w:color w:val="010202"/>
                        <w:sz w:val="21"/>
                      </w:rPr>
                      <w:t>syringes.</w:t>
                    </w:r>
                    <w:r>
                      <w:rPr>
                        <w:color w:val="010202"/>
                        <w:position w:val="7"/>
                        <w:sz w:val="12"/>
                      </w:rPr>
                      <w:t>67-68</w:t>
                    </w:r>
                  </w:p>
                </w:txbxContent>
              </v:textbox>
              <w10:wrap type="none"/>
            </v:shape>
          </v:group>
        </w:pict>
      </w:r>
      <w:r>
        <w:rPr>
          <w:sz w:val="20"/>
        </w:rPr>
      </w:r>
    </w:p>
    <w:p>
      <w:pPr>
        <w:spacing w:after="0"/>
        <w:rPr>
          <w:sz w:val="20"/>
        </w:rPr>
        <w:sectPr>
          <w:type w:val="continuous"/>
          <w:pgSz w:w="12240" w:h="15840"/>
          <w:pgMar w:header="0" w:footer="666" w:top="1500" w:bottom="0" w:left="560" w:right="0"/>
        </w:sectPr>
      </w:pPr>
    </w:p>
    <w:p>
      <w:pPr>
        <w:pStyle w:val="Heading2"/>
        <w:spacing w:before="85"/>
      </w:pPr>
      <w:r>
        <w:rPr/>
        <w:pict>
          <v:group style="position:absolute;margin-left:0pt;margin-top:0pt;width:612pt;height:738pt;mso-position-horizontal-relative:page;mso-position-vertical-relative:page;z-index:-18127872" id="docshapegroup146" coordorigin="0,0" coordsize="12240,14760">
            <v:rect style="position:absolute;left:0;top:0;width:12240;height:394" id="docshape147" filled="true" fillcolor="#1d384a" stroked="false">
              <v:fill type="solid"/>
            </v:rect>
            <v:shape style="position:absolute;left:6480;top:393;width:5760;height:14367" type="#_x0000_t75" id="docshape148" stroked="false">
              <v:imagedata r:id="rId245" o:title=""/>
            </v:shape>
            <w10:wrap type="none"/>
          </v:group>
        </w:pict>
      </w:r>
      <w:bookmarkStart w:name="Practice Resources" w:id="98"/>
      <w:bookmarkEnd w:id="98"/>
      <w:r>
        <w:rPr/>
      </w:r>
      <w:bookmarkStart w:name="Practices to Increase Uptake of and Impr" w:id="99"/>
      <w:bookmarkEnd w:id="99"/>
      <w:r>
        <w:rPr/>
      </w:r>
      <w:bookmarkStart w:name="Syringe Services Programs (SSPs)" w:id="100"/>
      <w:bookmarkEnd w:id="100"/>
      <w:r>
        <w:rPr/>
      </w:r>
      <w:r>
        <w:rPr>
          <w:color w:val="1C384B"/>
        </w:rPr>
        <w:t>Practice</w:t>
      </w:r>
      <w:r>
        <w:rPr>
          <w:color w:val="1C384B"/>
          <w:spacing w:val="-1"/>
        </w:rPr>
        <w:t> </w:t>
      </w:r>
      <w:r>
        <w:rPr>
          <w:color w:val="1C384B"/>
        </w:rPr>
        <w:t>Resources</w:t>
      </w:r>
    </w:p>
    <w:p>
      <w:pPr>
        <w:pStyle w:val="Heading6"/>
        <w:spacing w:line="228" w:lineRule="auto" w:before="96"/>
        <w:ind w:right="6866"/>
      </w:pPr>
      <w:r>
        <w:rPr>
          <w:color w:val="CE384B"/>
        </w:rPr>
        <w:t>Practices to Increase Uptake of and Improve</w:t>
      </w:r>
      <w:r>
        <w:rPr>
          <w:color w:val="CE384B"/>
          <w:spacing w:val="-59"/>
        </w:rPr>
        <w:t> </w:t>
      </w:r>
      <w:r>
        <w:rPr>
          <w:color w:val="CE384B"/>
        </w:rPr>
        <w:t>Adherence</w:t>
      </w:r>
      <w:r>
        <w:rPr>
          <w:color w:val="CE384B"/>
          <w:spacing w:val="-2"/>
        </w:rPr>
        <w:t> </w:t>
      </w:r>
      <w:r>
        <w:rPr>
          <w:color w:val="CE384B"/>
        </w:rPr>
        <w:t>to PrEP</w:t>
      </w:r>
    </w:p>
    <w:p>
      <w:pPr>
        <w:pStyle w:val="ListParagraph"/>
        <w:numPr>
          <w:ilvl w:val="0"/>
          <w:numId w:val="19"/>
        </w:numPr>
        <w:tabs>
          <w:tab w:pos="879" w:val="left" w:leader="none"/>
          <w:tab w:pos="880" w:val="left" w:leader="none"/>
        </w:tabs>
        <w:spacing w:line="249" w:lineRule="auto" w:before="88" w:after="0"/>
        <w:ind w:left="879" w:right="6716" w:hanging="360"/>
        <w:jc w:val="left"/>
        <w:rPr>
          <w:sz w:val="22"/>
        </w:rPr>
      </w:pPr>
      <w:r>
        <w:rPr>
          <w:color w:val="010202"/>
          <w:spacing w:val="-2"/>
          <w:sz w:val="22"/>
        </w:rPr>
        <w:t>The </w:t>
      </w:r>
      <w:r>
        <w:rPr>
          <w:color w:val="010202"/>
          <w:spacing w:val="-1"/>
          <w:sz w:val="22"/>
        </w:rPr>
        <w:t>AETC’s “</w:t>
      </w:r>
      <w:hyperlink r:id="rId246">
        <w:r>
          <w:rPr>
            <w:color w:val="3953A4"/>
            <w:spacing w:val="-1"/>
            <w:sz w:val="22"/>
            <w:u w:val="single" w:color="3953A4"/>
          </w:rPr>
          <w:t>Prescribing PrEP for HIV</w:t>
        </w:r>
      </w:hyperlink>
      <w:r>
        <w:rPr>
          <w:color w:val="3953A4"/>
          <w:sz w:val="22"/>
        </w:rPr>
        <w:t> </w:t>
      </w:r>
      <w:hyperlink r:id="rId246">
        <w:r>
          <w:rPr>
            <w:color w:val="3953A4"/>
            <w:spacing w:val="-1"/>
            <w:sz w:val="22"/>
            <w:u w:val="single" w:color="3953A4"/>
          </w:rPr>
          <w:t>Prevention: A Guide for Medical </w:t>
        </w:r>
        <w:r>
          <w:rPr>
            <w:color w:val="3953A4"/>
            <w:sz w:val="22"/>
            <w:u w:val="single" w:color="3953A4"/>
          </w:rPr>
          <w:t>Providers</w:t>
        </w:r>
      </w:hyperlink>
      <w:r>
        <w:rPr>
          <w:color w:val="010202"/>
          <w:sz w:val="22"/>
        </w:rPr>
        <w:t>” is</w:t>
      </w:r>
      <w:r>
        <w:rPr>
          <w:color w:val="010202"/>
          <w:spacing w:val="-52"/>
          <w:sz w:val="22"/>
        </w:rPr>
        <w:t> </w:t>
      </w:r>
      <w:r>
        <w:rPr>
          <w:color w:val="010202"/>
          <w:sz w:val="22"/>
        </w:rPr>
        <w:t>a “pocket-guide” for practitioners considering</w:t>
      </w:r>
      <w:r>
        <w:rPr>
          <w:color w:val="010202"/>
          <w:spacing w:val="-52"/>
          <w:sz w:val="22"/>
        </w:rPr>
        <w:t> </w:t>
      </w:r>
      <w:r>
        <w:rPr>
          <w:color w:val="010202"/>
          <w:sz w:val="22"/>
        </w:rPr>
        <w:t>prescribing PrEP. It includes an ideal timeline</w:t>
      </w:r>
      <w:r>
        <w:rPr>
          <w:color w:val="010202"/>
          <w:spacing w:val="-52"/>
          <w:sz w:val="22"/>
        </w:rPr>
        <w:t> </w:t>
      </w:r>
      <w:r>
        <w:rPr>
          <w:color w:val="010202"/>
          <w:sz w:val="22"/>
        </w:rPr>
        <w:t>for screenings and visits, billing codes, and</w:t>
      </w:r>
      <w:r>
        <w:rPr>
          <w:color w:val="010202"/>
          <w:spacing w:val="1"/>
          <w:sz w:val="22"/>
        </w:rPr>
        <w:t> </w:t>
      </w:r>
      <w:r>
        <w:rPr>
          <w:color w:val="010202"/>
          <w:sz w:val="22"/>
        </w:rPr>
        <w:t>information</w:t>
      </w:r>
      <w:r>
        <w:rPr>
          <w:color w:val="010202"/>
          <w:spacing w:val="-2"/>
          <w:sz w:val="22"/>
        </w:rPr>
        <w:t> </w:t>
      </w:r>
      <w:r>
        <w:rPr>
          <w:color w:val="010202"/>
          <w:sz w:val="22"/>
        </w:rPr>
        <w:t>about</w:t>
      </w:r>
      <w:r>
        <w:rPr>
          <w:color w:val="010202"/>
          <w:spacing w:val="-2"/>
          <w:sz w:val="22"/>
        </w:rPr>
        <w:t> </w:t>
      </w:r>
      <w:r>
        <w:rPr>
          <w:color w:val="010202"/>
          <w:sz w:val="22"/>
        </w:rPr>
        <w:t>potential</w:t>
      </w:r>
      <w:r>
        <w:rPr>
          <w:color w:val="010202"/>
          <w:spacing w:val="-2"/>
          <w:sz w:val="22"/>
        </w:rPr>
        <w:t> </w:t>
      </w:r>
      <w:r>
        <w:rPr>
          <w:color w:val="010202"/>
          <w:sz w:val="22"/>
        </w:rPr>
        <w:t>side</w:t>
      </w:r>
      <w:r>
        <w:rPr>
          <w:color w:val="010202"/>
          <w:spacing w:val="-3"/>
          <w:sz w:val="22"/>
        </w:rPr>
        <w:t> </w:t>
      </w:r>
      <w:r>
        <w:rPr>
          <w:color w:val="010202"/>
          <w:sz w:val="22"/>
        </w:rPr>
        <w:t>effects.</w:t>
      </w:r>
      <w:r>
        <w:rPr>
          <w:color w:val="010202"/>
          <w:sz w:val="22"/>
          <w:vertAlign w:val="superscript"/>
        </w:rPr>
        <w:t>69</w:t>
      </w:r>
    </w:p>
    <w:p>
      <w:pPr>
        <w:pStyle w:val="ListParagraph"/>
        <w:numPr>
          <w:ilvl w:val="0"/>
          <w:numId w:val="19"/>
        </w:numPr>
        <w:tabs>
          <w:tab w:pos="879" w:val="left" w:leader="none"/>
          <w:tab w:pos="880" w:val="left" w:leader="none"/>
        </w:tabs>
        <w:spacing w:line="249" w:lineRule="auto" w:before="0" w:after="0"/>
        <w:ind w:left="879" w:right="6727" w:hanging="360"/>
        <w:jc w:val="left"/>
        <w:rPr>
          <w:sz w:val="22"/>
        </w:rPr>
      </w:pPr>
      <w:r>
        <w:rPr>
          <w:color w:val="010202"/>
          <w:sz w:val="22"/>
        </w:rPr>
        <w:t>The</w:t>
      </w:r>
      <w:r>
        <w:rPr>
          <w:color w:val="3953A4"/>
          <w:sz w:val="22"/>
        </w:rPr>
        <w:t> </w:t>
      </w:r>
      <w:hyperlink r:id="rId247">
        <w:r>
          <w:rPr>
            <w:color w:val="3953A4"/>
            <w:sz w:val="22"/>
            <w:u w:val="single" w:color="3953A4"/>
          </w:rPr>
          <w:t>Harford County Health Department PrEP</w:t>
        </w:r>
      </w:hyperlink>
      <w:r>
        <w:rPr>
          <w:color w:val="3953A4"/>
          <w:spacing w:val="-52"/>
          <w:sz w:val="22"/>
        </w:rPr>
        <w:t> </w:t>
      </w:r>
      <w:hyperlink r:id="rId247">
        <w:r>
          <w:rPr>
            <w:color w:val="3953A4"/>
            <w:w w:val="95"/>
            <w:sz w:val="22"/>
            <w:u w:val="single" w:color="3953A4"/>
          </w:rPr>
          <w:t>Resource</w:t>
        </w:r>
        <w:r>
          <w:rPr>
            <w:color w:val="3953A4"/>
            <w:spacing w:val="49"/>
            <w:sz w:val="22"/>
            <w:u w:val="single" w:color="3953A4"/>
          </w:rPr>
          <w:t> </w:t>
        </w:r>
        <w:r>
          <w:rPr>
            <w:color w:val="3953A4"/>
            <w:w w:val="95"/>
            <w:sz w:val="22"/>
            <w:u w:val="single" w:color="3953A4"/>
          </w:rPr>
          <w:t>Binder</w:t>
        </w:r>
      </w:hyperlink>
      <w:r>
        <w:rPr>
          <w:color w:val="231F20"/>
          <w:w w:val="95"/>
          <w:sz w:val="22"/>
          <w:vertAlign w:val="superscript"/>
        </w:rPr>
        <w:t>70</w:t>
      </w:r>
      <w:r>
        <w:rPr>
          <w:color w:val="231F20"/>
          <w:w w:val="95"/>
          <w:sz w:val="22"/>
          <w:vertAlign w:val="baseline"/>
        </w:rPr>
        <w:t> and</w:t>
      </w:r>
      <w:r>
        <w:rPr>
          <w:color w:val="3953A4"/>
          <w:spacing w:val="50"/>
          <w:sz w:val="22"/>
          <w:vertAlign w:val="baseline"/>
        </w:rPr>
        <w:t> </w:t>
      </w:r>
      <w:hyperlink r:id="rId248">
        <w:r>
          <w:rPr>
            <w:color w:val="3953A4"/>
            <w:w w:val="95"/>
            <w:sz w:val="22"/>
            <w:u w:val="single" w:color="3953A4"/>
            <w:vertAlign w:val="baseline"/>
          </w:rPr>
          <w:t>Michigan</w:t>
        </w:r>
        <w:r>
          <w:rPr>
            <w:color w:val="3953A4"/>
            <w:spacing w:val="49"/>
            <w:sz w:val="22"/>
            <w:u w:val="single" w:color="3953A4"/>
            <w:vertAlign w:val="baseline"/>
          </w:rPr>
          <w:t> </w:t>
        </w:r>
        <w:r>
          <w:rPr>
            <w:color w:val="3953A4"/>
            <w:w w:val="95"/>
            <w:sz w:val="22"/>
            <w:u w:val="single" w:color="3953A4"/>
            <w:vertAlign w:val="baseline"/>
          </w:rPr>
          <w:t>Department</w:t>
        </w:r>
      </w:hyperlink>
      <w:r>
        <w:rPr>
          <w:color w:val="3953A4"/>
          <w:spacing w:val="1"/>
          <w:w w:val="95"/>
          <w:sz w:val="22"/>
          <w:vertAlign w:val="baseline"/>
        </w:rPr>
        <w:t> </w:t>
      </w:r>
      <w:hyperlink r:id="rId248">
        <w:r>
          <w:rPr>
            <w:color w:val="3953A4"/>
            <w:sz w:val="22"/>
            <w:u w:val="single" w:color="3953A4"/>
            <w:vertAlign w:val="baseline"/>
          </w:rPr>
          <w:t>of Health &amp; Human Services PrEP Provider</w:t>
        </w:r>
      </w:hyperlink>
      <w:r>
        <w:rPr>
          <w:color w:val="3953A4"/>
          <w:spacing w:val="1"/>
          <w:sz w:val="22"/>
          <w:vertAlign w:val="baseline"/>
        </w:rPr>
        <w:t> </w:t>
      </w:r>
      <w:hyperlink r:id="rId248">
        <w:r>
          <w:rPr>
            <w:color w:val="3953A4"/>
            <w:w w:val="95"/>
            <w:sz w:val="22"/>
            <w:u w:val="single" w:color="3953A4"/>
            <w:vertAlign w:val="baseline"/>
          </w:rPr>
          <w:t>Toolkit</w:t>
        </w:r>
      </w:hyperlink>
      <w:r>
        <w:rPr>
          <w:color w:val="231F20"/>
          <w:w w:val="95"/>
          <w:sz w:val="22"/>
          <w:vertAlign w:val="superscript"/>
        </w:rPr>
        <w:t>71</w:t>
      </w:r>
      <w:r>
        <w:rPr>
          <w:color w:val="231F20"/>
          <w:w w:val="95"/>
          <w:sz w:val="22"/>
          <w:vertAlign w:val="baseline"/>
        </w:rPr>
        <w:t> are</w:t>
      </w:r>
      <w:r>
        <w:rPr>
          <w:color w:val="231F20"/>
          <w:spacing w:val="1"/>
          <w:w w:val="95"/>
          <w:sz w:val="22"/>
          <w:vertAlign w:val="baseline"/>
        </w:rPr>
        <w:t> </w:t>
      </w:r>
      <w:r>
        <w:rPr>
          <w:color w:val="231F20"/>
          <w:w w:val="95"/>
          <w:sz w:val="22"/>
          <w:vertAlign w:val="baseline"/>
        </w:rPr>
        <w:t>resources</w:t>
      </w:r>
      <w:r>
        <w:rPr>
          <w:color w:val="231F20"/>
          <w:spacing w:val="49"/>
          <w:sz w:val="22"/>
          <w:vertAlign w:val="baseline"/>
        </w:rPr>
        <w:t> </w:t>
      </w:r>
      <w:r>
        <w:rPr>
          <w:color w:val="231F20"/>
          <w:w w:val="95"/>
          <w:sz w:val="22"/>
          <w:vertAlign w:val="baseline"/>
        </w:rPr>
        <w:t>for</w:t>
      </w:r>
      <w:r>
        <w:rPr>
          <w:color w:val="231F20"/>
          <w:spacing w:val="50"/>
          <w:sz w:val="22"/>
          <w:vertAlign w:val="baseline"/>
        </w:rPr>
        <w:t> </w:t>
      </w:r>
      <w:r>
        <w:rPr>
          <w:color w:val="231F20"/>
          <w:w w:val="95"/>
          <w:sz w:val="22"/>
          <w:vertAlign w:val="baseline"/>
        </w:rPr>
        <w:t>providers</w:t>
      </w:r>
      <w:r>
        <w:rPr>
          <w:color w:val="231F20"/>
          <w:spacing w:val="49"/>
          <w:sz w:val="22"/>
          <w:vertAlign w:val="baseline"/>
        </w:rPr>
        <w:t> </w:t>
      </w:r>
      <w:r>
        <w:rPr>
          <w:color w:val="231F20"/>
          <w:w w:val="95"/>
          <w:sz w:val="22"/>
          <w:vertAlign w:val="baseline"/>
        </w:rPr>
        <w:t>(e.g.,</w:t>
      </w:r>
      <w:r>
        <w:rPr>
          <w:color w:val="231F20"/>
          <w:spacing w:val="1"/>
          <w:w w:val="95"/>
          <w:sz w:val="22"/>
          <w:vertAlign w:val="baseline"/>
        </w:rPr>
        <w:t> </w:t>
      </w:r>
      <w:r>
        <w:rPr>
          <w:color w:val="231F20"/>
          <w:sz w:val="22"/>
          <w:vertAlign w:val="baseline"/>
        </w:rPr>
        <w:t>CDC consultation, prescribing guidelines, and</w:t>
      </w:r>
      <w:r>
        <w:rPr>
          <w:color w:val="231F20"/>
          <w:spacing w:val="-52"/>
          <w:sz w:val="22"/>
          <w:vertAlign w:val="baseline"/>
        </w:rPr>
        <w:t> </w:t>
      </w:r>
      <w:r>
        <w:rPr>
          <w:color w:val="231F20"/>
          <w:sz w:val="22"/>
          <w:vertAlign w:val="baseline"/>
        </w:rPr>
        <w:t>summaries of PrEP efficacy </w:t>
      </w:r>
      <w:r>
        <w:rPr>
          <w:color w:val="010202"/>
          <w:sz w:val="22"/>
          <w:vertAlign w:val="baseline"/>
        </w:rPr>
        <w:t>trials) and clients</w:t>
      </w:r>
      <w:r>
        <w:rPr>
          <w:color w:val="010202"/>
          <w:spacing w:val="-52"/>
          <w:sz w:val="22"/>
          <w:vertAlign w:val="baseline"/>
        </w:rPr>
        <w:t> </w:t>
      </w:r>
      <w:r>
        <w:rPr>
          <w:color w:val="010202"/>
          <w:sz w:val="22"/>
          <w:vertAlign w:val="baseline"/>
        </w:rPr>
        <w:t>considering</w:t>
      </w:r>
      <w:r>
        <w:rPr>
          <w:color w:val="010202"/>
          <w:spacing w:val="-1"/>
          <w:sz w:val="22"/>
          <w:vertAlign w:val="baseline"/>
        </w:rPr>
        <w:t> </w:t>
      </w:r>
      <w:r>
        <w:rPr>
          <w:color w:val="010202"/>
          <w:sz w:val="22"/>
          <w:vertAlign w:val="baseline"/>
        </w:rPr>
        <w:t>PrEP</w:t>
      </w:r>
      <w:r>
        <w:rPr>
          <w:color w:val="010202"/>
          <w:spacing w:val="-10"/>
          <w:sz w:val="22"/>
          <w:vertAlign w:val="baseline"/>
        </w:rPr>
        <w:t> </w:t>
      </w:r>
      <w:r>
        <w:rPr>
          <w:color w:val="010202"/>
          <w:sz w:val="22"/>
          <w:vertAlign w:val="baseline"/>
        </w:rPr>
        <w:t>(e.g.,</w:t>
      </w:r>
      <w:r>
        <w:rPr>
          <w:color w:val="010202"/>
          <w:spacing w:val="-1"/>
          <w:sz w:val="22"/>
          <w:vertAlign w:val="baseline"/>
        </w:rPr>
        <w:t> </w:t>
      </w:r>
      <w:r>
        <w:rPr>
          <w:color w:val="010202"/>
          <w:sz w:val="22"/>
          <w:vertAlign w:val="baseline"/>
        </w:rPr>
        <w:t>FAQs).</w:t>
      </w:r>
    </w:p>
    <w:p>
      <w:pPr>
        <w:pStyle w:val="ListParagraph"/>
        <w:numPr>
          <w:ilvl w:val="0"/>
          <w:numId w:val="19"/>
        </w:numPr>
        <w:tabs>
          <w:tab w:pos="879" w:val="left" w:leader="none"/>
          <w:tab w:pos="881" w:val="left" w:leader="none"/>
        </w:tabs>
        <w:spacing w:line="249" w:lineRule="auto" w:before="0" w:after="0"/>
        <w:ind w:left="880" w:right="6757" w:hanging="360"/>
        <w:jc w:val="left"/>
        <w:rPr>
          <w:sz w:val="22"/>
        </w:rPr>
      </w:pPr>
      <w:r>
        <w:rPr>
          <w:color w:val="010202"/>
          <w:sz w:val="22"/>
        </w:rPr>
        <w:t>The Fenway Institute’s</w:t>
      </w:r>
      <w:r>
        <w:rPr>
          <w:color w:val="3953A4"/>
          <w:sz w:val="22"/>
        </w:rPr>
        <w:t> </w:t>
      </w:r>
      <w:hyperlink r:id="rId249">
        <w:r>
          <w:rPr>
            <w:color w:val="3953A4"/>
            <w:sz w:val="22"/>
            <w:u w:val="single" w:color="3953A4"/>
          </w:rPr>
          <w:t>Implementing PrEP</w:t>
        </w:r>
      </w:hyperlink>
      <w:r>
        <w:rPr>
          <w:color w:val="3953A4"/>
          <w:spacing w:val="1"/>
          <w:sz w:val="22"/>
        </w:rPr>
        <w:t> </w:t>
      </w:r>
      <w:hyperlink r:id="rId249">
        <w:r>
          <w:rPr>
            <w:color w:val="3953A4"/>
            <w:sz w:val="22"/>
            <w:u w:val="single" w:color="3953A4"/>
          </w:rPr>
          <w:t>for HIV Prevention: State-wide Initiative and</w:t>
        </w:r>
      </w:hyperlink>
      <w:r>
        <w:rPr>
          <w:color w:val="3953A4"/>
          <w:spacing w:val="-52"/>
          <w:sz w:val="22"/>
        </w:rPr>
        <w:t> </w:t>
      </w:r>
      <w:hyperlink r:id="rId249">
        <w:r>
          <w:rPr>
            <w:color w:val="3953A4"/>
            <w:sz w:val="22"/>
            <w:u w:val="single" w:color="3953A4"/>
          </w:rPr>
          <w:t>Provider</w:t>
        </w:r>
        <w:r>
          <w:rPr>
            <w:color w:val="3953A4"/>
            <w:spacing w:val="-2"/>
            <w:sz w:val="22"/>
            <w:u w:val="single" w:color="3953A4"/>
          </w:rPr>
          <w:t> </w:t>
        </w:r>
        <w:r>
          <w:rPr>
            <w:color w:val="3953A4"/>
            <w:sz w:val="22"/>
            <w:u w:val="single" w:color="3953A4"/>
          </w:rPr>
          <w:t>Experiences</w:t>
        </w:r>
        <w:r>
          <w:rPr>
            <w:color w:val="3953A4"/>
            <w:spacing w:val="-1"/>
            <w:sz w:val="22"/>
            <w:u w:val="single" w:color="3953A4"/>
          </w:rPr>
          <w:t> </w:t>
        </w:r>
        <w:r>
          <w:rPr>
            <w:color w:val="3953A4"/>
            <w:sz w:val="22"/>
            <w:u w:val="single" w:color="3953A4"/>
          </w:rPr>
          <w:t>presentation</w:t>
        </w:r>
        <w:r>
          <w:rPr>
            <w:color w:val="3953A4"/>
            <w:spacing w:val="-2"/>
            <w:sz w:val="22"/>
          </w:rPr>
          <w:t> </w:t>
        </w:r>
      </w:hyperlink>
      <w:r>
        <w:rPr>
          <w:color w:val="010202"/>
          <w:sz w:val="22"/>
        </w:rPr>
        <w:t>focuses</w:t>
      </w:r>
    </w:p>
    <w:p>
      <w:pPr>
        <w:pStyle w:val="BodyText"/>
        <w:spacing w:line="249" w:lineRule="auto"/>
        <w:ind w:left="880" w:right="6699"/>
      </w:pPr>
      <w:r>
        <w:rPr>
          <w:color w:val="010202"/>
        </w:rPr>
        <w:t>on state-wide implementations of PrEP,</w:t>
      </w:r>
      <w:r>
        <w:rPr>
          <w:color w:val="010202"/>
          <w:spacing w:val="1"/>
        </w:rPr>
        <w:t> </w:t>
      </w:r>
      <w:r>
        <w:rPr>
          <w:color w:val="010202"/>
        </w:rPr>
        <w:t>provider feedback and experiences, and health</w:t>
      </w:r>
      <w:r>
        <w:rPr>
          <w:color w:val="010202"/>
          <w:spacing w:val="-52"/>
        </w:rPr>
        <w:t> </w:t>
      </w:r>
      <w:r>
        <w:rPr>
          <w:color w:val="010202"/>
        </w:rPr>
        <w:t>communication materials to promote PrEP</w:t>
      </w:r>
      <w:r>
        <w:rPr>
          <w:color w:val="010202"/>
          <w:spacing w:val="1"/>
        </w:rPr>
        <w:t> </w:t>
      </w:r>
      <w:r>
        <w:rPr>
          <w:color w:val="010202"/>
        </w:rPr>
        <w:t>uptake.</w:t>
      </w:r>
      <w:r>
        <w:rPr>
          <w:color w:val="010202"/>
          <w:vertAlign w:val="superscript"/>
        </w:rPr>
        <w:t>72</w:t>
      </w:r>
    </w:p>
    <w:p>
      <w:pPr>
        <w:pStyle w:val="Heading6"/>
        <w:spacing w:before="177"/>
      </w:pPr>
      <w:r>
        <w:rPr>
          <w:color w:val="CE384B"/>
        </w:rPr>
        <w:t>Syringe Services Programs (SSPs)</w:t>
      </w:r>
    </w:p>
    <w:p>
      <w:pPr>
        <w:pStyle w:val="ListParagraph"/>
        <w:numPr>
          <w:ilvl w:val="0"/>
          <w:numId w:val="19"/>
        </w:numPr>
        <w:tabs>
          <w:tab w:pos="879" w:val="left" w:leader="none"/>
          <w:tab w:pos="880" w:val="left" w:leader="none"/>
        </w:tabs>
        <w:spacing w:line="249" w:lineRule="auto" w:before="86" w:after="0"/>
        <w:ind w:left="879" w:right="6496" w:hanging="360"/>
        <w:jc w:val="left"/>
        <w:rPr>
          <w:sz w:val="22"/>
        </w:rPr>
      </w:pPr>
      <w:r>
        <w:rPr>
          <w:color w:val="010202"/>
          <w:spacing w:val="-2"/>
          <w:sz w:val="22"/>
        </w:rPr>
        <w:t>The</w:t>
      </w:r>
      <w:r>
        <w:rPr>
          <w:color w:val="010202"/>
          <w:spacing w:val="-10"/>
          <w:sz w:val="22"/>
        </w:rPr>
        <w:t> </w:t>
      </w:r>
      <w:r>
        <w:rPr>
          <w:color w:val="010202"/>
          <w:spacing w:val="-2"/>
          <w:sz w:val="22"/>
        </w:rPr>
        <w:t>Harm</w:t>
      </w:r>
      <w:r>
        <w:rPr>
          <w:color w:val="010202"/>
          <w:spacing w:val="-11"/>
          <w:sz w:val="22"/>
        </w:rPr>
        <w:t> </w:t>
      </w:r>
      <w:r>
        <w:rPr>
          <w:color w:val="010202"/>
          <w:spacing w:val="-2"/>
          <w:sz w:val="22"/>
        </w:rPr>
        <w:t>Reduction</w:t>
      </w:r>
      <w:r>
        <w:rPr>
          <w:color w:val="010202"/>
          <w:spacing w:val="-9"/>
          <w:sz w:val="22"/>
        </w:rPr>
        <w:t> </w:t>
      </w:r>
      <w:r>
        <w:rPr>
          <w:color w:val="010202"/>
          <w:spacing w:val="-1"/>
          <w:sz w:val="22"/>
        </w:rPr>
        <w:t>Coalition</w:t>
      </w:r>
      <w:r>
        <w:rPr>
          <w:color w:val="3953A4"/>
          <w:spacing w:val="-10"/>
          <w:sz w:val="22"/>
        </w:rPr>
        <w:t> </w:t>
      </w:r>
      <w:hyperlink r:id="rId250">
        <w:r>
          <w:rPr>
            <w:color w:val="3953A4"/>
            <w:spacing w:val="-1"/>
            <w:sz w:val="22"/>
            <w:u w:val="single" w:color="3953A4"/>
          </w:rPr>
          <w:t>Capacity</w:t>
        </w:r>
        <w:r>
          <w:rPr>
            <w:color w:val="3953A4"/>
            <w:spacing w:val="-9"/>
            <w:sz w:val="22"/>
            <w:u w:val="single" w:color="3953A4"/>
          </w:rPr>
          <w:t> </w:t>
        </w:r>
        <w:r>
          <w:rPr>
            <w:color w:val="3953A4"/>
            <w:spacing w:val="-1"/>
            <w:sz w:val="22"/>
            <w:u w:val="single" w:color="3953A4"/>
          </w:rPr>
          <w:t>Building</w:t>
        </w:r>
      </w:hyperlink>
      <w:r>
        <w:rPr>
          <w:color w:val="3953A4"/>
          <w:spacing w:val="-52"/>
          <w:sz w:val="22"/>
        </w:rPr>
        <w:t> </w:t>
      </w:r>
      <w:hyperlink r:id="rId250">
        <w:r>
          <w:rPr>
            <w:color w:val="3953A4"/>
            <w:sz w:val="22"/>
            <w:u w:val="single" w:color="3953A4"/>
          </w:rPr>
          <w:t>Services</w:t>
        </w:r>
        <w:r>
          <w:rPr>
            <w:color w:val="3953A4"/>
            <w:spacing w:val="-7"/>
            <w:sz w:val="22"/>
          </w:rPr>
          <w:t> </w:t>
        </w:r>
      </w:hyperlink>
      <w:r>
        <w:rPr>
          <w:color w:val="010202"/>
          <w:sz w:val="22"/>
        </w:rPr>
        <w:t>provides</w:t>
      </w:r>
      <w:r>
        <w:rPr>
          <w:color w:val="010202"/>
          <w:spacing w:val="-9"/>
          <w:sz w:val="22"/>
        </w:rPr>
        <w:t> </w:t>
      </w:r>
      <w:r>
        <w:rPr>
          <w:color w:val="010202"/>
          <w:sz w:val="22"/>
        </w:rPr>
        <w:t>free</w:t>
      </w:r>
      <w:r>
        <w:rPr>
          <w:color w:val="010202"/>
          <w:spacing w:val="-9"/>
          <w:sz w:val="22"/>
        </w:rPr>
        <w:t> </w:t>
      </w:r>
      <w:r>
        <w:rPr>
          <w:color w:val="010202"/>
          <w:sz w:val="22"/>
        </w:rPr>
        <w:t>mentoring,</w:t>
      </w:r>
      <w:r>
        <w:rPr>
          <w:color w:val="010202"/>
          <w:spacing w:val="-8"/>
          <w:sz w:val="22"/>
        </w:rPr>
        <w:t> </w:t>
      </w:r>
      <w:r>
        <w:rPr>
          <w:color w:val="010202"/>
          <w:sz w:val="22"/>
        </w:rPr>
        <w:t>training,</w:t>
      </w:r>
    </w:p>
    <w:p>
      <w:pPr>
        <w:pStyle w:val="BodyText"/>
        <w:spacing w:line="249" w:lineRule="auto" w:before="1"/>
        <w:ind w:left="879" w:right="6534"/>
      </w:pPr>
      <w:r>
        <w:rPr>
          <w:color w:val="010202"/>
        </w:rPr>
        <w:t>and technical assistance, including the HIV</w:t>
      </w:r>
      <w:r>
        <w:rPr>
          <w:color w:val="010202"/>
          <w:spacing w:val="1"/>
        </w:rPr>
        <w:t> </w:t>
      </w:r>
      <w:r>
        <w:rPr>
          <w:color w:val="010202"/>
        </w:rPr>
        <w:t>Harm Reduction Navigator Core Competency</w:t>
      </w:r>
      <w:r>
        <w:rPr>
          <w:color w:val="010202"/>
          <w:spacing w:val="1"/>
        </w:rPr>
        <w:t> </w:t>
      </w:r>
      <w:r>
        <w:rPr>
          <w:color w:val="010202"/>
          <w:spacing w:val="-2"/>
        </w:rPr>
        <w:t>Training and Skills-Building Training, </w:t>
      </w:r>
      <w:r>
        <w:rPr>
          <w:color w:val="383838"/>
          <w:spacing w:val="-1"/>
        </w:rPr>
        <w:t>t</w:t>
      </w:r>
      <w:r>
        <w:rPr>
          <w:color w:val="010202"/>
          <w:spacing w:val="-1"/>
        </w:rPr>
        <w:t>o health</w:t>
      </w:r>
      <w:r>
        <w:rPr>
          <w:color w:val="010202"/>
        </w:rPr>
        <w:t> </w:t>
      </w:r>
      <w:r>
        <w:rPr>
          <w:color w:val="010202"/>
          <w:spacing w:val="-1"/>
        </w:rPr>
        <w:t>departments, community-based </w:t>
      </w:r>
      <w:r>
        <w:rPr>
          <w:color w:val="010202"/>
        </w:rPr>
        <w:t>organizations,</w:t>
      </w:r>
      <w:r>
        <w:rPr>
          <w:color w:val="010202"/>
          <w:spacing w:val="1"/>
        </w:rPr>
        <w:t> </w:t>
      </w:r>
      <w:r>
        <w:rPr>
          <w:color w:val="010202"/>
        </w:rPr>
        <w:t>and other community stakeholders seeking to</w:t>
      </w:r>
      <w:r>
        <w:rPr>
          <w:color w:val="010202"/>
          <w:spacing w:val="1"/>
        </w:rPr>
        <w:t> </w:t>
      </w:r>
      <w:r>
        <w:rPr>
          <w:color w:val="010202"/>
          <w:spacing w:val="-1"/>
        </w:rPr>
        <w:t>establish,</w:t>
      </w:r>
      <w:r>
        <w:rPr>
          <w:color w:val="010202"/>
          <w:spacing w:val="-13"/>
        </w:rPr>
        <w:t> </w:t>
      </w:r>
      <w:r>
        <w:rPr>
          <w:color w:val="010202"/>
          <w:spacing w:val="-1"/>
        </w:rPr>
        <w:t>expand,</w:t>
      </w:r>
      <w:r>
        <w:rPr>
          <w:color w:val="010202"/>
          <w:spacing w:val="-12"/>
        </w:rPr>
        <w:t> </w:t>
      </w:r>
      <w:r>
        <w:rPr>
          <w:color w:val="010202"/>
          <w:spacing w:val="-1"/>
        </w:rPr>
        <w:t>or</w:t>
      </w:r>
      <w:r>
        <w:rPr>
          <w:color w:val="010202"/>
          <w:spacing w:val="-12"/>
        </w:rPr>
        <w:t> </w:t>
      </w:r>
      <w:r>
        <w:rPr>
          <w:color w:val="010202"/>
          <w:spacing w:val="-1"/>
        </w:rPr>
        <w:t>improve</w:t>
      </w:r>
      <w:r>
        <w:rPr>
          <w:color w:val="010202"/>
          <w:spacing w:val="-12"/>
        </w:rPr>
        <w:t> </w:t>
      </w:r>
      <w:r>
        <w:rPr>
          <w:color w:val="010202"/>
          <w:spacing w:val="-1"/>
        </w:rPr>
        <w:t>the</w:t>
      </w:r>
      <w:r>
        <w:rPr>
          <w:color w:val="010202"/>
          <w:spacing w:val="-12"/>
        </w:rPr>
        <w:t> </w:t>
      </w:r>
      <w:r>
        <w:rPr>
          <w:color w:val="010202"/>
          <w:spacing w:val="-1"/>
        </w:rPr>
        <w:t>effectiveness</w:t>
      </w:r>
      <w:r>
        <w:rPr>
          <w:color w:val="010202"/>
          <w:spacing w:val="-12"/>
        </w:rPr>
        <w:t> </w:t>
      </w:r>
      <w:r>
        <w:rPr>
          <w:color w:val="010202"/>
        </w:rPr>
        <w:t>of</w:t>
      </w:r>
      <w:r>
        <w:rPr>
          <w:color w:val="010202"/>
          <w:spacing w:val="-52"/>
        </w:rPr>
        <w:t> </w:t>
      </w:r>
      <w:r>
        <w:rPr>
          <w:color w:val="010202"/>
        </w:rPr>
        <w:t>their</w:t>
      </w:r>
      <w:r>
        <w:rPr>
          <w:color w:val="010202"/>
          <w:spacing w:val="-5"/>
        </w:rPr>
        <w:t> </w:t>
      </w:r>
      <w:r>
        <w:rPr>
          <w:color w:val="010202"/>
        </w:rPr>
        <w:t>SSPs.</w:t>
      </w:r>
      <w:r>
        <w:rPr>
          <w:color w:val="010202"/>
          <w:vertAlign w:val="superscript"/>
        </w:rPr>
        <w:t>73</w:t>
      </w:r>
    </w:p>
    <w:p>
      <w:pPr>
        <w:pStyle w:val="ListParagraph"/>
        <w:numPr>
          <w:ilvl w:val="0"/>
          <w:numId w:val="19"/>
        </w:numPr>
        <w:tabs>
          <w:tab w:pos="879" w:val="left" w:leader="none"/>
          <w:tab w:pos="880" w:val="left" w:leader="none"/>
        </w:tabs>
        <w:spacing w:line="249" w:lineRule="auto" w:before="0" w:after="0"/>
        <w:ind w:left="879" w:right="6953" w:hanging="360"/>
        <w:jc w:val="left"/>
        <w:rPr>
          <w:sz w:val="22"/>
        </w:rPr>
      </w:pPr>
      <w:r>
        <w:rPr>
          <w:color w:val="010202"/>
          <w:spacing w:val="-1"/>
          <w:sz w:val="22"/>
        </w:rPr>
        <w:t>The CDC’s</w:t>
      </w:r>
      <w:r>
        <w:rPr>
          <w:color w:val="3953A4"/>
          <w:spacing w:val="-1"/>
          <w:sz w:val="22"/>
        </w:rPr>
        <w:t> </w:t>
      </w:r>
      <w:hyperlink r:id="rId251">
        <w:r>
          <w:rPr>
            <w:color w:val="3953A4"/>
            <w:spacing w:val="-1"/>
            <w:sz w:val="22"/>
            <w:u w:val="single" w:color="3953A4"/>
          </w:rPr>
          <w:t>Capacity </w:t>
        </w:r>
        <w:r>
          <w:rPr>
            <w:color w:val="3953A4"/>
            <w:sz w:val="22"/>
            <w:u w:val="single" w:color="3953A4"/>
          </w:rPr>
          <w:t>Building Assistance</w:t>
        </w:r>
      </w:hyperlink>
      <w:r>
        <w:rPr>
          <w:color w:val="3953A4"/>
          <w:spacing w:val="1"/>
          <w:sz w:val="22"/>
        </w:rPr>
        <w:t> </w:t>
      </w:r>
      <w:hyperlink r:id="rId251">
        <w:r>
          <w:rPr>
            <w:color w:val="3953A4"/>
            <w:sz w:val="22"/>
            <w:u w:val="single" w:color="3953A4"/>
          </w:rPr>
          <w:t>Provider Networ</w:t>
        </w:r>
      </w:hyperlink>
      <w:r>
        <w:rPr>
          <w:color w:val="3953A4"/>
          <w:sz w:val="22"/>
          <w:u w:val="single" w:color="3953A4"/>
        </w:rPr>
        <w:t>k </w:t>
      </w:r>
      <w:r>
        <w:rPr>
          <w:color w:val="010202"/>
          <w:sz w:val="22"/>
        </w:rPr>
        <w:t>provides free training</w:t>
      </w:r>
      <w:r>
        <w:rPr>
          <w:color w:val="010202"/>
          <w:spacing w:val="1"/>
          <w:sz w:val="22"/>
        </w:rPr>
        <w:t> </w:t>
      </w:r>
      <w:r>
        <w:rPr>
          <w:color w:val="010202"/>
          <w:sz w:val="22"/>
        </w:rPr>
        <w:t>and</w:t>
      </w:r>
      <w:r>
        <w:rPr>
          <w:color w:val="010202"/>
          <w:spacing w:val="-4"/>
          <w:sz w:val="22"/>
        </w:rPr>
        <w:t> </w:t>
      </w:r>
      <w:r>
        <w:rPr>
          <w:color w:val="010202"/>
          <w:sz w:val="22"/>
        </w:rPr>
        <w:t>technical</w:t>
      </w:r>
      <w:r>
        <w:rPr>
          <w:color w:val="010202"/>
          <w:spacing w:val="-3"/>
          <w:sz w:val="22"/>
        </w:rPr>
        <w:t> </w:t>
      </w:r>
      <w:r>
        <w:rPr>
          <w:color w:val="010202"/>
          <w:sz w:val="22"/>
        </w:rPr>
        <w:t>assistance,</w:t>
      </w:r>
      <w:r>
        <w:rPr>
          <w:color w:val="010202"/>
          <w:spacing w:val="-4"/>
          <w:sz w:val="22"/>
        </w:rPr>
        <w:t> </w:t>
      </w:r>
      <w:r>
        <w:rPr>
          <w:color w:val="010202"/>
          <w:sz w:val="22"/>
        </w:rPr>
        <w:t>continuous</w:t>
      </w:r>
      <w:r>
        <w:rPr>
          <w:color w:val="010202"/>
          <w:spacing w:val="-3"/>
          <w:sz w:val="22"/>
        </w:rPr>
        <w:t> </w:t>
      </w:r>
      <w:r>
        <w:rPr>
          <w:color w:val="010202"/>
          <w:sz w:val="22"/>
        </w:rPr>
        <w:t>quality</w:t>
      </w:r>
    </w:p>
    <w:p>
      <w:pPr>
        <w:pStyle w:val="BodyText"/>
        <w:spacing w:line="249" w:lineRule="auto"/>
        <w:ind w:left="879" w:right="6547"/>
      </w:pPr>
      <w:r>
        <w:rPr>
          <w:color w:val="010202"/>
        </w:rPr>
        <w:t>improvement, and marketing and administrative</w:t>
      </w:r>
      <w:r>
        <w:rPr>
          <w:color w:val="010202"/>
          <w:spacing w:val="-52"/>
        </w:rPr>
        <w:t> </w:t>
      </w:r>
      <w:r>
        <w:rPr>
          <w:color w:val="010202"/>
        </w:rPr>
        <w:t>support for health departments, community-</w:t>
      </w:r>
      <w:r>
        <w:rPr>
          <w:color w:val="010202"/>
          <w:spacing w:val="1"/>
        </w:rPr>
        <w:t> </w:t>
      </w:r>
      <w:r>
        <w:rPr>
          <w:color w:val="010202"/>
        </w:rPr>
        <w:t>based organizations, and community partners</w:t>
      </w:r>
      <w:r>
        <w:rPr>
          <w:color w:val="010202"/>
          <w:spacing w:val="1"/>
        </w:rPr>
        <w:t> </w:t>
      </w:r>
      <w:r>
        <w:rPr>
          <w:color w:val="010202"/>
        </w:rPr>
        <w:t>looking to implement or improve HIV</w:t>
      </w:r>
      <w:r>
        <w:rPr>
          <w:color w:val="010202"/>
          <w:spacing w:val="1"/>
        </w:rPr>
        <w:t> </w:t>
      </w:r>
      <w:r>
        <w:rPr>
          <w:color w:val="010202"/>
        </w:rPr>
        <w:t>prevention</w:t>
      </w:r>
      <w:r>
        <w:rPr>
          <w:color w:val="010202"/>
          <w:spacing w:val="-1"/>
        </w:rPr>
        <w:t> </w:t>
      </w:r>
      <w:r>
        <w:rPr>
          <w:color w:val="010202"/>
        </w:rPr>
        <w:t>programs</w:t>
      </w:r>
      <w:r>
        <w:rPr>
          <w:color w:val="010202"/>
          <w:spacing w:val="-1"/>
        </w:rPr>
        <w:t> </w:t>
      </w:r>
      <w:r>
        <w:rPr>
          <w:color w:val="010202"/>
        </w:rPr>
        <w:t>and</w:t>
      </w:r>
      <w:r>
        <w:rPr>
          <w:color w:val="010202"/>
          <w:spacing w:val="-1"/>
        </w:rPr>
        <w:t> </w:t>
      </w:r>
      <w:r>
        <w:rPr>
          <w:color w:val="010202"/>
        </w:rPr>
        <w:t>services.</w:t>
      </w:r>
      <w:r>
        <w:rPr>
          <w:color w:val="010202"/>
          <w:vertAlign w:val="superscript"/>
        </w:rPr>
        <w:t>74</w:t>
      </w:r>
    </w:p>
    <w:p>
      <w:pPr>
        <w:pStyle w:val="ListParagraph"/>
        <w:numPr>
          <w:ilvl w:val="0"/>
          <w:numId w:val="19"/>
        </w:numPr>
        <w:tabs>
          <w:tab w:pos="879" w:val="left" w:leader="none"/>
          <w:tab w:pos="880" w:val="left" w:leader="none"/>
        </w:tabs>
        <w:spacing w:line="249" w:lineRule="auto" w:before="0" w:after="0"/>
        <w:ind w:left="879" w:right="6561" w:hanging="360"/>
        <w:jc w:val="left"/>
        <w:rPr>
          <w:sz w:val="22"/>
        </w:rPr>
      </w:pPr>
      <w:r>
        <w:rPr>
          <w:color w:val="010202"/>
          <w:spacing w:val="-2"/>
          <w:sz w:val="22"/>
        </w:rPr>
        <w:t>The Harm Reduction Coalition’s</w:t>
      </w:r>
      <w:r>
        <w:rPr>
          <w:color w:val="3953A4"/>
          <w:spacing w:val="-2"/>
          <w:sz w:val="22"/>
        </w:rPr>
        <w:t> </w:t>
      </w:r>
      <w:hyperlink r:id="rId252">
        <w:r>
          <w:rPr>
            <w:color w:val="3953A4"/>
            <w:spacing w:val="-1"/>
            <w:sz w:val="22"/>
            <w:u w:val="single" w:color="3953A4"/>
          </w:rPr>
          <w:t>Guide to</w:t>
        </w:r>
      </w:hyperlink>
      <w:r>
        <w:rPr>
          <w:color w:val="3953A4"/>
          <w:sz w:val="22"/>
        </w:rPr>
        <w:t> </w:t>
      </w:r>
      <w:hyperlink r:id="rId252">
        <w:r>
          <w:rPr>
            <w:color w:val="3953A4"/>
            <w:spacing w:val="-5"/>
            <w:sz w:val="22"/>
            <w:u w:val="single" w:color="3953A4"/>
          </w:rPr>
          <w:t>Developing </w:t>
        </w:r>
        <w:r>
          <w:rPr>
            <w:color w:val="3953A4"/>
            <w:spacing w:val="-4"/>
            <w:sz w:val="22"/>
            <w:u w:val="single" w:color="3953A4"/>
          </w:rPr>
          <w:t>and Managing Syringe Access</w:t>
        </w:r>
      </w:hyperlink>
      <w:r>
        <w:rPr>
          <w:color w:val="3953A4"/>
          <w:spacing w:val="-3"/>
          <w:sz w:val="22"/>
        </w:rPr>
        <w:t> </w:t>
      </w:r>
      <w:hyperlink r:id="rId252">
        <w:r>
          <w:rPr>
            <w:color w:val="3953A4"/>
            <w:spacing w:val="-4"/>
            <w:sz w:val="22"/>
            <w:u w:val="single" w:color="3953A4"/>
          </w:rPr>
          <w:t>Programs</w:t>
        </w:r>
        <w:r>
          <w:rPr>
            <w:color w:val="3953A4"/>
            <w:spacing w:val="-6"/>
            <w:sz w:val="22"/>
          </w:rPr>
          <w:t> </w:t>
        </w:r>
      </w:hyperlink>
      <w:r>
        <w:rPr>
          <w:color w:val="010202"/>
          <w:spacing w:val="-4"/>
          <w:sz w:val="22"/>
        </w:rPr>
        <w:t>provides</w:t>
      </w:r>
      <w:r>
        <w:rPr>
          <w:color w:val="010202"/>
          <w:spacing w:val="-10"/>
          <w:sz w:val="22"/>
        </w:rPr>
        <w:t> </w:t>
      </w:r>
      <w:r>
        <w:rPr>
          <w:color w:val="010202"/>
          <w:spacing w:val="-4"/>
          <w:sz w:val="22"/>
        </w:rPr>
        <w:t>an</w:t>
      </w:r>
      <w:r>
        <w:rPr>
          <w:color w:val="010202"/>
          <w:spacing w:val="-9"/>
          <w:sz w:val="22"/>
        </w:rPr>
        <w:t> </w:t>
      </w:r>
      <w:r>
        <w:rPr>
          <w:color w:val="010202"/>
          <w:spacing w:val="-4"/>
          <w:sz w:val="22"/>
        </w:rPr>
        <w:t>overview</w:t>
      </w:r>
      <w:r>
        <w:rPr>
          <w:color w:val="010202"/>
          <w:spacing w:val="-10"/>
          <w:sz w:val="22"/>
        </w:rPr>
        <w:t> </w:t>
      </w:r>
      <w:r>
        <w:rPr>
          <w:color w:val="010202"/>
          <w:spacing w:val="-3"/>
          <w:sz w:val="22"/>
        </w:rPr>
        <w:t>of</w:t>
      </w:r>
      <w:r>
        <w:rPr>
          <w:color w:val="010202"/>
          <w:spacing w:val="-10"/>
          <w:sz w:val="22"/>
        </w:rPr>
        <w:t> </w:t>
      </w:r>
      <w:r>
        <w:rPr>
          <w:color w:val="010202"/>
          <w:spacing w:val="-3"/>
          <w:sz w:val="22"/>
        </w:rPr>
        <w:t>harm</w:t>
      </w:r>
      <w:r>
        <w:rPr>
          <w:color w:val="010202"/>
          <w:spacing w:val="-9"/>
          <w:sz w:val="22"/>
        </w:rPr>
        <w:t> </w:t>
      </w:r>
      <w:r>
        <w:rPr>
          <w:color w:val="010202"/>
          <w:spacing w:val="-3"/>
          <w:sz w:val="22"/>
        </w:rPr>
        <w:t>reduction</w:t>
      </w:r>
      <w:r>
        <w:rPr>
          <w:color w:val="010202"/>
          <w:spacing w:val="-52"/>
          <w:sz w:val="22"/>
        </w:rPr>
        <w:t> </w:t>
      </w:r>
      <w:r>
        <w:rPr>
          <w:color w:val="010202"/>
          <w:spacing w:val="-1"/>
          <w:sz w:val="22"/>
        </w:rPr>
        <w:t>principles and guidance on how to develop,</w:t>
      </w:r>
      <w:r>
        <w:rPr>
          <w:color w:val="010202"/>
          <w:sz w:val="22"/>
        </w:rPr>
        <w:t> implement,</w:t>
      </w:r>
      <w:r>
        <w:rPr>
          <w:color w:val="010202"/>
          <w:spacing w:val="-12"/>
          <w:sz w:val="22"/>
        </w:rPr>
        <w:t> </w:t>
      </w:r>
      <w:r>
        <w:rPr>
          <w:color w:val="010202"/>
          <w:sz w:val="22"/>
        </w:rPr>
        <w:t>and</w:t>
      </w:r>
      <w:r>
        <w:rPr>
          <w:color w:val="010202"/>
          <w:spacing w:val="-11"/>
          <w:sz w:val="22"/>
        </w:rPr>
        <w:t> </w:t>
      </w:r>
      <w:r>
        <w:rPr>
          <w:color w:val="010202"/>
          <w:sz w:val="22"/>
        </w:rPr>
        <w:t>manage</w:t>
      </w:r>
      <w:r>
        <w:rPr>
          <w:color w:val="010202"/>
          <w:spacing w:val="-12"/>
          <w:sz w:val="22"/>
        </w:rPr>
        <w:t> </w:t>
      </w:r>
      <w:r>
        <w:rPr>
          <w:color w:val="010202"/>
          <w:sz w:val="22"/>
        </w:rPr>
        <w:t>a</w:t>
      </w:r>
      <w:r>
        <w:rPr>
          <w:color w:val="010202"/>
          <w:spacing w:val="-11"/>
          <w:sz w:val="22"/>
        </w:rPr>
        <w:t> </w:t>
      </w:r>
      <w:r>
        <w:rPr>
          <w:color w:val="010202"/>
          <w:sz w:val="22"/>
        </w:rPr>
        <w:t>SSP.</w:t>
      </w:r>
      <w:r>
        <w:rPr>
          <w:color w:val="010202"/>
          <w:sz w:val="22"/>
          <w:vertAlign w:val="superscript"/>
        </w:rPr>
        <w:t>75</w:t>
      </w:r>
    </w:p>
    <w:p>
      <w:pPr>
        <w:pStyle w:val="ListParagraph"/>
        <w:numPr>
          <w:ilvl w:val="0"/>
          <w:numId w:val="19"/>
        </w:numPr>
        <w:tabs>
          <w:tab w:pos="879" w:val="left" w:leader="none"/>
          <w:tab w:pos="880" w:val="left" w:leader="none"/>
        </w:tabs>
        <w:spacing w:line="249" w:lineRule="auto" w:before="0" w:after="0"/>
        <w:ind w:left="879" w:right="6484" w:hanging="360"/>
        <w:jc w:val="left"/>
        <w:rPr>
          <w:sz w:val="22"/>
        </w:rPr>
      </w:pPr>
      <w:r>
        <w:rPr>
          <w:color w:val="010202"/>
          <w:spacing w:val="-1"/>
          <w:sz w:val="22"/>
        </w:rPr>
        <w:t>The National Alliance of State and Territorial</w:t>
      </w:r>
      <w:r>
        <w:rPr>
          <w:color w:val="010202"/>
          <w:sz w:val="22"/>
        </w:rPr>
        <w:t> AIDS</w:t>
      </w:r>
      <w:r>
        <w:rPr>
          <w:color w:val="010202"/>
          <w:spacing w:val="-8"/>
          <w:sz w:val="22"/>
        </w:rPr>
        <w:t> </w:t>
      </w:r>
      <w:r>
        <w:rPr>
          <w:color w:val="010202"/>
          <w:sz w:val="22"/>
        </w:rPr>
        <w:t>Directors</w:t>
      </w:r>
      <w:r>
        <w:rPr>
          <w:color w:val="010202"/>
          <w:spacing w:val="-7"/>
          <w:sz w:val="22"/>
        </w:rPr>
        <w:t> </w:t>
      </w:r>
      <w:r>
        <w:rPr>
          <w:color w:val="010202"/>
          <w:sz w:val="22"/>
        </w:rPr>
        <w:t>(NASTAD)</w:t>
      </w:r>
      <w:r>
        <w:rPr>
          <w:color w:val="010202"/>
          <w:spacing w:val="-8"/>
          <w:sz w:val="22"/>
        </w:rPr>
        <w:t> </w:t>
      </w:r>
      <w:r>
        <w:rPr>
          <w:color w:val="010202"/>
          <w:sz w:val="22"/>
        </w:rPr>
        <w:t>and</w:t>
      </w:r>
      <w:r>
        <w:rPr>
          <w:color w:val="010202"/>
          <w:spacing w:val="-6"/>
          <w:sz w:val="22"/>
        </w:rPr>
        <w:t> </w:t>
      </w:r>
      <w:r>
        <w:rPr>
          <w:color w:val="010202"/>
          <w:sz w:val="22"/>
        </w:rPr>
        <w:t>Urban</w:t>
      </w:r>
      <w:r>
        <w:rPr>
          <w:color w:val="010202"/>
          <w:spacing w:val="-8"/>
          <w:sz w:val="22"/>
        </w:rPr>
        <w:t> </w:t>
      </w:r>
      <w:r>
        <w:rPr>
          <w:color w:val="010202"/>
          <w:sz w:val="22"/>
        </w:rPr>
        <w:t>Coalition</w:t>
      </w:r>
      <w:r>
        <w:rPr>
          <w:color w:val="010202"/>
          <w:spacing w:val="-52"/>
          <w:sz w:val="22"/>
        </w:rPr>
        <w:t> </w:t>
      </w:r>
      <w:r>
        <w:rPr>
          <w:color w:val="010202"/>
          <w:sz w:val="22"/>
        </w:rPr>
        <w:t>for</w:t>
      </w:r>
      <w:r>
        <w:rPr>
          <w:color w:val="010202"/>
          <w:spacing w:val="-4"/>
          <w:sz w:val="22"/>
        </w:rPr>
        <w:t> </w:t>
      </w:r>
      <w:r>
        <w:rPr>
          <w:color w:val="010202"/>
          <w:sz w:val="22"/>
        </w:rPr>
        <w:t>HIV/AIDS</w:t>
      </w:r>
      <w:r>
        <w:rPr>
          <w:color w:val="010202"/>
          <w:spacing w:val="-4"/>
          <w:sz w:val="22"/>
        </w:rPr>
        <w:t> </w:t>
      </w:r>
      <w:r>
        <w:rPr>
          <w:color w:val="010202"/>
          <w:sz w:val="22"/>
        </w:rPr>
        <w:t>Prevention</w:t>
      </w:r>
      <w:r>
        <w:rPr>
          <w:color w:val="010202"/>
          <w:spacing w:val="-4"/>
          <w:sz w:val="22"/>
        </w:rPr>
        <w:t> </w:t>
      </w:r>
      <w:r>
        <w:rPr>
          <w:color w:val="010202"/>
          <w:sz w:val="22"/>
        </w:rPr>
        <w:t>Services</w:t>
      </w:r>
      <w:r>
        <w:rPr>
          <w:color w:val="010202"/>
          <w:spacing w:val="-4"/>
          <w:sz w:val="22"/>
        </w:rPr>
        <w:t> </w:t>
      </w:r>
      <w:r>
        <w:rPr>
          <w:color w:val="010202"/>
          <w:sz w:val="22"/>
        </w:rPr>
        <w:t>(UCHAPS)</w:t>
      </w:r>
    </w:p>
    <w:p>
      <w:pPr>
        <w:spacing w:after="0" w:line="249" w:lineRule="auto"/>
        <w:jc w:val="left"/>
        <w:rPr>
          <w:sz w:val="22"/>
        </w:rPr>
        <w:sectPr>
          <w:headerReference w:type="default" r:id="rId243"/>
          <w:footerReference w:type="default" r:id="rId244"/>
          <w:pgSz w:w="12240" w:h="15840"/>
          <w:pgMar w:header="0" w:footer="666" w:top="860" w:bottom="860" w:left="560" w:right="0"/>
        </w:sectPr>
      </w:pPr>
    </w:p>
    <w:p>
      <w:pPr>
        <w:pStyle w:val="BodyText"/>
        <w:rPr>
          <w:sz w:val="20"/>
        </w:rPr>
      </w:pPr>
    </w:p>
    <w:p>
      <w:pPr>
        <w:pStyle w:val="BodyText"/>
        <w:spacing w:before="2"/>
        <w:rPr>
          <w:sz w:val="27"/>
        </w:rPr>
      </w:pPr>
    </w:p>
    <w:p>
      <w:pPr>
        <w:spacing w:after="0"/>
        <w:rPr>
          <w:sz w:val="27"/>
        </w:rPr>
        <w:sectPr>
          <w:headerReference w:type="default" r:id="rId253"/>
          <w:footerReference w:type="default" r:id="rId254"/>
          <w:pgSz w:w="12240" w:h="15840"/>
          <w:pgMar w:header="0" w:footer="666" w:top="380" w:bottom="860" w:left="560" w:right="0"/>
        </w:sectPr>
      </w:pPr>
    </w:p>
    <w:p>
      <w:pPr>
        <w:pStyle w:val="BodyText"/>
        <w:spacing w:line="249" w:lineRule="auto" w:before="91"/>
        <w:ind w:left="880" w:right="104"/>
      </w:pPr>
      <w:bookmarkStart w:name="Contingency Management" w:id="101"/>
      <w:bookmarkEnd w:id="101"/>
      <w:r>
        <w:rPr/>
      </w:r>
      <w:bookmarkStart w:name="Cognitive Behavioral Therapy" w:id="102"/>
      <w:bookmarkEnd w:id="102"/>
      <w:r>
        <w:rPr/>
      </w:r>
      <w:bookmarkStart w:name="Patient Navigation" w:id="103"/>
      <w:bookmarkEnd w:id="103"/>
      <w:r>
        <w:rPr/>
      </w:r>
      <w:hyperlink r:id="rId255">
        <w:r>
          <w:rPr>
            <w:color w:val="3953A4"/>
            <w:u w:val="single" w:color="3953A4"/>
          </w:rPr>
          <w:t>Syringe Services Programs (SSP) Development</w:t>
        </w:r>
      </w:hyperlink>
      <w:r>
        <w:rPr>
          <w:color w:val="3953A4"/>
          <w:spacing w:val="1"/>
        </w:rPr>
        <w:t> </w:t>
      </w:r>
      <w:hyperlink r:id="rId255">
        <w:r>
          <w:rPr>
            <w:color w:val="3953A4"/>
            <w:u w:val="single" w:color="3953A4"/>
          </w:rPr>
          <w:t>and Implementation Guidelines for State and</w:t>
        </w:r>
      </w:hyperlink>
      <w:r>
        <w:rPr>
          <w:color w:val="3953A4"/>
          <w:spacing w:val="1"/>
        </w:rPr>
        <w:t> </w:t>
      </w:r>
      <w:hyperlink r:id="rId255">
        <w:r>
          <w:rPr>
            <w:color w:val="3953A4"/>
            <w:u w:val="single" w:color="3953A4"/>
          </w:rPr>
          <w:t>Local</w:t>
        </w:r>
        <w:r>
          <w:rPr>
            <w:color w:val="3953A4"/>
            <w:spacing w:val="12"/>
            <w:u w:val="single" w:color="3953A4"/>
          </w:rPr>
          <w:t> </w:t>
        </w:r>
        <w:r>
          <w:rPr>
            <w:color w:val="3953A4"/>
            <w:u w:val="single" w:color="3953A4"/>
          </w:rPr>
          <w:t>Health</w:t>
        </w:r>
        <w:r>
          <w:rPr>
            <w:color w:val="3953A4"/>
            <w:spacing w:val="11"/>
            <w:u w:val="single" w:color="3953A4"/>
          </w:rPr>
          <w:t> </w:t>
        </w:r>
        <w:r>
          <w:rPr>
            <w:color w:val="3953A4"/>
            <w:u w:val="single" w:color="3953A4"/>
          </w:rPr>
          <w:t>Department</w:t>
        </w:r>
      </w:hyperlink>
      <w:r>
        <w:rPr>
          <w:color w:val="3953A4"/>
          <w:u w:val="single" w:color="3953A4"/>
        </w:rPr>
        <w:t>s</w:t>
      </w:r>
      <w:r>
        <w:rPr>
          <w:color w:val="3953A4"/>
          <w:spacing w:val="12"/>
          <w:u w:val="single" w:color="3953A4"/>
        </w:rPr>
        <w:t> </w:t>
      </w:r>
      <w:r>
        <w:rPr>
          <w:color w:val="010202"/>
        </w:rPr>
        <w:t>provides</w:t>
      </w:r>
      <w:r>
        <w:rPr>
          <w:color w:val="010202"/>
          <w:spacing w:val="12"/>
        </w:rPr>
        <w:t> </w:t>
      </w:r>
      <w:r>
        <w:rPr>
          <w:color w:val="010202"/>
        </w:rPr>
        <w:t>guidance</w:t>
      </w:r>
      <w:r>
        <w:rPr>
          <w:color w:val="010202"/>
          <w:spacing w:val="1"/>
        </w:rPr>
        <w:t> </w:t>
      </w:r>
      <w:r>
        <w:rPr>
          <w:color w:val="010202"/>
        </w:rPr>
        <w:t>on several aspects of SSP implementation,</w:t>
      </w:r>
      <w:r>
        <w:rPr>
          <w:color w:val="010202"/>
          <w:spacing w:val="1"/>
        </w:rPr>
        <w:t> </w:t>
      </w:r>
      <w:r>
        <w:rPr>
          <w:color w:val="010202"/>
        </w:rPr>
        <w:t>including how to conduct a community needs</w:t>
      </w:r>
      <w:r>
        <w:rPr>
          <w:color w:val="010202"/>
          <w:spacing w:val="1"/>
        </w:rPr>
        <w:t> </w:t>
      </w:r>
      <w:r>
        <w:rPr>
          <w:color w:val="010202"/>
        </w:rPr>
        <w:t>assessment, select a service delivery model,</w:t>
      </w:r>
      <w:r>
        <w:rPr>
          <w:color w:val="010202"/>
          <w:spacing w:val="1"/>
        </w:rPr>
        <w:t> </w:t>
      </w:r>
      <w:r>
        <w:rPr>
          <w:color w:val="010202"/>
        </w:rPr>
        <w:t>monitor outcomes, and build capacity of</w:t>
      </w:r>
      <w:r>
        <w:rPr>
          <w:color w:val="010202"/>
          <w:spacing w:val="1"/>
        </w:rPr>
        <w:t> </w:t>
      </w:r>
      <w:r>
        <w:rPr>
          <w:color w:val="010202"/>
        </w:rPr>
        <w:t>program</w:t>
      </w:r>
      <w:r>
        <w:rPr>
          <w:color w:val="010202"/>
          <w:spacing w:val="-1"/>
        </w:rPr>
        <w:t> </w:t>
      </w:r>
      <w:r>
        <w:rPr>
          <w:color w:val="010202"/>
        </w:rPr>
        <w:t>staff.</w:t>
      </w:r>
      <w:r>
        <w:rPr>
          <w:color w:val="010202"/>
          <w:vertAlign w:val="superscript"/>
        </w:rPr>
        <w:t>56</w:t>
      </w:r>
    </w:p>
    <w:p>
      <w:pPr>
        <w:pStyle w:val="ListParagraph"/>
        <w:numPr>
          <w:ilvl w:val="0"/>
          <w:numId w:val="19"/>
        </w:numPr>
        <w:tabs>
          <w:tab w:pos="879" w:val="left" w:leader="none"/>
          <w:tab w:pos="880" w:val="left" w:leader="none"/>
        </w:tabs>
        <w:spacing w:line="249" w:lineRule="auto" w:before="0" w:after="0"/>
        <w:ind w:left="879" w:right="94" w:hanging="360"/>
        <w:jc w:val="left"/>
        <w:rPr>
          <w:sz w:val="22"/>
        </w:rPr>
      </w:pPr>
      <w:r>
        <w:rPr>
          <w:color w:val="010202"/>
          <w:spacing w:val="-4"/>
          <w:sz w:val="22"/>
        </w:rPr>
        <w:t>Comer</w:t>
      </w:r>
      <w:r>
        <w:rPr>
          <w:color w:val="010202"/>
          <w:spacing w:val="-9"/>
          <w:sz w:val="22"/>
        </w:rPr>
        <w:t> </w:t>
      </w:r>
      <w:r>
        <w:rPr>
          <w:color w:val="010202"/>
          <w:spacing w:val="-4"/>
          <w:sz w:val="22"/>
        </w:rPr>
        <w:t>Family</w:t>
      </w:r>
      <w:r>
        <w:rPr>
          <w:color w:val="010202"/>
          <w:spacing w:val="-8"/>
          <w:sz w:val="22"/>
        </w:rPr>
        <w:t> </w:t>
      </w:r>
      <w:r>
        <w:rPr>
          <w:color w:val="010202"/>
          <w:spacing w:val="-4"/>
          <w:sz w:val="22"/>
        </w:rPr>
        <w:t>Foundation’s</w:t>
      </w:r>
      <w:r>
        <w:rPr>
          <w:color w:val="3953A4"/>
          <w:spacing w:val="-9"/>
          <w:sz w:val="22"/>
        </w:rPr>
        <w:t> </w:t>
      </w:r>
      <w:hyperlink r:id="rId256">
        <w:r>
          <w:rPr>
            <w:color w:val="3953A4"/>
            <w:spacing w:val="-4"/>
            <w:sz w:val="22"/>
            <w:u w:val="single" w:color="3953A4"/>
          </w:rPr>
          <w:t>Guide</w:t>
        </w:r>
        <w:r>
          <w:rPr>
            <w:color w:val="3953A4"/>
            <w:spacing w:val="-8"/>
            <w:sz w:val="22"/>
            <w:u w:val="single" w:color="3953A4"/>
          </w:rPr>
          <w:t> </w:t>
        </w:r>
        <w:r>
          <w:rPr>
            <w:color w:val="3953A4"/>
            <w:spacing w:val="-4"/>
            <w:sz w:val="22"/>
            <w:u w:val="single" w:color="3953A4"/>
          </w:rPr>
          <w:t>to</w:t>
        </w:r>
        <w:r>
          <w:rPr>
            <w:color w:val="3953A4"/>
            <w:spacing w:val="-8"/>
            <w:sz w:val="22"/>
            <w:u w:val="single" w:color="3953A4"/>
          </w:rPr>
          <w:t> </w:t>
        </w:r>
        <w:r>
          <w:rPr>
            <w:color w:val="3953A4"/>
            <w:spacing w:val="-4"/>
            <w:sz w:val="22"/>
            <w:u w:val="single" w:color="3953A4"/>
          </w:rPr>
          <w:t>Establishing</w:t>
        </w:r>
      </w:hyperlink>
      <w:r>
        <w:rPr>
          <w:color w:val="3953A4"/>
          <w:spacing w:val="-52"/>
          <w:sz w:val="22"/>
        </w:rPr>
        <w:t> </w:t>
      </w:r>
      <w:hyperlink r:id="rId256">
        <w:r>
          <w:rPr>
            <w:color w:val="3953A4"/>
            <w:spacing w:val="-5"/>
            <w:sz w:val="22"/>
            <w:u w:val="single" w:color="3953A4"/>
          </w:rPr>
          <w:t>Syringe </w:t>
        </w:r>
        <w:r>
          <w:rPr>
            <w:color w:val="3953A4"/>
            <w:spacing w:val="-4"/>
            <w:sz w:val="22"/>
            <w:u w:val="single" w:color="3953A4"/>
          </w:rPr>
          <w:t>Services Programs in Rural, At-Risk</w:t>
        </w:r>
      </w:hyperlink>
      <w:r>
        <w:rPr>
          <w:color w:val="3953A4"/>
          <w:spacing w:val="-3"/>
          <w:sz w:val="22"/>
        </w:rPr>
        <w:t> </w:t>
      </w:r>
      <w:hyperlink r:id="rId256">
        <w:r>
          <w:rPr>
            <w:color w:val="3953A4"/>
            <w:spacing w:val="-3"/>
            <w:sz w:val="22"/>
            <w:u w:val="single" w:color="3953A4"/>
          </w:rPr>
          <w:t>Areas</w:t>
        </w:r>
        <w:r>
          <w:rPr>
            <w:color w:val="3953A4"/>
            <w:spacing w:val="-8"/>
            <w:sz w:val="22"/>
          </w:rPr>
          <w:t> </w:t>
        </w:r>
      </w:hyperlink>
      <w:r>
        <w:rPr>
          <w:color w:val="010202"/>
          <w:spacing w:val="-2"/>
          <w:sz w:val="22"/>
        </w:rPr>
        <w:t>provides</w:t>
      </w:r>
      <w:r>
        <w:rPr>
          <w:color w:val="010202"/>
          <w:spacing w:val="-12"/>
          <w:sz w:val="22"/>
        </w:rPr>
        <w:t> </w:t>
      </w:r>
      <w:r>
        <w:rPr>
          <w:color w:val="010202"/>
          <w:spacing w:val="-2"/>
          <w:sz w:val="22"/>
        </w:rPr>
        <w:t>an</w:t>
      </w:r>
      <w:r>
        <w:rPr>
          <w:color w:val="010202"/>
          <w:spacing w:val="-11"/>
          <w:sz w:val="22"/>
        </w:rPr>
        <w:t> </w:t>
      </w:r>
      <w:r>
        <w:rPr>
          <w:color w:val="010202"/>
          <w:spacing w:val="-2"/>
          <w:sz w:val="22"/>
        </w:rPr>
        <w:t>overview</w:t>
      </w:r>
      <w:r>
        <w:rPr>
          <w:color w:val="010202"/>
          <w:spacing w:val="-11"/>
          <w:sz w:val="22"/>
        </w:rPr>
        <w:t> </w:t>
      </w:r>
      <w:r>
        <w:rPr>
          <w:color w:val="010202"/>
          <w:spacing w:val="-2"/>
          <w:sz w:val="22"/>
        </w:rPr>
        <w:t>of</w:t>
      </w:r>
      <w:r>
        <w:rPr>
          <w:color w:val="010202"/>
          <w:spacing w:val="-12"/>
          <w:sz w:val="22"/>
        </w:rPr>
        <w:t> </w:t>
      </w:r>
      <w:r>
        <w:rPr>
          <w:color w:val="010202"/>
          <w:spacing w:val="-2"/>
          <w:sz w:val="22"/>
        </w:rPr>
        <w:t>the</w:t>
      </w:r>
      <w:r>
        <w:rPr>
          <w:color w:val="010202"/>
          <w:spacing w:val="-11"/>
          <w:sz w:val="22"/>
        </w:rPr>
        <w:t> </w:t>
      </w:r>
      <w:r>
        <w:rPr>
          <w:color w:val="010202"/>
          <w:spacing w:val="-2"/>
          <w:sz w:val="22"/>
        </w:rPr>
        <w:t>importance</w:t>
      </w:r>
    </w:p>
    <w:p>
      <w:pPr>
        <w:pStyle w:val="BodyText"/>
        <w:spacing w:line="249" w:lineRule="auto"/>
        <w:ind w:left="879"/>
      </w:pPr>
      <w:r>
        <w:rPr>
          <w:color w:val="010202"/>
          <w:w w:val="95"/>
        </w:rPr>
        <w:t>of SSPs in fighting the opioid epidemic. This</w:t>
      </w:r>
      <w:r>
        <w:rPr>
          <w:color w:val="010202"/>
          <w:spacing w:val="1"/>
          <w:w w:val="95"/>
        </w:rPr>
        <w:t> </w:t>
      </w:r>
      <w:r>
        <w:rPr>
          <w:color w:val="010202"/>
          <w:spacing w:val="-4"/>
        </w:rPr>
        <w:t>resource</w:t>
      </w:r>
      <w:r>
        <w:rPr>
          <w:color w:val="010202"/>
          <w:spacing w:val="-8"/>
        </w:rPr>
        <w:t> </w:t>
      </w:r>
      <w:r>
        <w:rPr>
          <w:color w:val="010202"/>
          <w:spacing w:val="-4"/>
        </w:rPr>
        <w:t>offers</w:t>
      </w:r>
      <w:r>
        <w:rPr>
          <w:color w:val="010202"/>
          <w:spacing w:val="-8"/>
        </w:rPr>
        <w:t> </w:t>
      </w:r>
      <w:r>
        <w:rPr>
          <w:color w:val="010202"/>
          <w:spacing w:val="-4"/>
        </w:rPr>
        <w:t>guidance</w:t>
      </w:r>
      <w:r>
        <w:rPr>
          <w:color w:val="010202"/>
          <w:spacing w:val="-8"/>
        </w:rPr>
        <w:t> </w:t>
      </w:r>
      <w:r>
        <w:rPr>
          <w:color w:val="010202"/>
          <w:spacing w:val="-4"/>
        </w:rPr>
        <w:t>on</w:t>
      </w:r>
      <w:r>
        <w:rPr>
          <w:color w:val="010202"/>
          <w:spacing w:val="-8"/>
        </w:rPr>
        <w:t> </w:t>
      </w:r>
      <w:r>
        <w:rPr>
          <w:color w:val="010202"/>
          <w:spacing w:val="-4"/>
        </w:rPr>
        <w:t>considerations</w:t>
      </w:r>
      <w:r>
        <w:rPr>
          <w:color w:val="010202"/>
          <w:spacing w:val="-8"/>
        </w:rPr>
        <w:t> </w:t>
      </w:r>
      <w:r>
        <w:rPr>
          <w:color w:val="010202"/>
          <w:spacing w:val="-3"/>
        </w:rPr>
        <w:t>for</w:t>
      </w:r>
      <w:r>
        <w:rPr>
          <w:color w:val="010202"/>
          <w:spacing w:val="-8"/>
        </w:rPr>
        <w:t> </w:t>
      </w:r>
      <w:r>
        <w:rPr>
          <w:color w:val="010202"/>
          <w:spacing w:val="-3"/>
        </w:rPr>
        <w:t>SSP</w:t>
      </w:r>
      <w:r>
        <w:rPr>
          <w:color w:val="010202"/>
          <w:spacing w:val="-52"/>
        </w:rPr>
        <w:t> </w:t>
      </w:r>
      <w:r>
        <w:rPr>
          <w:color w:val="010202"/>
          <w:spacing w:val="-4"/>
        </w:rPr>
        <w:t>implementation</w:t>
      </w:r>
      <w:r>
        <w:rPr>
          <w:color w:val="010202"/>
          <w:spacing w:val="-10"/>
        </w:rPr>
        <w:t> </w:t>
      </w:r>
      <w:r>
        <w:rPr>
          <w:color w:val="010202"/>
          <w:spacing w:val="-4"/>
        </w:rPr>
        <w:t>and</w:t>
      </w:r>
      <w:r>
        <w:rPr>
          <w:color w:val="010202"/>
          <w:spacing w:val="-10"/>
        </w:rPr>
        <w:t> </w:t>
      </w:r>
      <w:r>
        <w:rPr>
          <w:color w:val="010202"/>
          <w:spacing w:val="-3"/>
        </w:rPr>
        <w:t>case</w:t>
      </w:r>
      <w:r>
        <w:rPr>
          <w:color w:val="010202"/>
          <w:spacing w:val="-10"/>
        </w:rPr>
        <w:t> </w:t>
      </w:r>
      <w:r>
        <w:rPr>
          <w:color w:val="010202"/>
          <w:spacing w:val="-3"/>
        </w:rPr>
        <w:t>studies</w:t>
      </w:r>
      <w:r>
        <w:rPr>
          <w:color w:val="010202"/>
          <w:spacing w:val="-9"/>
        </w:rPr>
        <w:t> </w:t>
      </w:r>
      <w:r>
        <w:rPr>
          <w:color w:val="010202"/>
          <w:spacing w:val="-3"/>
        </w:rPr>
        <w:t>of</w:t>
      </w:r>
      <w:r>
        <w:rPr>
          <w:color w:val="010202"/>
          <w:spacing w:val="-10"/>
        </w:rPr>
        <w:t> </w:t>
      </w:r>
      <w:r>
        <w:rPr>
          <w:color w:val="010202"/>
          <w:spacing w:val="-3"/>
        </w:rPr>
        <w:t>rural</w:t>
      </w:r>
      <w:r>
        <w:rPr>
          <w:color w:val="010202"/>
          <w:spacing w:val="-10"/>
        </w:rPr>
        <w:t> </w:t>
      </w:r>
      <w:r>
        <w:rPr>
          <w:color w:val="010202"/>
          <w:spacing w:val="-3"/>
        </w:rPr>
        <w:t>SSPs.</w:t>
      </w:r>
      <w:r>
        <w:rPr>
          <w:color w:val="010202"/>
          <w:spacing w:val="-3"/>
          <w:vertAlign w:val="superscript"/>
        </w:rPr>
        <w:t>76</w:t>
      </w:r>
    </w:p>
    <w:p>
      <w:pPr>
        <w:pStyle w:val="ListParagraph"/>
        <w:numPr>
          <w:ilvl w:val="0"/>
          <w:numId w:val="19"/>
        </w:numPr>
        <w:tabs>
          <w:tab w:pos="879" w:val="left" w:leader="none"/>
          <w:tab w:pos="880" w:val="left" w:leader="none"/>
        </w:tabs>
        <w:spacing w:line="249" w:lineRule="auto" w:before="0" w:after="0"/>
        <w:ind w:left="879" w:right="209" w:hanging="360"/>
        <w:jc w:val="left"/>
        <w:rPr>
          <w:sz w:val="22"/>
        </w:rPr>
      </w:pPr>
      <w:r>
        <w:rPr>
          <w:color w:val="010202"/>
          <w:spacing w:val="-1"/>
          <w:sz w:val="22"/>
        </w:rPr>
        <w:t>Oregon Health Authority</w:t>
      </w:r>
      <w:r>
        <w:rPr>
          <w:color w:val="3953A4"/>
          <w:spacing w:val="-1"/>
          <w:sz w:val="22"/>
        </w:rPr>
        <w:t> </w:t>
      </w:r>
      <w:hyperlink r:id="rId257">
        <w:r>
          <w:rPr>
            <w:color w:val="3953A4"/>
            <w:sz w:val="22"/>
            <w:u w:val="single" w:color="3953A4"/>
          </w:rPr>
          <w:t>Harm Reduction and</w:t>
        </w:r>
      </w:hyperlink>
      <w:r>
        <w:rPr>
          <w:color w:val="3953A4"/>
          <w:spacing w:val="1"/>
          <w:sz w:val="22"/>
        </w:rPr>
        <w:t> </w:t>
      </w:r>
      <w:hyperlink r:id="rId257">
        <w:r>
          <w:rPr>
            <w:color w:val="3953A4"/>
            <w:sz w:val="22"/>
            <w:u w:val="single" w:color="3953A4"/>
          </w:rPr>
          <w:t>SSP Planning Manual and Resource Library</w:t>
        </w:r>
      </w:hyperlink>
      <w:r>
        <w:rPr>
          <w:color w:val="3953A4"/>
          <w:spacing w:val="1"/>
          <w:sz w:val="22"/>
        </w:rPr>
        <w:t> </w:t>
      </w:r>
      <w:r>
        <w:rPr>
          <w:color w:val="010202"/>
          <w:sz w:val="22"/>
        </w:rPr>
        <w:t>offers a manual and several resources on SSP</w:t>
      </w:r>
      <w:r>
        <w:rPr>
          <w:color w:val="010202"/>
          <w:spacing w:val="1"/>
          <w:sz w:val="22"/>
        </w:rPr>
        <w:t> </w:t>
      </w:r>
      <w:r>
        <w:rPr>
          <w:color w:val="010202"/>
          <w:sz w:val="22"/>
        </w:rPr>
        <w:t>planning</w:t>
      </w:r>
      <w:r>
        <w:rPr>
          <w:color w:val="010202"/>
          <w:spacing w:val="-1"/>
          <w:sz w:val="22"/>
        </w:rPr>
        <w:t> </w:t>
      </w:r>
      <w:r>
        <w:rPr>
          <w:color w:val="010202"/>
          <w:sz w:val="22"/>
        </w:rPr>
        <w:t>and</w:t>
      </w:r>
      <w:r>
        <w:rPr>
          <w:color w:val="010202"/>
          <w:spacing w:val="-1"/>
          <w:sz w:val="22"/>
        </w:rPr>
        <w:t> </w:t>
      </w:r>
      <w:r>
        <w:rPr>
          <w:color w:val="010202"/>
          <w:sz w:val="22"/>
        </w:rPr>
        <w:t>implementation.</w:t>
      </w:r>
      <w:r>
        <w:rPr>
          <w:color w:val="010202"/>
          <w:sz w:val="22"/>
          <w:vertAlign w:val="superscript"/>
        </w:rPr>
        <w:t>77</w:t>
      </w:r>
    </w:p>
    <w:p>
      <w:pPr>
        <w:pStyle w:val="Heading6"/>
        <w:spacing w:before="177"/>
      </w:pPr>
      <w:r>
        <w:rPr>
          <w:color w:val="CE384B"/>
        </w:rPr>
        <w:t>Contingency</w:t>
      </w:r>
      <w:r>
        <w:rPr>
          <w:color w:val="CE384B"/>
          <w:spacing w:val="-6"/>
        </w:rPr>
        <w:t> </w:t>
      </w:r>
      <w:r>
        <w:rPr>
          <w:color w:val="CE384B"/>
        </w:rPr>
        <w:t>Management</w:t>
      </w:r>
    </w:p>
    <w:p>
      <w:pPr>
        <w:pStyle w:val="ListParagraph"/>
        <w:numPr>
          <w:ilvl w:val="0"/>
          <w:numId w:val="19"/>
        </w:numPr>
        <w:tabs>
          <w:tab w:pos="879" w:val="left" w:leader="none"/>
          <w:tab w:pos="880" w:val="left" w:leader="none"/>
        </w:tabs>
        <w:spacing w:line="249" w:lineRule="auto" w:before="86" w:after="0"/>
        <w:ind w:left="879" w:right="135" w:hanging="360"/>
        <w:jc w:val="left"/>
        <w:rPr>
          <w:sz w:val="22"/>
        </w:rPr>
      </w:pPr>
      <w:hyperlink r:id="rId258">
        <w:r>
          <w:rPr>
            <w:color w:val="3953A4"/>
            <w:sz w:val="22"/>
            <w:u w:val="single" w:color="3953A4"/>
          </w:rPr>
          <w:t>Contingency Management: Using Motivational</w:t>
        </w:r>
      </w:hyperlink>
      <w:r>
        <w:rPr>
          <w:color w:val="3953A4"/>
          <w:spacing w:val="1"/>
          <w:sz w:val="22"/>
        </w:rPr>
        <w:t> </w:t>
      </w:r>
      <w:hyperlink r:id="rId258">
        <w:r>
          <w:rPr>
            <w:color w:val="3953A4"/>
            <w:spacing w:val="-1"/>
            <w:sz w:val="22"/>
            <w:u w:val="single" w:color="3953A4"/>
          </w:rPr>
          <w:t>Incentives </w:t>
        </w:r>
        <w:r>
          <w:rPr>
            <w:color w:val="3953A4"/>
            <w:sz w:val="22"/>
            <w:u w:val="single" w:color="3953A4"/>
          </w:rPr>
          <w:t>to Improve Drug Abuse Treatment</w:t>
        </w:r>
      </w:hyperlink>
      <w:r>
        <w:rPr>
          <w:color w:val="3953A4"/>
          <w:spacing w:val="1"/>
          <w:sz w:val="22"/>
        </w:rPr>
        <w:t> </w:t>
      </w:r>
      <w:r>
        <w:rPr>
          <w:color w:val="010202"/>
          <w:sz w:val="22"/>
        </w:rPr>
        <w:t>provides an overview of CM principles, a case</w:t>
      </w:r>
      <w:r>
        <w:rPr>
          <w:color w:val="010202"/>
          <w:spacing w:val="1"/>
          <w:sz w:val="22"/>
        </w:rPr>
        <w:t> </w:t>
      </w:r>
      <w:r>
        <w:rPr>
          <w:color w:val="010202"/>
          <w:sz w:val="22"/>
        </w:rPr>
        <w:t>study of a program using CM, and guidance</w:t>
      </w:r>
      <w:r>
        <w:rPr>
          <w:color w:val="010202"/>
          <w:spacing w:val="1"/>
          <w:sz w:val="22"/>
        </w:rPr>
        <w:t> </w:t>
      </w:r>
      <w:r>
        <w:rPr>
          <w:color w:val="010202"/>
          <w:sz w:val="22"/>
        </w:rPr>
        <w:t>regarding how to implement and supervise CM</w:t>
      </w:r>
      <w:r>
        <w:rPr>
          <w:color w:val="010202"/>
          <w:spacing w:val="1"/>
          <w:sz w:val="22"/>
        </w:rPr>
        <w:t> </w:t>
      </w:r>
      <w:r>
        <w:rPr>
          <w:color w:val="010202"/>
          <w:sz w:val="22"/>
        </w:rPr>
        <w:t>procedures.</w:t>
      </w:r>
      <w:r>
        <w:rPr>
          <w:color w:val="010202"/>
          <w:sz w:val="22"/>
          <w:vertAlign w:val="superscript"/>
        </w:rPr>
        <w:t>78</w:t>
      </w:r>
    </w:p>
    <w:p>
      <w:pPr>
        <w:pStyle w:val="ListParagraph"/>
        <w:numPr>
          <w:ilvl w:val="0"/>
          <w:numId w:val="19"/>
        </w:numPr>
        <w:tabs>
          <w:tab w:pos="879" w:val="left" w:leader="none"/>
          <w:tab w:pos="880" w:val="left" w:leader="none"/>
        </w:tabs>
        <w:spacing w:line="249" w:lineRule="auto" w:before="0" w:after="0"/>
        <w:ind w:left="879" w:right="38" w:hanging="360"/>
        <w:jc w:val="left"/>
        <w:rPr>
          <w:sz w:val="22"/>
        </w:rPr>
      </w:pPr>
      <w:r>
        <w:rPr>
          <w:color w:val="010202"/>
          <w:sz w:val="22"/>
        </w:rPr>
        <w:t>The UCLA Integrated Substance Abuse</w:t>
      </w:r>
      <w:r>
        <w:rPr>
          <w:color w:val="010202"/>
          <w:spacing w:val="1"/>
          <w:sz w:val="22"/>
        </w:rPr>
        <w:t> </w:t>
      </w:r>
      <w:r>
        <w:rPr>
          <w:color w:val="010202"/>
          <w:spacing w:val="-2"/>
          <w:sz w:val="22"/>
        </w:rPr>
        <w:t>Program’s</w:t>
      </w:r>
      <w:r>
        <w:rPr>
          <w:color w:val="3953A4"/>
          <w:spacing w:val="-2"/>
          <w:sz w:val="22"/>
        </w:rPr>
        <w:t> </w:t>
      </w:r>
      <w:hyperlink r:id="rId259">
        <w:r>
          <w:rPr>
            <w:color w:val="3953A4"/>
            <w:spacing w:val="-1"/>
            <w:sz w:val="22"/>
            <w:u w:val="single" w:color="3953A4"/>
          </w:rPr>
          <w:t>A Treatment Manual for</w:t>
        </w:r>
      </w:hyperlink>
      <w:r>
        <w:rPr>
          <w:color w:val="3953A4"/>
          <w:sz w:val="22"/>
        </w:rPr>
        <w:t> </w:t>
      </w:r>
      <w:hyperlink r:id="rId259">
        <w:r>
          <w:rPr>
            <w:color w:val="3953A4"/>
            <w:sz w:val="22"/>
            <w:u w:val="single" w:color="3953A4"/>
          </w:rPr>
          <w:t>Implementing Contingency Management: Using</w:t>
        </w:r>
      </w:hyperlink>
      <w:r>
        <w:rPr>
          <w:color w:val="3953A4"/>
          <w:spacing w:val="1"/>
          <w:sz w:val="22"/>
        </w:rPr>
        <w:t> </w:t>
      </w:r>
      <w:hyperlink r:id="rId259">
        <w:r>
          <w:rPr>
            <w:color w:val="3953A4"/>
            <w:sz w:val="22"/>
            <w:u w:val="single" w:color="3953A4"/>
          </w:rPr>
          <w:t>Incentives to Improve Parolee Enrollment and</w:t>
        </w:r>
      </w:hyperlink>
      <w:r>
        <w:rPr>
          <w:color w:val="3953A4"/>
          <w:spacing w:val="1"/>
          <w:sz w:val="22"/>
        </w:rPr>
        <w:t> </w:t>
      </w:r>
      <w:hyperlink r:id="rId259">
        <w:r>
          <w:rPr>
            <w:color w:val="3953A4"/>
            <w:sz w:val="22"/>
            <w:u w:val="single" w:color="3953A4"/>
          </w:rPr>
          <w:t>Attendance in Community Treatment</w:t>
        </w:r>
        <w:r>
          <w:rPr>
            <w:color w:val="3953A4"/>
            <w:sz w:val="22"/>
          </w:rPr>
          <w:t> </w:t>
        </w:r>
      </w:hyperlink>
      <w:r>
        <w:rPr>
          <w:color w:val="010202"/>
          <w:sz w:val="22"/>
        </w:rPr>
        <w:t>is a guide</w:t>
      </w:r>
      <w:r>
        <w:rPr>
          <w:color w:val="010202"/>
          <w:spacing w:val="1"/>
          <w:sz w:val="22"/>
        </w:rPr>
        <w:t> </w:t>
      </w:r>
      <w:r>
        <w:rPr>
          <w:color w:val="010202"/>
          <w:sz w:val="22"/>
        </w:rPr>
        <w:t>for implementing CM for SUD treatment among</w:t>
      </w:r>
      <w:r>
        <w:rPr>
          <w:color w:val="010202"/>
          <w:spacing w:val="-52"/>
          <w:sz w:val="22"/>
        </w:rPr>
        <w:t> </w:t>
      </w:r>
      <w:r>
        <w:rPr>
          <w:color w:val="010202"/>
          <w:sz w:val="22"/>
        </w:rPr>
        <w:t>parolees.</w:t>
      </w:r>
      <w:r>
        <w:rPr>
          <w:color w:val="010202"/>
          <w:sz w:val="22"/>
          <w:vertAlign w:val="superscript"/>
        </w:rPr>
        <w:t>79</w:t>
      </w:r>
    </w:p>
    <w:p>
      <w:pPr>
        <w:pStyle w:val="ListParagraph"/>
        <w:numPr>
          <w:ilvl w:val="0"/>
          <w:numId w:val="19"/>
        </w:numPr>
        <w:tabs>
          <w:tab w:pos="879" w:val="left" w:leader="none"/>
          <w:tab w:pos="880" w:val="left" w:leader="none"/>
        </w:tabs>
        <w:spacing w:line="249" w:lineRule="auto" w:before="0" w:after="0"/>
        <w:ind w:left="879" w:right="135" w:hanging="360"/>
        <w:jc w:val="left"/>
        <w:rPr>
          <w:sz w:val="22"/>
        </w:rPr>
      </w:pPr>
      <w:r>
        <w:rPr>
          <w:color w:val="010202"/>
          <w:sz w:val="22"/>
        </w:rPr>
        <w:t>The Behavioral Health Recovery Management</w:t>
      </w:r>
      <w:r>
        <w:rPr>
          <w:color w:val="010202"/>
          <w:spacing w:val="1"/>
          <w:sz w:val="22"/>
        </w:rPr>
        <w:t> </w:t>
      </w:r>
      <w:r>
        <w:rPr>
          <w:color w:val="010202"/>
          <w:spacing w:val="-1"/>
          <w:sz w:val="22"/>
        </w:rPr>
        <w:t>project</w:t>
      </w:r>
      <w:r>
        <w:rPr>
          <w:color w:val="3953A4"/>
          <w:spacing w:val="-1"/>
          <w:sz w:val="22"/>
        </w:rPr>
        <w:t> </w:t>
      </w:r>
      <w:hyperlink r:id="rId260">
        <w:r>
          <w:rPr>
            <w:color w:val="3953A4"/>
            <w:spacing w:val="-1"/>
            <w:sz w:val="22"/>
            <w:u w:val="single" w:color="3953A4"/>
          </w:rPr>
          <w:t>A Clinician’s </w:t>
        </w:r>
        <w:r>
          <w:rPr>
            <w:color w:val="3953A4"/>
            <w:sz w:val="22"/>
            <w:u w:val="single" w:color="3953A4"/>
          </w:rPr>
          <w:t>Guide for Implementing</w:t>
        </w:r>
      </w:hyperlink>
      <w:r>
        <w:rPr>
          <w:color w:val="3953A4"/>
          <w:spacing w:val="1"/>
          <w:sz w:val="22"/>
        </w:rPr>
        <w:t> </w:t>
      </w:r>
      <w:hyperlink r:id="rId260">
        <w:r>
          <w:rPr>
            <w:color w:val="3953A4"/>
            <w:sz w:val="22"/>
            <w:u w:val="single" w:color="3953A4"/>
          </w:rPr>
          <w:t>Contingency Management Programs</w:t>
        </w:r>
        <w:r>
          <w:rPr>
            <w:color w:val="3953A4"/>
            <w:sz w:val="22"/>
          </w:rPr>
          <w:t> </w:t>
        </w:r>
      </w:hyperlink>
      <w:r>
        <w:rPr>
          <w:color w:val="010202"/>
          <w:sz w:val="22"/>
        </w:rPr>
        <w:t>provides</w:t>
      </w:r>
      <w:r>
        <w:rPr>
          <w:color w:val="010202"/>
          <w:spacing w:val="1"/>
          <w:sz w:val="22"/>
        </w:rPr>
        <w:t> </w:t>
      </w:r>
      <w:r>
        <w:rPr>
          <w:color w:val="010202"/>
          <w:sz w:val="22"/>
        </w:rPr>
        <w:t>step-by-step</w:t>
      </w:r>
      <w:r>
        <w:rPr>
          <w:color w:val="010202"/>
          <w:spacing w:val="-7"/>
          <w:sz w:val="22"/>
        </w:rPr>
        <w:t> </w:t>
      </w:r>
      <w:r>
        <w:rPr>
          <w:color w:val="010202"/>
          <w:sz w:val="22"/>
        </w:rPr>
        <w:t>guidance</w:t>
      </w:r>
      <w:r>
        <w:rPr>
          <w:color w:val="010202"/>
          <w:spacing w:val="-6"/>
          <w:sz w:val="22"/>
        </w:rPr>
        <w:t> </w:t>
      </w:r>
      <w:r>
        <w:rPr>
          <w:color w:val="010202"/>
          <w:sz w:val="22"/>
        </w:rPr>
        <w:t>on</w:t>
      </w:r>
      <w:r>
        <w:rPr>
          <w:color w:val="010202"/>
          <w:spacing w:val="-5"/>
          <w:sz w:val="22"/>
        </w:rPr>
        <w:t> </w:t>
      </w:r>
      <w:r>
        <w:rPr>
          <w:color w:val="010202"/>
          <w:sz w:val="22"/>
        </w:rPr>
        <w:t>CM</w:t>
      </w:r>
      <w:r>
        <w:rPr>
          <w:color w:val="010202"/>
          <w:spacing w:val="-6"/>
          <w:sz w:val="22"/>
        </w:rPr>
        <w:t> </w:t>
      </w:r>
      <w:r>
        <w:rPr>
          <w:color w:val="010202"/>
          <w:sz w:val="22"/>
        </w:rPr>
        <w:t>implementation.</w:t>
      </w:r>
      <w:r>
        <w:rPr>
          <w:color w:val="010202"/>
          <w:sz w:val="22"/>
          <w:vertAlign w:val="superscript"/>
        </w:rPr>
        <w:t>80</w:t>
      </w:r>
    </w:p>
    <w:p>
      <w:pPr>
        <w:pStyle w:val="Heading6"/>
        <w:spacing w:before="174"/>
        <w:ind w:left="159"/>
      </w:pPr>
      <w:r>
        <w:rPr>
          <w:color w:val="CE384B"/>
        </w:rPr>
        <w:t>Cognitive</w:t>
      </w:r>
      <w:r>
        <w:rPr>
          <w:color w:val="CE384B"/>
          <w:spacing w:val="-7"/>
        </w:rPr>
        <w:t> </w:t>
      </w:r>
      <w:r>
        <w:rPr>
          <w:color w:val="CE384B"/>
        </w:rPr>
        <w:t>Behavioral</w:t>
      </w:r>
      <w:r>
        <w:rPr>
          <w:color w:val="CE384B"/>
          <w:spacing w:val="-6"/>
        </w:rPr>
        <w:t> </w:t>
      </w:r>
      <w:r>
        <w:rPr>
          <w:color w:val="CE384B"/>
        </w:rPr>
        <w:t>Therapy</w:t>
      </w:r>
    </w:p>
    <w:p>
      <w:pPr>
        <w:pStyle w:val="ListParagraph"/>
        <w:numPr>
          <w:ilvl w:val="0"/>
          <w:numId w:val="19"/>
        </w:numPr>
        <w:tabs>
          <w:tab w:pos="879" w:val="left" w:leader="none"/>
          <w:tab w:pos="880" w:val="left" w:leader="none"/>
        </w:tabs>
        <w:spacing w:line="249" w:lineRule="auto" w:before="87" w:after="0"/>
        <w:ind w:left="879" w:right="287" w:hanging="360"/>
        <w:jc w:val="left"/>
        <w:rPr>
          <w:sz w:val="22"/>
        </w:rPr>
      </w:pPr>
      <w:r>
        <w:rPr/>
        <w:pict>
          <v:line style="position:absolute;mso-position-horizontal-relative:page;mso-position-vertical-relative:paragraph;z-index:-18127360" from="213.275894pt,29.807589pt" to="216.025894pt,29.807589pt" stroked="true" strokeweight=".537pt" strokecolor="#010202">
            <v:stroke dashstyle="solid"/>
            <w10:wrap type="none"/>
          </v:line>
        </w:pict>
      </w:r>
      <w:r>
        <w:rPr>
          <w:color w:val="010202"/>
          <w:spacing w:val="-1"/>
          <w:sz w:val="22"/>
        </w:rPr>
        <w:t>National Association </w:t>
      </w:r>
      <w:r>
        <w:rPr>
          <w:color w:val="010202"/>
          <w:sz w:val="22"/>
        </w:rPr>
        <w:t>of Cognitive Behavioral</w:t>
      </w:r>
      <w:r>
        <w:rPr>
          <w:color w:val="010202"/>
          <w:spacing w:val="1"/>
          <w:sz w:val="22"/>
        </w:rPr>
        <w:t> </w:t>
      </w:r>
      <w:r>
        <w:rPr>
          <w:color w:val="010202"/>
          <w:sz w:val="22"/>
        </w:rPr>
        <w:t>Therapists</w:t>
      </w:r>
      <w:r>
        <w:rPr>
          <w:color w:val="3953A4"/>
          <w:sz w:val="22"/>
        </w:rPr>
        <w:t> </w:t>
      </w:r>
      <w:hyperlink r:id="rId261">
        <w:r>
          <w:rPr>
            <w:color w:val="3953A4"/>
            <w:sz w:val="22"/>
            <w:u w:val="single" w:color="3953A4"/>
          </w:rPr>
          <w:t>CBT Onsite Training</w:t>
        </w:r>
      </w:hyperlink>
      <w:r>
        <w:rPr>
          <w:color w:val="3953A4"/>
          <w:sz w:val="22"/>
        </w:rPr>
        <w:t> </w:t>
      </w:r>
      <w:r>
        <w:rPr>
          <w:color w:val="010202"/>
          <w:sz w:val="22"/>
        </w:rPr>
        <w:t>provides</w:t>
      </w:r>
      <w:r>
        <w:rPr>
          <w:color w:val="010202"/>
          <w:spacing w:val="1"/>
          <w:sz w:val="22"/>
        </w:rPr>
        <w:t> </w:t>
      </w:r>
      <w:r>
        <w:rPr>
          <w:color w:val="010202"/>
          <w:sz w:val="22"/>
        </w:rPr>
        <w:t>multiple resources for both administrators and</w:t>
      </w:r>
      <w:r>
        <w:rPr>
          <w:color w:val="010202"/>
          <w:spacing w:val="-52"/>
          <w:sz w:val="22"/>
        </w:rPr>
        <w:t> </w:t>
      </w:r>
      <w:r>
        <w:rPr>
          <w:color w:val="010202"/>
          <w:sz w:val="22"/>
        </w:rPr>
        <w:t>clients, training, and certification for CBT</w:t>
      </w:r>
      <w:r>
        <w:rPr>
          <w:color w:val="010202"/>
          <w:spacing w:val="1"/>
          <w:sz w:val="22"/>
        </w:rPr>
        <w:t> </w:t>
      </w:r>
      <w:r>
        <w:rPr>
          <w:color w:val="010202"/>
          <w:sz w:val="22"/>
        </w:rPr>
        <w:t>administrators (i.e., professionals, educators,</w:t>
      </w:r>
      <w:r>
        <w:rPr>
          <w:color w:val="010202"/>
          <w:spacing w:val="1"/>
          <w:sz w:val="22"/>
        </w:rPr>
        <w:t> </w:t>
      </w:r>
      <w:r>
        <w:rPr>
          <w:color w:val="010202"/>
          <w:sz w:val="22"/>
        </w:rPr>
        <w:t>graduate</w:t>
      </w:r>
      <w:r>
        <w:rPr>
          <w:color w:val="010202"/>
          <w:spacing w:val="-1"/>
          <w:sz w:val="22"/>
        </w:rPr>
        <w:t> </w:t>
      </w:r>
      <w:r>
        <w:rPr>
          <w:color w:val="010202"/>
          <w:sz w:val="22"/>
        </w:rPr>
        <w:t>students).</w:t>
      </w:r>
      <w:r>
        <w:rPr>
          <w:color w:val="010202"/>
          <w:sz w:val="22"/>
          <w:vertAlign w:val="superscript"/>
        </w:rPr>
        <w:t>81</w:t>
      </w:r>
    </w:p>
    <w:p>
      <w:pPr>
        <w:pStyle w:val="ListParagraph"/>
        <w:numPr>
          <w:ilvl w:val="0"/>
          <w:numId w:val="19"/>
        </w:numPr>
        <w:tabs>
          <w:tab w:pos="879" w:val="left" w:leader="none"/>
          <w:tab w:pos="880" w:val="left" w:leader="none"/>
        </w:tabs>
        <w:spacing w:line="249" w:lineRule="auto" w:before="0" w:after="0"/>
        <w:ind w:left="879" w:right="86" w:hanging="360"/>
        <w:jc w:val="left"/>
        <w:rPr>
          <w:sz w:val="22"/>
        </w:rPr>
      </w:pPr>
      <w:r>
        <w:rPr>
          <w:color w:val="010202"/>
          <w:w w:val="95"/>
          <w:sz w:val="22"/>
        </w:rPr>
        <w:t>Beck Academy</w:t>
      </w:r>
      <w:r>
        <w:rPr>
          <w:color w:val="3953A4"/>
          <w:spacing w:val="1"/>
          <w:w w:val="95"/>
          <w:sz w:val="22"/>
        </w:rPr>
        <w:t> </w:t>
      </w:r>
      <w:hyperlink r:id="rId262">
        <w:r>
          <w:rPr>
            <w:color w:val="3953A4"/>
            <w:w w:val="95"/>
            <w:sz w:val="22"/>
            <w:u w:val="single" w:color="3953A4"/>
          </w:rPr>
          <w:t>CBT training</w:t>
        </w:r>
        <w:r>
          <w:rPr>
            <w:color w:val="3953A4"/>
            <w:spacing w:val="1"/>
            <w:w w:val="95"/>
            <w:sz w:val="22"/>
            <w:u w:val="single" w:color="3953A4"/>
          </w:rPr>
          <w:t> </w:t>
        </w:r>
        <w:r>
          <w:rPr>
            <w:color w:val="3953A4"/>
            <w:w w:val="95"/>
            <w:sz w:val="22"/>
            <w:u w:val="single" w:color="3953A4"/>
          </w:rPr>
          <w:t>and</w:t>
        </w:r>
        <w:r>
          <w:rPr>
            <w:color w:val="3953A4"/>
            <w:spacing w:val="1"/>
            <w:w w:val="95"/>
            <w:sz w:val="22"/>
            <w:u w:val="single" w:color="3953A4"/>
          </w:rPr>
          <w:t> </w:t>
        </w:r>
        <w:r>
          <w:rPr>
            <w:color w:val="3953A4"/>
            <w:w w:val="95"/>
            <w:sz w:val="22"/>
            <w:u w:val="single" w:color="3953A4"/>
          </w:rPr>
          <w:t>certification</w:t>
        </w:r>
      </w:hyperlink>
      <w:r>
        <w:rPr>
          <w:color w:val="3953A4"/>
          <w:spacing w:val="1"/>
          <w:w w:val="95"/>
          <w:sz w:val="22"/>
        </w:rPr>
        <w:t> </w:t>
      </w:r>
      <w:r>
        <w:rPr>
          <w:color w:val="010202"/>
          <w:sz w:val="22"/>
        </w:rPr>
        <w:t>offers training and certification for CBT</w:t>
      </w:r>
      <w:r>
        <w:rPr>
          <w:color w:val="010202"/>
          <w:spacing w:val="1"/>
          <w:sz w:val="22"/>
        </w:rPr>
        <w:t> </w:t>
      </w:r>
      <w:r>
        <w:rPr>
          <w:color w:val="010202"/>
          <w:sz w:val="22"/>
        </w:rPr>
        <w:t>administrators (i.e., professionals, educators,</w:t>
      </w:r>
      <w:r>
        <w:rPr>
          <w:color w:val="010202"/>
          <w:spacing w:val="1"/>
          <w:sz w:val="22"/>
        </w:rPr>
        <w:t> </w:t>
      </w:r>
      <w:r>
        <w:rPr>
          <w:color w:val="010202"/>
          <w:sz w:val="22"/>
        </w:rPr>
        <w:t>graduate</w:t>
      </w:r>
      <w:r>
        <w:rPr>
          <w:color w:val="010202"/>
          <w:spacing w:val="-2"/>
          <w:sz w:val="22"/>
        </w:rPr>
        <w:t> </w:t>
      </w:r>
      <w:r>
        <w:rPr>
          <w:color w:val="010202"/>
          <w:sz w:val="22"/>
        </w:rPr>
        <w:t>students),</w:t>
      </w:r>
      <w:r>
        <w:rPr>
          <w:color w:val="010202"/>
          <w:spacing w:val="-3"/>
          <w:sz w:val="22"/>
        </w:rPr>
        <w:t> </w:t>
      </w:r>
      <w:r>
        <w:rPr>
          <w:color w:val="010202"/>
          <w:sz w:val="22"/>
        </w:rPr>
        <w:t>online</w:t>
      </w:r>
      <w:r>
        <w:rPr>
          <w:color w:val="010202"/>
          <w:spacing w:val="-2"/>
          <w:sz w:val="22"/>
        </w:rPr>
        <w:t> </w:t>
      </w:r>
      <w:r>
        <w:rPr>
          <w:color w:val="010202"/>
          <w:sz w:val="22"/>
        </w:rPr>
        <w:t>and</w:t>
      </w:r>
      <w:r>
        <w:rPr>
          <w:color w:val="010202"/>
          <w:spacing w:val="-1"/>
          <w:sz w:val="22"/>
        </w:rPr>
        <w:t> </w:t>
      </w:r>
      <w:r>
        <w:rPr>
          <w:color w:val="010202"/>
          <w:sz w:val="22"/>
        </w:rPr>
        <w:t>in-person</w:t>
      </w:r>
      <w:r>
        <w:rPr>
          <w:color w:val="010202"/>
          <w:spacing w:val="-2"/>
          <w:sz w:val="22"/>
        </w:rPr>
        <w:t> </w:t>
      </w:r>
      <w:r>
        <w:rPr>
          <w:color w:val="010202"/>
          <w:sz w:val="22"/>
        </w:rPr>
        <w:t>training</w:t>
      </w:r>
    </w:p>
    <w:p>
      <w:pPr>
        <w:pStyle w:val="BodyText"/>
        <w:spacing w:line="249" w:lineRule="auto" w:before="91"/>
        <w:ind w:left="879" w:right="1041"/>
        <w:jc w:val="both"/>
      </w:pPr>
      <w:r>
        <w:rPr/>
        <w:br w:type="column"/>
      </w:r>
      <w:r>
        <w:rPr>
          <w:color w:val="010202"/>
        </w:rPr>
        <w:t>courses, newsletters, assistance with program</w:t>
      </w:r>
      <w:r>
        <w:rPr>
          <w:color w:val="010202"/>
          <w:spacing w:val="-52"/>
        </w:rPr>
        <w:t> </w:t>
      </w:r>
      <w:r>
        <w:rPr>
          <w:color w:val="010202"/>
        </w:rPr>
        <w:t>implementation, and information on utilizing</w:t>
      </w:r>
      <w:r>
        <w:rPr>
          <w:color w:val="010202"/>
          <w:spacing w:val="-52"/>
        </w:rPr>
        <w:t> </w:t>
      </w:r>
      <w:r>
        <w:rPr>
          <w:color w:val="010202"/>
        </w:rPr>
        <w:t>supervisors</w:t>
      </w:r>
      <w:r>
        <w:rPr>
          <w:color w:val="010202"/>
          <w:spacing w:val="-2"/>
        </w:rPr>
        <w:t> </w:t>
      </w:r>
      <w:r>
        <w:rPr>
          <w:color w:val="010202"/>
        </w:rPr>
        <w:t>and</w:t>
      </w:r>
      <w:r>
        <w:rPr>
          <w:color w:val="010202"/>
          <w:spacing w:val="-1"/>
        </w:rPr>
        <w:t> </w:t>
      </w:r>
      <w:r>
        <w:rPr>
          <w:color w:val="010202"/>
        </w:rPr>
        <w:t>consultants.</w:t>
      </w:r>
      <w:r>
        <w:rPr>
          <w:color w:val="010202"/>
          <w:vertAlign w:val="superscript"/>
        </w:rPr>
        <w:t>82</w:t>
      </w:r>
    </w:p>
    <w:p>
      <w:pPr>
        <w:pStyle w:val="ListParagraph"/>
        <w:numPr>
          <w:ilvl w:val="0"/>
          <w:numId w:val="19"/>
        </w:numPr>
        <w:tabs>
          <w:tab w:pos="880" w:val="left" w:leader="none"/>
        </w:tabs>
        <w:spacing w:line="256" w:lineRule="exact" w:before="0" w:after="0"/>
        <w:ind w:left="879" w:right="0" w:hanging="361"/>
        <w:jc w:val="both"/>
        <w:rPr>
          <w:sz w:val="22"/>
        </w:rPr>
      </w:pPr>
      <w:r>
        <w:rPr>
          <w:color w:val="010202"/>
          <w:sz w:val="22"/>
        </w:rPr>
        <w:t>The</w:t>
      </w:r>
      <w:r>
        <w:rPr>
          <w:color w:val="010202"/>
          <w:spacing w:val="-3"/>
          <w:sz w:val="22"/>
        </w:rPr>
        <w:t> </w:t>
      </w:r>
      <w:r>
        <w:rPr>
          <w:color w:val="010202"/>
          <w:sz w:val="22"/>
        </w:rPr>
        <w:t>Evidence-Based</w:t>
      </w:r>
      <w:r>
        <w:rPr>
          <w:color w:val="010202"/>
          <w:spacing w:val="-2"/>
          <w:sz w:val="22"/>
        </w:rPr>
        <w:t> </w:t>
      </w:r>
      <w:r>
        <w:rPr>
          <w:color w:val="010202"/>
          <w:sz w:val="22"/>
        </w:rPr>
        <w:t>Practice</w:t>
      </w:r>
    </w:p>
    <w:p>
      <w:pPr>
        <w:pStyle w:val="BodyText"/>
        <w:spacing w:line="249" w:lineRule="auto" w:before="10"/>
        <w:ind w:left="880" w:right="810" w:hanging="1"/>
      </w:pPr>
      <w:r>
        <w:rPr>
          <w:color w:val="0E0F0F"/>
        </w:rPr>
        <w:t>Institute’s </w:t>
      </w:r>
      <w:hyperlink r:id="rId263">
        <w:r>
          <w:rPr>
            <w:color w:val="3953A4"/>
            <w:u w:val="single" w:color="3953A4"/>
          </w:rPr>
          <w:t>Intersecting Epidemics: Evidenced</w:t>
        </w:r>
      </w:hyperlink>
      <w:r>
        <w:rPr>
          <w:color w:val="3953A4"/>
          <w:spacing w:val="1"/>
        </w:rPr>
        <w:t> </w:t>
      </w:r>
      <w:hyperlink r:id="rId263">
        <w:r>
          <w:rPr>
            <w:color w:val="3953A4"/>
            <w:spacing w:val="-1"/>
            <w:u w:val="single" w:color="3953A4"/>
          </w:rPr>
          <w:t>Based Approaches</w:t>
        </w:r>
        <w:r>
          <w:rPr>
            <w:color w:val="3953A4"/>
            <w:spacing w:val="53"/>
            <w:u w:val="single" w:color="3953A4"/>
          </w:rPr>
          <w:t> </w:t>
        </w:r>
        <w:r>
          <w:rPr>
            <w:color w:val="3953A4"/>
            <w:spacing w:val="-1"/>
            <w:u w:val="single" w:color="3953A4"/>
          </w:rPr>
          <w:t>for</w:t>
        </w:r>
        <w:r>
          <w:rPr>
            <w:color w:val="3953A4"/>
            <w:spacing w:val="53"/>
            <w:u w:val="single" w:color="3953A4"/>
          </w:rPr>
          <w:t> </w:t>
        </w:r>
        <w:r>
          <w:rPr>
            <w:color w:val="3953A4"/>
            <w:spacing w:val="-1"/>
            <w:u w:val="single" w:color="3953A4"/>
          </w:rPr>
          <w:t>Treating</w:t>
        </w:r>
        <w:r>
          <w:rPr>
            <w:color w:val="3953A4"/>
            <w:spacing w:val="53"/>
            <w:u w:val="single" w:color="3953A4"/>
          </w:rPr>
          <w:t> </w:t>
        </w:r>
        <w:r>
          <w:rPr>
            <w:color w:val="3953A4"/>
            <w:u w:val="single" w:color="3953A4"/>
          </w:rPr>
          <w:t>Depression</w:t>
        </w:r>
      </w:hyperlink>
      <w:r>
        <w:rPr>
          <w:color w:val="3953A4"/>
          <w:spacing w:val="1"/>
        </w:rPr>
        <w:t> </w:t>
      </w:r>
      <w:hyperlink r:id="rId263">
        <w:r>
          <w:rPr>
            <w:color w:val="3953A4"/>
            <w:u w:val="single" w:color="3953A4"/>
          </w:rPr>
          <w:t>and HIV/AIDS</w:t>
        </w:r>
      </w:hyperlink>
      <w:r>
        <w:rPr>
          <w:color w:val="3953A4"/>
        </w:rPr>
        <w:t> </w:t>
      </w:r>
      <w:r>
        <w:rPr>
          <w:color w:val="0E0F0F"/>
        </w:rPr>
        <w:t>is an on-demand course (paid</w:t>
      </w:r>
      <w:r>
        <w:rPr>
          <w:color w:val="0E0F0F"/>
          <w:spacing w:val="1"/>
        </w:rPr>
        <w:t> </w:t>
      </w:r>
      <w:r>
        <w:rPr>
          <w:color w:val="0E0F0F"/>
        </w:rPr>
        <w:t>ac</w:t>
      </w:r>
      <w:r>
        <w:rPr>
          <w:color w:val="010202"/>
        </w:rPr>
        <w:t>cess), including a video recording, slides, and</w:t>
      </w:r>
      <w:r>
        <w:rPr>
          <w:color w:val="010202"/>
          <w:spacing w:val="-52"/>
        </w:rPr>
        <w:t> </w:t>
      </w:r>
      <w:r>
        <w:rPr>
          <w:color w:val="010202"/>
        </w:rPr>
        <w:t>handouts.</w:t>
      </w:r>
      <w:r>
        <w:rPr>
          <w:color w:val="010202"/>
          <w:vertAlign w:val="superscript"/>
        </w:rPr>
        <w:t>83</w:t>
      </w:r>
    </w:p>
    <w:p>
      <w:pPr>
        <w:pStyle w:val="ListParagraph"/>
        <w:numPr>
          <w:ilvl w:val="0"/>
          <w:numId w:val="19"/>
        </w:numPr>
        <w:tabs>
          <w:tab w:pos="879" w:val="left" w:leader="none"/>
          <w:tab w:pos="880" w:val="left" w:leader="none"/>
        </w:tabs>
        <w:spacing w:line="249" w:lineRule="auto" w:before="0" w:after="0"/>
        <w:ind w:left="879" w:right="728" w:hanging="360"/>
        <w:jc w:val="left"/>
        <w:rPr>
          <w:sz w:val="22"/>
        </w:rPr>
      </w:pPr>
      <w:r>
        <w:rPr>
          <w:color w:val="010202"/>
          <w:sz w:val="22"/>
        </w:rPr>
        <w:t>Massachusetts General Hospital offers an</w:t>
      </w:r>
      <w:r>
        <w:rPr>
          <w:color w:val="3953A4"/>
          <w:sz w:val="22"/>
        </w:rPr>
        <w:t> </w:t>
      </w:r>
      <w:hyperlink r:id="rId264">
        <w:r>
          <w:rPr>
            <w:color w:val="3953A4"/>
            <w:sz w:val="22"/>
            <w:u w:val="single" w:color="3953A4"/>
          </w:rPr>
          <w:t>online</w:t>
        </w:r>
      </w:hyperlink>
      <w:r>
        <w:rPr>
          <w:color w:val="3953A4"/>
          <w:spacing w:val="-52"/>
          <w:sz w:val="22"/>
        </w:rPr>
        <w:t> </w:t>
      </w:r>
      <w:hyperlink r:id="rId264">
        <w:r>
          <w:rPr>
            <w:color w:val="3953A4"/>
            <w:sz w:val="22"/>
            <w:u w:val="single" w:color="3953A4"/>
          </w:rPr>
          <w:t>CBT program</w:t>
        </w:r>
      </w:hyperlink>
      <w:r>
        <w:rPr>
          <w:color w:val="010202"/>
          <w:sz w:val="22"/>
          <w:u w:val="single" w:color="3953A4"/>
        </w:rPr>
        <w:t> l</w:t>
      </w:r>
      <w:r>
        <w:rPr>
          <w:color w:val="010202"/>
          <w:sz w:val="22"/>
        </w:rPr>
        <w:t>ed by clinical experts (through</w:t>
      </w:r>
      <w:r>
        <w:rPr>
          <w:color w:val="010202"/>
          <w:spacing w:val="1"/>
          <w:sz w:val="22"/>
        </w:rPr>
        <w:t> </w:t>
      </w:r>
      <w:r>
        <w:rPr>
          <w:color w:val="010202"/>
          <w:sz w:val="22"/>
        </w:rPr>
        <w:t>paid access) for practitioners, including live</w:t>
      </w:r>
      <w:r>
        <w:rPr>
          <w:color w:val="010202"/>
          <w:spacing w:val="1"/>
          <w:sz w:val="22"/>
        </w:rPr>
        <w:t> </w:t>
      </w:r>
      <w:r>
        <w:rPr>
          <w:color w:val="010202"/>
          <w:sz w:val="22"/>
        </w:rPr>
        <w:t>chats with faculty and interactive discussion</w:t>
      </w:r>
      <w:r>
        <w:rPr>
          <w:color w:val="010202"/>
          <w:spacing w:val="1"/>
          <w:sz w:val="22"/>
        </w:rPr>
        <w:t> </w:t>
      </w:r>
      <w:r>
        <w:rPr>
          <w:color w:val="010202"/>
          <w:sz w:val="22"/>
        </w:rPr>
        <w:t>boards.</w:t>
      </w:r>
      <w:r>
        <w:rPr>
          <w:color w:val="010202"/>
          <w:sz w:val="22"/>
          <w:vertAlign w:val="superscript"/>
        </w:rPr>
        <w:t>84</w:t>
      </w:r>
    </w:p>
    <w:p>
      <w:pPr>
        <w:pStyle w:val="Heading6"/>
        <w:spacing w:before="187"/>
        <w:ind w:left="159"/>
      </w:pPr>
      <w:r>
        <w:rPr>
          <w:color w:val="CE384B"/>
        </w:rPr>
        <w:t>Patient</w:t>
      </w:r>
      <w:r>
        <w:rPr>
          <w:color w:val="CE384B"/>
          <w:spacing w:val="-5"/>
        </w:rPr>
        <w:t> </w:t>
      </w:r>
      <w:r>
        <w:rPr>
          <w:color w:val="CE384B"/>
        </w:rPr>
        <w:t>Navigation</w:t>
      </w:r>
    </w:p>
    <w:p>
      <w:pPr>
        <w:pStyle w:val="ListParagraph"/>
        <w:numPr>
          <w:ilvl w:val="0"/>
          <w:numId w:val="19"/>
        </w:numPr>
        <w:tabs>
          <w:tab w:pos="879" w:val="left" w:leader="none"/>
          <w:tab w:pos="880" w:val="left" w:leader="none"/>
        </w:tabs>
        <w:spacing w:line="249" w:lineRule="auto" w:before="86" w:after="0"/>
        <w:ind w:left="879" w:right="748" w:hanging="360"/>
        <w:jc w:val="left"/>
        <w:rPr>
          <w:sz w:val="22"/>
        </w:rPr>
      </w:pPr>
      <w:r>
        <w:rPr>
          <w:color w:val="010202"/>
          <w:sz w:val="22"/>
        </w:rPr>
        <w:t>Texas Institute for Excellence in Mental Health</w:t>
      </w:r>
      <w:r>
        <w:rPr>
          <w:color w:val="3953A4"/>
          <w:spacing w:val="1"/>
          <w:sz w:val="22"/>
        </w:rPr>
        <w:t> </w:t>
      </w:r>
      <w:hyperlink r:id="rId265">
        <w:r>
          <w:rPr>
            <w:color w:val="3953A4"/>
            <w:sz w:val="22"/>
            <w:u w:val="single" w:color="3953A4"/>
          </w:rPr>
          <w:t>Peer Specialist Training and Certification</w:t>
        </w:r>
      </w:hyperlink>
      <w:r>
        <w:rPr>
          <w:color w:val="3953A4"/>
          <w:spacing w:val="1"/>
          <w:sz w:val="22"/>
        </w:rPr>
        <w:t> </w:t>
      </w:r>
      <w:hyperlink r:id="rId265">
        <w:r>
          <w:rPr>
            <w:color w:val="3953A4"/>
            <w:spacing w:val="-1"/>
            <w:sz w:val="22"/>
            <w:u w:val="single" w:color="3953A4"/>
          </w:rPr>
          <w:t>Programs: A National Overview</w:t>
        </w:r>
        <w:r>
          <w:rPr>
            <w:color w:val="3953A4"/>
            <w:spacing w:val="-1"/>
            <w:sz w:val="22"/>
          </w:rPr>
          <w:t> </w:t>
        </w:r>
      </w:hyperlink>
      <w:r>
        <w:rPr>
          <w:color w:val="231F20"/>
          <w:sz w:val="22"/>
        </w:rPr>
        <w:t>is a compilation</w:t>
      </w:r>
      <w:r>
        <w:rPr>
          <w:color w:val="231F20"/>
          <w:spacing w:val="-52"/>
          <w:sz w:val="22"/>
        </w:rPr>
        <w:t> </w:t>
      </w:r>
      <w:r>
        <w:rPr>
          <w:color w:val="231F20"/>
          <w:sz w:val="22"/>
        </w:rPr>
        <w:t>of information on existing peer specialist</w:t>
      </w:r>
      <w:r>
        <w:rPr>
          <w:color w:val="231F20"/>
          <w:spacing w:val="1"/>
          <w:sz w:val="22"/>
        </w:rPr>
        <w:t> </w:t>
      </w:r>
      <w:r>
        <w:rPr>
          <w:color w:val="010202"/>
          <w:sz w:val="22"/>
        </w:rPr>
        <w:t>training and certification programs in the United</w:t>
      </w:r>
      <w:r>
        <w:rPr>
          <w:color w:val="010202"/>
          <w:spacing w:val="-52"/>
          <w:sz w:val="22"/>
        </w:rPr>
        <w:t> </w:t>
      </w:r>
      <w:r>
        <w:rPr>
          <w:color w:val="010202"/>
          <w:sz w:val="22"/>
        </w:rPr>
        <w:t>States.</w:t>
      </w:r>
      <w:r>
        <w:rPr>
          <w:color w:val="010202"/>
          <w:sz w:val="22"/>
          <w:vertAlign w:val="superscript"/>
        </w:rPr>
        <w:t>85</w:t>
      </w:r>
    </w:p>
    <w:p>
      <w:pPr>
        <w:pStyle w:val="ListParagraph"/>
        <w:numPr>
          <w:ilvl w:val="0"/>
          <w:numId w:val="19"/>
        </w:numPr>
        <w:tabs>
          <w:tab w:pos="879" w:val="left" w:leader="none"/>
          <w:tab w:pos="880" w:val="left" w:leader="none"/>
        </w:tabs>
        <w:spacing w:line="249" w:lineRule="auto" w:before="0" w:after="0"/>
        <w:ind w:left="879" w:right="736" w:hanging="360"/>
        <w:jc w:val="left"/>
        <w:rPr>
          <w:sz w:val="22"/>
        </w:rPr>
      </w:pPr>
      <w:hyperlink r:id="rId224">
        <w:r>
          <w:rPr>
            <w:color w:val="3953A4"/>
            <w:sz w:val="22"/>
            <w:u w:val="single" w:color="3953A4"/>
          </w:rPr>
          <w:t>Best Practices for Integrating Peer Navigators</w:t>
        </w:r>
      </w:hyperlink>
      <w:r>
        <w:rPr>
          <w:color w:val="3953A4"/>
          <w:spacing w:val="1"/>
          <w:sz w:val="22"/>
        </w:rPr>
        <w:t> </w:t>
      </w:r>
      <w:hyperlink r:id="rId224">
        <w:r>
          <w:rPr>
            <w:color w:val="3953A4"/>
            <w:spacing w:val="-1"/>
            <w:sz w:val="22"/>
            <w:u w:val="single" w:color="3953A4"/>
          </w:rPr>
          <w:t>into </w:t>
        </w:r>
        <w:r>
          <w:rPr>
            <w:color w:val="3953A4"/>
            <w:sz w:val="22"/>
            <w:u w:val="single" w:color="3953A4"/>
          </w:rPr>
          <w:t>HIV Models of Care</w:t>
        </w:r>
      </w:hyperlink>
      <w:r>
        <w:rPr>
          <w:color w:val="3953A4"/>
          <w:sz w:val="22"/>
        </w:rPr>
        <w:t> </w:t>
      </w:r>
      <w:r>
        <w:rPr>
          <w:color w:val="010202"/>
          <w:sz w:val="22"/>
        </w:rPr>
        <w:t>is an AIDS United</w:t>
      </w:r>
      <w:r>
        <w:rPr>
          <w:color w:val="010202"/>
          <w:spacing w:val="1"/>
          <w:sz w:val="22"/>
        </w:rPr>
        <w:t> </w:t>
      </w:r>
      <w:r>
        <w:rPr>
          <w:color w:val="010202"/>
          <w:sz w:val="22"/>
        </w:rPr>
        <w:t>publication that provides findings and lessons</w:t>
      </w:r>
      <w:r>
        <w:rPr>
          <w:color w:val="010202"/>
          <w:spacing w:val="1"/>
          <w:sz w:val="22"/>
        </w:rPr>
        <w:t> </w:t>
      </w:r>
      <w:r>
        <w:rPr>
          <w:color w:val="010202"/>
          <w:sz w:val="22"/>
        </w:rPr>
        <w:t>learned from diverse peer navigation models and</w:t>
      </w:r>
      <w:r>
        <w:rPr>
          <w:color w:val="010202"/>
          <w:spacing w:val="-52"/>
          <w:sz w:val="22"/>
        </w:rPr>
        <w:t> </w:t>
      </w:r>
      <w:r>
        <w:rPr>
          <w:color w:val="010202"/>
          <w:sz w:val="22"/>
        </w:rPr>
        <w:t>grantee</w:t>
      </w:r>
      <w:r>
        <w:rPr>
          <w:color w:val="010202"/>
          <w:spacing w:val="-1"/>
          <w:sz w:val="22"/>
        </w:rPr>
        <w:t> </w:t>
      </w:r>
      <w:r>
        <w:rPr>
          <w:color w:val="010202"/>
          <w:sz w:val="22"/>
        </w:rPr>
        <w:t>types.</w:t>
      </w:r>
      <w:r>
        <w:rPr>
          <w:color w:val="010202"/>
          <w:sz w:val="22"/>
          <w:vertAlign w:val="superscript"/>
        </w:rPr>
        <w:t>86</w:t>
      </w:r>
    </w:p>
    <w:p>
      <w:pPr>
        <w:pStyle w:val="ListParagraph"/>
        <w:numPr>
          <w:ilvl w:val="0"/>
          <w:numId w:val="19"/>
        </w:numPr>
        <w:tabs>
          <w:tab w:pos="879" w:val="left" w:leader="none"/>
          <w:tab w:pos="880" w:val="left" w:leader="none"/>
        </w:tabs>
        <w:spacing w:line="249" w:lineRule="auto" w:before="0" w:after="0"/>
        <w:ind w:left="879" w:right="731" w:hanging="360"/>
        <w:jc w:val="left"/>
        <w:rPr>
          <w:sz w:val="22"/>
        </w:rPr>
      </w:pPr>
      <w:r>
        <w:rPr>
          <w:color w:val="010202"/>
          <w:spacing w:val="-1"/>
          <w:sz w:val="22"/>
        </w:rPr>
        <w:t>As part of the National Minority AIDS Council’s</w:t>
      </w:r>
      <w:r>
        <w:rPr>
          <w:color w:val="010202"/>
          <w:spacing w:val="-52"/>
          <w:sz w:val="22"/>
        </w:rPr>
        <w:t> </w:t>
      </w:r>
      <w:r>
        <w:rPr>
          <w:color w:val="010202"/>
          <w:sz w:val="22"/>
        </w:rPr>
        <w:t>Organizational Effectiveness </w:t>
      </w:r>
      <w:r>
        <w:rPr>
          <w:color w:val="231F20"/>
          <w:sz w:val="22"/>
        </w:rPr>
        <w:t>Series: Building</w:t>
      </w:r>
      <w:r>
        <w:rPr>
          <w:color w:val="231F20"/>
          <w:spacing w:val="1"/>
          <w:sz w:val="22"/>
        </w:rPr>
        <w:t> </w:t>
      </w:r>
      <w:r>
        <w:rPr>
          <w:color w:val="231F20"/>
          <w:sz w:val="22"/>
        </w:rPr>
        <w:t>Healthy Organizations,</w:t>
      </w:r>
      <w:r>
        <w:rPr>
          <w:color w:val="3953A4"/>
          <w:sz w:val="22"/>
        </w:rPr>
        <w:t> </w:t>
      </w:r>
      <w:hyperlink r:id="rId266">
        <w:r>
          <w:rPr>
            <w:color w:val="3953A4"/>
            <w:sz w:val="22"/>
            <w:u w:val="single" w:color="3953A4"/>
          </w:rPr>
          <w:t>HIV Navigation</w:t>
        </w:r>
      </w:hyperlink>
      <w:r>
        <w:rPr>
          <w:color w:val="3953A4"/>
          <w:spacing w:val="1"/>
          <w:sz w:val="22"/>
        </w:rPr>
        <w:t> </w:t>
      </w:r>
      <w:hyperlink r:id="rId266">
        <w:r>
          <w:rPr>
            <w:color w:val="3953A4"/>
            <w:sz w:val="22"/>
            <w:u w:val="single" w:color="3953A4"/>
          </w:rPr>
          <w:t>Services:</w:t>
        </w:r>
        <w:r>
          <w:rPr>
            <w:color w:val="3953A4"/>
            <w:spacing w:val="-7"/>
            <w:sz w:val="22"/>
            <w:u w:val="single" w:color="3953A4"/>
          </w:rPr>
          <w:t> </w:t>
        </w:r>
        <w:r>
          <w:rPr>
            <w:color w:val="3953A4"/>
            <w:sz w:val="22"/>
            <w:u w:val="single" w:color="3953A4"/>
          </w:rPr>
          <w:t>A</w:t>
        </w:r>
        <w:r>
          <w:rPr>
            <w:color w:val="3953A4"/>
            <w:spacing w:val="-7"/>
            <w:sz w:val="22"/>
            <w:u w:val="single" w:color="3953A4"/>
          </w:rPr>
          <w:t> </w:t>
        </w:r>
        <w:r>
          <w:rPr>
            <w:color w:val="3953A4"/>
            <w:sz w:val="22"/>
            <w:u w:val="single" w:color="3953A4"/>
          </w:rPr>
          <w:t>Guide</w:t>
        </w:r>
        <w:r>
          <w:rPr>
            <w:color w:val="3953A4"/>
            <w:spacing w:val="5"/>
            <w:sz w:val="22"/>
            <w:u w:val="single" w:color="3953A4"/>
          </w:rPr>
          <w:t> </w:t>
        </w:r>
        <w:r>
          <w:rPr>
            <w:color w:val="3953A4"/>
            <w:sz w:val="22"/>
            <w:u w:val="single" w:color="3953A4"/>
          </w:rPr>
          <w:t>to</w:t>
        </w:r>
        <w:r>
          <w:rPr>
            <w:color w:val="3953A4"/>
            <w:spacing w:val="6"/>
            <w:sz w:val="22"/>
            <w:u w:val="single" w:color="3953A4"/>
          </w:rPr>
          <w:t> </w:t>
        </w:r>
        <w:r>
          <w:rPr>
            <w:color w:val="3953A4"/>
            <w:sz w:val="22"/>
            <w:u w:val="single" w:color="3953A4"/>
          </w:rPr>
          <w:t>Peer</w:t>
        </w:r>
        <w:r>
          <w:rPr>
            <w:color w:val="3953A4"/>
            <w:spacing w:val="5"/>
            <w:sz w:val="22"/>
            <w:u w:val="single" w:color="3953A4"/>
          </w:rPr>
          <w:t> </w:t>
        </w:r>
        <w:r>
          <w:rPr>
            <w:color w:val="3953A4"/>
            <w:sz w:val="22"/>
            <w:u w:val="single" w:color="3953A4"/>
          </w:rPr>
          <w:t>and</w:t>
        </w:r>
        <w:r>
          <w:rPr>
            <w:color w:val="3953A4"/>
            <w:spacing w:val="6"/>
            <w:sz w:val="22"/>
            <w:u w:val="single" w:color="3953A4"/>
          </w:rPr>
          <w:t> </w:t>
        </w:r>
        <w:r>
          <w:rPr>
            <w:color w:val="3953A4"/>
            <w:sz w:val="22"/>
            <w:u w:val="single" w:color="3953A4"/>
          </w:rPr>
          <w:t>Patient</w:t>
        </w:r>
      </w:hyperlink>
      <w:r>
        <w:rPr>
          <w:color w:val="3953A4"/>
          <w:spacing w:val="1"/>
          <w:sz w:val="22"/>
        </w:rPr>
        <w:t> </w:t>
      </w:r>
      <w:hyperlink r:id="rId266">
        <w:r>
          <w:rPr>
            <w:color w:val="3953A4"/>
            <w:sz w:val="22"/>
            <w:u w:val="single" w:color="3953A4"/>
          </w:rPr>
          <w:t>Navigation</w:t>
        </w:r>
        <w:r>
          <w:rPr>
            <w:color w:val="3953A4"/>
            <w:spacing w:val="-3"/>
            <w:sz w:val="22"/>
            <w:u w:val="single" w:color="3953A4"/>
          </w:rPr>
          <w:t> </w:t>
        </w:r>
        <w:r>
          <w:rPr>
            <w:color w:val="3953A4"/>
            <w:sz w:val="22"/>
            <w:u w:val="single" w:color="3953A4"/>
          </w:rPr>
          <w:t>Programs</w:t>
        </w:r>
        <w:r>
          <w:rPr>
            <w:color w:val="3953A4"/>
            <w:spacing w:val="-1"/>
            <w:sz w:val="22"/>
          </w:rPr>
          <w:t> </w:t>
        </w:r>
      </w:hyperlink>
      <w:r>
        <w:rPr>
          <w:color w:val="0E0F0F"/>
          <w:sz w:val="22"/>
        </w:rPr>
        <w:t>provides</w:t>
      </w:r>
      <w:r>
        <w:rPr>
          <w:color w:val="0E0F0F"/>
          <w:spacing w:val="-1"/>
          <w:sz w:val="22"/>
        </w:rPr>
        <w:t> </w:t>
      </w:r>
      <w:r>
        <w:rPr>
          <w:color w:val="0E0F0F"/>
          <w:sz w:val="22"/>
        </w:rPr>
        <w:t>information</w:t>
      </w:r>
    </w:p>
    <w:p>
      <w:pPr>
        <w:pStyle w:val="BodyText"/>
        <w:spacing w:line="249" w:lineRule="auto"/>
        <w:ind w:left="879" w:right="945"/>
      </w:pPr>
      <w:r>
        <w:rPr>
          <w:color w:val="0E0F0F"/>
        </w:rPr>
        <w:t>and tools to use in planning and implementing</w:t>
      </w:r>
      <w:r>
        <w:rPr>
          <w:color w:val="0E0F0F"/>
          <w:spacing w:val="-52"/>
        </w:rPr>
        <w:t> </w:t>
      </w:r>
      <w:r>
        <w:rPr>
          <w:color w:val="0E0F0F"/>
        </w:rPr>
        <w:t>pa</w:t>
      </w:r>
      <w:r>
        <w:rPr>
          <w:color w:val="010202"/>
        </w:rPr>
        <w:t>t</w:t>
      </w:r>
      <w:r>
        <w:rPr>
          <w:color w:val="231F20"/>
        </w:rPr>
        <w:t>ient</w:t>
      </w:r>
      <w:r>
        <w:rPr>
          <w:color w:val="231F20"/>
          <w:spacing w:val="-2"/>
        </w:rPr>
        <w:t> </w:t>
      </w:r>
      <w:r>
        <w:rPr>
          <w:color w:val="010202"/>
        </w:rPr>
        <w:t>navigation programs.</w:t>
      </w:r>
      <w:r>
        <w:rPr>
          <w:color w:val="010202"/>
          <w:vertAlign w:val="superscript"/>
        </w:rPr>
        <w:t>87</w:t>
      </w:r>
    </w:p>
    <w:p>
      <w:pPr>
        <w:pStyle w:val="ListParagraph"/>
        <w:numPr>
          <w:ilvl w:val="0"/>
          <w:numId w:val="19"/>
        </w:numPr>
        <w:tabs>
          <w:tab w:pos="879" w:val="left" w:leader="none"/>
          <w:tab w:pos="880" w:val="left" w:leader="none"/>
        </w:tabs>
        <w:spacing w:line="256" w:lineRule="exact" w:before="0" w:after="0"/>
        <w:ind w:left="879" w:right="0" w:hanging="361"/>
        <w:jc w:val="left"/>
        <w:rPr>
          <w:sz w:val="22"/>
        </w:rPr>
      </w:pPr>
      <w:hyperlink r:id="rId221">
        <w:r>
          <w:rPr>
            <w:color w:val="3953A4"/>
            <w:spacing w:val="-1"/>
            <w:sz w:val="22"/>
            <w:u w:val="single" w:color="3953A4"/>
          </w:rPr>
          <w:t>The</w:t>
        </w:r>
        <w:r>
          <w:rPr>
            <w:color w:val="3953A4"/>
            <w:sz w:val="22"/>
            <w:u w:val="single" w:color="3953A4"/>
          </w:rPr>
          <w:t> </w:t>
        </w:r>
        <w:r>
          <w:rPr>
            <w:color w:val="3953A4"/>
            <w:spacing w:val="-1"/>
            <w:sz w:val="22"/>
            <w:u w:val="single" w:color="3953A4"/>
          </w:rPr>
          <w:t>Peer</w:t>
        </w:r>
        <w:r>
          <w:rPr>
            <w:color w:val="3953A4"/>
            <w:spacing w:val="-12"/>
            <w:sz w:val="22"/>
            <w:u w:val="single" w:color="3953A4"/>
          </w:rPr>
          <w:t> </w:t>
        </w:r>
        <w:r>
          <w:rPr>
            <w:color w:val="3953A4"/>
            <w:spacing w:val="-1"/>
            <w:sz w:val="22"/>
            <w:u w:val="single" w:color="3953A4"/>
          </w:rPr>
          <w:t>Assisted</w:t>
        </w:r>
        <w:r>
          <w:rPr>
            <w:color w:val="3953A4"/>
            <w:spacing w:val="-5"/>
            <w:sz w:val="22"/>
            <w:u w:val="single" w:color="3953A4"/>
          </w:rPr>
          <w:t> </w:t>
        </w:r>
        <w:r>
          <w:rPr>
            <w:color w:val="3953A4"/>
            <w:spacing w:val="-1"/>
            <w:sz w:val="22"/>
            <w:u w:val="single" w:color="3953A4"/>
          </w:rPr>
          <w:t>Treatment</w:t>
        </w:r>
        <w:r>
          <w:rPr>
            <w:color w:val="3953A4"/>
            <w:spacing w:val="1"/>
            <w:sz w:val="22"/>
            <w:u w:val="single" w:color="3953A4"/>
          </w:rPr>
          <w:t> </w:t>
        </w:r>
        <w:r>
          <w:rPr>
            <w:color w:val="3953A4"/>
            <w:sz w:val="22"/>
            <w:u w:val="single" w:color="3953A4"/>
          </w:rPr>
          <w:t>of HIV</w:t>
        </w:r>
        <w:r>
          <w:rPr>
            <w:color w:val="3953A4"/>
            <w:spacing w:val="-4"/>
            <w:sz w:val="22"/>
            <w:u w:val="single" w:color="3953A4"/>
          </w:rPr>
          <w:t> </w:t>
        </w:r>
        <w:r>
          <w:rPr>
            <w:color w:val="3953A4"/>
            <w:sz w:val="22"/>
            <w:u w:val="single" w:color="3953A4"/>
          </w:rPr>
          <w:t>and</w:t>
        </w:r>
        <w:r>
          <w:rPr>
            <w:color w:val="3953A4"/>
            <w:spacing w:val="1"/>
            <w:sz w:val="22"/>
            <w:u w:val="single" w:color="3953A4"/>
          </w:rPr>
          <w:t> </w:t>
        </w:r>
      </w:hyperlink>
    </w:p>
    <w:p>
      <w:pPr>
        <w:pStyle w:val="BodyText"/>
        <w:spacing w:line="249" w:lineRule="auto"/>
        <w:ind w:left="879" w:right="854"/>
      </w:pPr>
      <w:hyperlink r:id="rId221">
        <w:r>
          <w:rPr>
            <w:color w:val="3953A4"/>
            <w:u w:val="single" w:color="3953A4"/>
          </w:rPr>
          <w:t>Substance (PATHS) Model guid</w:t>
        </w:r>
      </w:hyperlink>
      <w:r>
        <w:rPr>
          <w:color w:val="3953A4"/>
          <w:u w:val="single" w:color="3953A4"/>
        </w:rPr>
        <w:t>e d</w:t>
      </w:r>
      <w:r>
        <w:rPr>
          <w:color w:val="010202"/>
        </w:rPr>
        <w:t>escribes the</w:t>
      </w:r>
      <w:r>
        <w:rPr>
          <w:color w:val="010202"/>
          <w:spacing w:val="-52"/>
        </w:rPr>
        <w:t> </w:t>
      </w:r>
      <w:r>
        <w:rPr>
          <w:color w:val="010202"/>
        </w:rPr>
        <w:t>development, implementation, and evaluation</w:t>
      </w:r>
      <w:r>
        <w:rPr>
          <w:color w:val="010202"/>
          <w:spacing w:val="1"/>
        </w:rPr>
        <w:t> </w:t>
      </w:r>
      <w:r>
        <w:rPr>
          <w:color w:val="010202"/>
        </w:rPr>
        <w:t>of a navigation program that incorporates peers</w:t>
      </w:r>
      <w:r>
        <w:rPr>
          <w:color w:val="010202"/>
          <w:spacing w:val="-52"/>
        </w:rPr>
        <w:t> </w:t>
      </w:r>
      <w:r>
        <w:rPr>
          <w:color w:val="010202"/>
        </w:rPr>
        <w:t>into a substance use treatment program for</w:t>
      </w:r>
      <w:r>
        <w:rPr>
          <w:color w:val="010202"/>
          <w:spacing w:val="1"/>
        </w:rPr>
        <w:t> </w:t>
      </w:r>
      <w:r>
        <w:rPr>
          <w:color w:val="010202"/>
        </w:rPr>
        <w:t>people</w:t>
      </w:r>
      <w:r>
        <w:rPr>
          <w:color w:val="010202"/>
          <w:spacing w:val="-1"/>
        </w:rPr>
        <w:t> </w:t>
      </w:r>
      <w:r>
        <w:rPr>
          <w:color w:val="010202"/>
        </w:rPr>
        <w:t>with</w:t>
      </w:r>
      <w:r>
        <w:rPr>
          <w:color w:val="010202"/>
          <w:spacing w:val="-2"/>
        </w:rPr>
        <w:t> </w:t>
      </w:r>
      <w:r>
        <w:rPr>
          <w:color w:val="010202"/>
        </w:rPr>
        <w:t>HIV.</w:t>
      </w:r>
      <w:r>
        <w:rPr>
          <w:color w:val="010202"/>
          <w:vertAlign w:val="superscript"/>
        </w:rPr>
        <w:t>88</w:t>
      </w:r>
    </w:p>
    <w:p>
      <w:pPr>
        <w:pStyle w:val="ListParagraph"/>
        <w:numPr>
          <w:ilvl w:val="0"/>
          <w:numId w:val="19"/>
        </w:numPr>
        <w:tabs>
          <w:tab w:pos="879" w:val="left" w:leader="none"/>
          <w:tab w:pos="880" w:val="left" w:leader="none"/>
        </w:tabs>
        <w:spacing w:line="249" w:lineRule="auto" w:before="0" w:after="0"/>
        <w:ind w:left="879" w:right="997" w:hanging="360"/>
        <w:jc w:val="left"/>
        <w:rPr>
          <w:sz w:val="22"/>
        </w:rPr>
      </w:pPr>
      <w:r>
        <w:rPr>
          <w:color w:val="010202"/>
          <w:sz w:val="22"/>
        </w:rPr>
        <w:t>Rural Health Information Hub’s</w:t>
      </w:r>
      <w:r>
        <w:rPr>
          <w:color w:val="3953A4"/>
          <w:sz w:val="22"/>
        </w:rPr>
        <w:t> </w:t>
      </w:r>
      <w:hyperlink r:id="rId267">
        <w:r>
          <w:rPr>
            <w:color w:val="3953A4"/>
            <w:sz w:val="22"/>
            <w:u w:val="single" w:color="3953A4"/>
          </w:rPr>
          <w:t>Rural HIV/</w:t>
        </w:r>
      </w:hyperlink>
      <w:r>
        <w:rPr>
          <w:color w:val="3953A4"/>
          <w:spacing w:val="1"/>
          <w:sz w:val="22"/>
        </w:rPr>
        <w:t> </w:t>
      </w:r>
      <w:hyperlink r:id="rId267">
        <w:r>
          <w:rPr>
            <w:color w:val="3953A4"/>
            <w:sz w:val="22"/>
            <w:u w:val="single" w:color="3953A4"/>
          </w:rPr>
          <w:t>AIDS Prevention and Treatment Toolkit</w:t>
        </w:r>
      </w:hyperlink>
      <w:r>
        <w:rPr>
          <w:color w:val="3953A4"/>
          <w:spacing w:val="1"/>
          <w:sz w:val="22"/>
        </w:rPr>
        <w:t> </w:t>
      </w:r>
      <w:r>
        <w:rPr>
          <w:color w:val="0E0F0F"/>
          <w:sz w:val="22"/>
        </w:rPr>
        <w:t>contains resources and information focused</w:t>
      </w:r>
      <w:r>
        <w:rPr>
          <w:color w:val="0E0F0F"/>
          <w:spacing w:val="1"/>
          <w:sz w:val="22"/>
        </w:rPr>
        <w:t> </w:t>
      </w:r>
      <w:r>
        <w:rPr>
          <w:color w:val="0E0F0F"/>
          <w:sz w:val="22"/>
        </w:rPr>
        <w:t>on</w:t>
      </w:r>
      <w:r>
        <w:rPr>
          <w:color w:val="0E0F0F"/>
          <w:spacing w:val="-4"/>
          <w:sz w:val="22"/>
        </w:rPr>
        <w:t> </w:t>
      </w:r>
      <w:r>
        <w:rPr>
          <w:color w:val="0E0F0F"/>
          <w:sz w:val="22"/>
        </w:rPr>
        <w:t>developi</w:t>
      </w:r>
      <w:r>
        <w:rPr>
          <w:color w:val="010202"/>
          <w:sz w:val="22"/>
        </w:rPr>
        <w:t>ng,</w:t>
      </w:r>
      <w:r>
        <w:rPr>
          <w:color w:val="010202"/>
          <w:spacing w:val="-3"/>
          <w:sz w:val="22"/>
        </w:rPr>
        <w:t> </w:t>
      </w:r>
      <w:r>
        <w:rPr>
          <w:color w:val="010202"/>
          <w:sz w:val="22"/>
        </w:rPr>
        <w:t>implementing,</w:t>
      </w:r>
      <w:r>
        <w:rPr>
          <w:color w:val="010202"/>
          <w:spacing w:val="-3"/>
          <w:sz w:val="22"/>
        </w:rPr>
        <w:t> </w:t>
      </w:r>
      <w:r>
        <w:rPr>
          <w:color w:val="010202"/>
          <w:sz w:val="22"/>
        </w:rPr>
        <w:t>evaluating,</w:t>
      </w:r>
      <w:r>
        <w:rPr>
          <w:color w:val="010202"/>
          <w:spacing w:val="-4"/>
          <w:sz w:val="22"/>
        </w:rPr>
        <w:t> </w:t>
      </w:r>
      <w:r>
        <w:rPr>
          <w:color w:val="010202"/>
          <w:sz w:val="22"/>
        </w:rPr>
        <w:t>and</w:t>
      </w:r>
    </w:p>
    <w:p>
      <w:pPr>
        <w:pStyle w:val="BodyText"/>
        <w:spacing w:line="249" w:lineRule="auto"/>
        <w:ind w:left="879" w:right="811"/>
      </w:pPr>
      <w:r>
        <w:rPr>
          <w:color w:val="010202"/>
        </w:rPr>
        <w:t>sustaining rural HIV/AIDS programs, including</w:t>
      </w:r>
      <w:r>
        <w:rPr>
          <w:color w:val="010202"/>
          <w:spacing w:val="-53"/>
        </w:rPr>
        <w:t> </w:t>
      </w:r>
      <w:r>
        <w:rPr>
          <w:color w:val="010202"/>
        </w:rPr>
        <w:t>a</w:t>
      </w:r>
      <w:r>
        <w:rPr>
          <w:color w:val="010202"/>
          <w:spacing w:val="-1"/>
        </w:rPr>
        <w:t> </w:t>
      </w:r>
      <w:r>
        <w:rPr>
          <w:color w:val="010202"/>
        </w:rPr>
        <w:t>patient navigation</w:t>
      </w:r>
      <w:r>
        <w:rPr>
          <w:color w:val="010202"/>
          <w:spacing w:val="-1"/>
        </w:rPr>
        <w:t> </w:t>
      </w:r>
      <w:r>
        <w:rPr>
          <w:color w:val="010202"/>
        </w:rPr>
        <w:t>model.</w:t>
      </w:r>
      <w:r>
        <w:rPr>
          <w:color w:val="010202"/>
          <w:vertAlign w:val="superscript"/>
        </w:rPr>
        <w:t>89</w:t>
      </w:r>
    </w:p>
    <w:p>
      <w:pPr>
        <w:spacing w:after="0" w:line="249" w:lineRule="auto"/>
        <w:sectPr>
          <w:type w:val="continuous"/>
          <w:pgSz w:w="12240" w:h="15840"/>
          <w:pgMar w:header="0" w:footer="666" w:top="1500" w:bottom="0" w:left="560" w:right="0"/>
          <w:cols w:num="2" w:equalWidth="0">
            <w:col w:w="5234" w:space="526"/>
            <w:col w:w="5920"/>
          </w:cols>
        </w:sectPr>
      </w:pPr>
    </w:p>
    <w:p>
      <w:pPr>
        <w:pStyle w:val="BodyText"/>
        <w:rPr>
          <w:sz w:val="20"/>
        </w:rPr>
      </w:pPr>
    </w:p>
    <w:p>
      <w:pPr>
        <w:pStyle w:val="BodyText"/>
        <w:rPr>
          <w:sz w:val="20"/>
        </w:rPr>
      </w:pPr>
    </w:p>
    <w:p>
      <w:pPr>
        <w:pStyle w:val="BodyText"/>
        <w:rPr>
          <w:sz w:val="20"/>
        </w:rPr>
      </w:pPr>
    </w:p>
    <w:p>
      <w:pPr>
        <w:spacing w:before="241"/>
        <w:ind w:left="160" w:right="0" w:firstLine="0"/>
        <w:jc w:val="left"/>
        <w:rPr>
          <w:rFonts w:ascii="Arial Black"/>
          <w:sz w:val="35"/>
        </w:rPr>
      </w:pPr>
      <w:bookmarkStart w:name="Reference List" w:id="104"/>
      <w:bookmarkEnd w:id="104"/>
      <w:r>
        <w:rPr/>
      </w:r>
      <w:r>
        <w:rPr>
          <w:rFonts w:ascii="Arial Black"/>
          <w:color w:val="231F20"/>
          <w:sz w:val="35"/>
        </w:rPr>
        <w:t>Reference</w:t>
      </w:r>
      <w:r>
        <w:rPr>
          <w:rFonts w:ascii="Arial Black"/>
          <w:color w:val="231F20"/>
          <w:spacing w:val="-11"/>
          <w:sz w:val="35"/>
        </w:rPr>
        <w:t> </w:t>
      </w:r>
      <w:r>
        <w:rPr>
          <w:rFonts w:ascii="Arial Black"/>
          <w:color w:val="231F20"/>
          <w:sz w:val="35"/>
        </w:rPr>
        <w:t>List</w:t>
      </w:r>
    </w:p>
    <w:p>
      <w:pPr>
        <w:pStyle w:val="BodyText"/>
        <w:rPr>
          <w:rFonts w:ascii="Arial Black"/>
          <w:sz w:val="20"/>
        </w:rPr>
      </w:pPr>
    </w:p>
    <w:p>
      <w:pPr>
        <w:pStyle w:val="BodyText"/>
        <w:rPr>
          <w:rFonts w:ascii="Arial Black"/>
          <w:sz w:val="20"/>
        </w:rPr>
      </w:pPr>
    </w:p>
    <w:p>
      <w:pPr>
        <w:pStyle w:val="BodyText"/>
        <w:spacing w:before="5"/>
        <w:rPr>
          <w:rFonts w:ascii="Arial Black"/>
          <w:sz w:val="18"/>
        </w:rPr>
      </w:pPr>
    </w:p>
    <w:p>
      <w:pPr>
        <w:spacing w:after="0"/>
        <w:rPr>
          <w:rFonts w:ascii="Arial Black"/>
          <w:sz w:val="18"/>
        </w:rPr>
        <w:sectPr>
          <w:pgSz w:w="12240" w:h="15840"/>
          <w:pgMar w:header="0" w:footer="666" w:top="380" w:bottom="860" w:left="560" w:right="0"/>
        </w:sectPr>
      </w:pPr>
    </w:p>
    <w:p>
      <w:pPr>
        <w:pStyle w:val="BodyText"/>
        <w:tabs>
          <w:tab w:pos="519" w:val="left" w:leader="none"/>
        </w:tabs>
        <w:spacing w:line="228" w:lineRule="auto" w:before="101"/>
        <w:ind w:left="520" w:right="356" w:hanging="360"/>
      </w:pPr>
      <w:r>
        <w:rPr/>
        <w:pict>
          <v:rect style="position:absolute;margin-left:0pt;margin-top:116.329102pt;width:612pt;height:1pt;mso-position-horizontal-relative:page;mso-position-vertical-relative:page;z-index:-18126848" id="docshape153" filled="true" fillcolor="#ce372e" stroked="false">
            <v:fill type="solid"/>
            <w10:wrap type="none"/>
          </v:rect>
        </w:pict>
      </w:r>
      <w:r>
        <w:rPr>
          <w:color w:val="231F20"/>
          <w:vertAlign w:val="superscript"/>
        </w:rPr>
        <w:t>1</w:t>
      </w:r>
      <w:r>
        <w:rPr>
          <w:color w:val="231F20"/>
          <w:vertAlign w:val="baseline"/>
        </w:rPr>
        <w:tab/>
        <w:t>Veniegas, R. C., Kao, U. H., &amp; Rosales, R.</w:t>
      </w:r>
      <w:r>
        <w:rPr>
          <w:color w:val="231F20"/>
          <w:spacing w:val="1"/>
          <w:vertAlign w:val="baseline"/>
        </w:rPr>
        <w:t> </w:t>
      </w:r>
      <w:r>
        <w:rPr>
          <w:color w:val="231F20"/>
          <w:spacing w:val="-1"/>
          <w:vertAlign w:val="baseline"/>
        </w:rPr>
        <w:t>(2009). Adapting </w:t>
      </w:r>
      <w:r>
        <w:rPr>
          <w:color w:val="231F20"/>
          <w:vertAlign w:val="baseline"/>
        </w:rPr>
        <w:t>HIV prevention evidence-based</w:t>
      </w:r>
      <w:r>
        <w:rPr>
          <w:color w:val="231F20"/>
          <w:spacing w:val="-52"/>
          <w:vertAlign w:val="baseline"/>
        </w:rPr>
        <w:t> </w:t>
      </w:r>
      <w:r>
        <w:rPr>
          <w:color w:val="231F20"/>
          <w:vertAlign w:val="baseline"/>
        </w:rPr>
        <w:t>interventions</w:t>
      </w:r>
      <w:r>
        <w:rPr>
          <w:color w:val="231F20"/>
          <w:spacing w:val="-1"/>
          <w:vertAlign w:val="baseline"/>
        </w:rPr>
        <w:t> </w:t>
      </w:r>
      <w:r>
        <w:rPr>
          <w:color w:val="231F20"/>
          <w:vertAlign w:val="baseline"/>
        </w:rPr>
        <w:t>in</w:t>
      </w:r>
      <w:r>
        <w:rPr>
          <w:color w:val="231F20"/>
          <w:spacing w:val="-1"/>
          <w:vertAlign w:val="baseline"/>
        </w:rPr>
        <w:t> </w:t>
      </w:r>
      <w:r>
        <w:rPr>
          <w:color w:val="231F20"/>
          <w:vertAlign w:val="baseline"/>
        </w:rPr>
        <w:t>practice</w:t>
      </w:r>
      <w:r>
        <w:rPr>
          <w:color w:val="231F20"/>
          <w:spacing w:val="-1"/>
          <w:vertAlign w:val="baseline"/>
        </w:rPr>
        <w:t> </w:t>
      </w:r>
      <w:r>
        <w:rPr>
          <w:color w:val="231F20"/>
          <w:vertAlign w:val="baseline"/>
        </w:rPr>
        <w:t>settings:</w:t>
      </w:r>
      <w:r>
        <w:rPr>
          <w:color w:val="231F20"/>
          <w:spacing w:val="-14"/>
          <w:vertAlign w:val="baseline"/>
        </w:rPr>
        <w:t> </w:t>
      </w:r>
      <w:r>
        <w:rPr>
          <w:color w:val="231F20"/>
          <w:vertAlign w:val="baseline"/>
        </w:rPr>
        <w:t>An</w:t>
      </w:r>
      <w:r>
        <w:rPr>
          <w:color w:val="231F20"/>
          <w:spacing w:val="-2"/>
          <w:vertAlign w:val="baseline"/>
        </w:rPr>
        <w:t> </w:t>
      </w:r>
      <w:r>
        <w:rPr>
          <w:color w:val="231F20"/>
          <w:vertAlign w:val="baseline"/>
        </w:rPr>
        <w:t>interview</w:t>
      </w:r>
    </w:p>
    <w:p>
      <w:pPr>
        <w:spacing w:line="228" w:lineRule="auto" w:before="0"/>
        <w:ind w:left="520" w:right="164" w:firstLine="0"/>
        <w:jc w:val="left"/>
        <w:rPr>
          <w:sz w:val="22"/>
        </w:rPr>
      </w:pPr>
      <w:r>
        <w:rPr>
          <w:color w:val="231F20"/>
          <w:sz w:val="22"/>
        </w:rPr>
        <w:t>study.</w:t>
      </w:r>
      <w:r>
        <w:rPr>
          <w:color w:val="231F20"/>
          <w:spacing w:val="-6"/>
          <w:sz w:val="22"/>
        </w:rPr>
        <w:t> </w:t>
      </w:r>
      <w:r>
        <w:rPr>
          <w:i/>
          <w:color w:val="231F20"/>
          <w:sz w:val="22"/>
        </w:rPr>
        <w:t>Implementation</w:t>
      </w:r>
      <w:r>
        <w:rPr>
          <w:i/>
          <w:color w:val="231F20"/>
          <w:spacing w:val="-6"/>
          <w:sz w:val="22"/>
        </w:rPr>
        <w:t> </w:t>
      </w:r>
      <w:r>
        <w:rPr>
          <w:i/>
          <w:color w:val="231F20"/>
          <w:sz w:val="22"/>
        </w:rPr>
        <w:t>Science,</w:t>
      </w:r>
      <w:r>
        <w:rPr>
          <w:i/>
          <w:color w:val="231F20"/>
          <w:spacing w:val="-6"/>
          <w:sz w:val="22"/>
        </w:rPr>
        <w:t> </w:t>
      </w:r>
      <w:r>
        <w:rPr>
          <w:i/>
          <w:color w:val="231F20"/>
          <w:sz w:val="22"/>
        </w:rPr>
        <w:t>4</w:t>
      </w:r>
      <w:r>
        <w:rPr>
          <w:color w:val="231F20"/>
          <w:sz w:val="22"/>
        </w:rPr>
        <w:t>(1),</w:t>
      </w:r>
      <w:r>
        <w:rPr>
          <w:color w:val="231F20"/>
          <w:spacing w:val="-6"/>
          <w:sz w:val="22"/>
        </w:rPr>
        <w:t> </w:t>
      </w:r>
      <w:r>
        <w:rPr>
          <w:color w:val="231F20"/>
          <w:sz w:val="22"/>
        </w:rPr>
        <w:t>76.</w:t>
      </w:r>
      <w:hyperlink r:id="rId268">
        <w:r>
          <w:rPr>
            <w:color w:val="3953A4"/>
            <w:spacing w:val="-6"/>
            <w:sz w:val="22"/>
            <w:u w:val="single" w:color="3953A4"/>
          </w:rPr>
          <w:t> </w:t>
        </w:r>
        <w:r>
          <w:rPr>
            <w:color w:val="3953A4"/>
            <w:sz w:val="22"/>
            <w:u w:val="single" w:color="3953A4"/>
          </w:rPr>
          <w:t>https://doi.</w:t>
        </w:r>
      </w:hyperlink>
      <w:r>
        <w:rPr>
          <w:color w:val="3953A4"/>
          <w:spacing w:val="-52"/>
          <w:sz w:val="22"/>
        </w:rPr>
        <w:t> </w:t>
      </w:r>
      <w:hyperlink r:id="rId268">
        <w:r>
          <w:rPr>
            <w:color w:val="3953A4"/>
            <w:sz w:val="22"/>
            <w:u w:val="single" w:color="3953A4"/>
          </w:rPr>
          <w:t>org/10.1186/1748-5908-4-76</w:t>
        </w:r>
      </w:hyperlink>
    </w:p>
    <w:p>
      <w:pPr>
        <w:pStyle w:val="BodyText"/>
        <w:tabs>
          <w:tab w:pos="519" w:val="left" w:leader="none"/>
        </w:tabs>
        <w:spacing w:line="228" w:lineRule="auto" w:before="88"/>
        <w:ind w:left="520" w:right="174" w:hanging="360"/>
      </w:pPr>
      <w:r>
        <w:rPr>
          <w:color w:val="231F20"/>
          <w:vertAlign w:val="superscript"/>
        </w:rPr>
        <w:t>2</w:t>
      </w:r>
      <w:r>
        <w:rPr>
          <w:color w:val="231F20"/>
          <w:vertAlign w:val="baseline"/>
        </w:rPr>
        <w:tab/>
      </w:r>
      <w:r>
        <w:rPr>
          <w:color w:val="231F20"/>
          <w:spacing w:val="-3"/>
          <w:vertAlign w:val="baseline"/>
        </w:rPr>
        <w:t>Kegeles, S. M., Rebchook, G., </w:t>
      </w:r>
      <w:r>
        <w:rPr>
          <w:color w:val="231F20"/>
          <w:spacing w:val="-2"/>
          <w:vertAlign w:val="baseline"/>
        </w:rPr>
        <w:t>Tebbetts, S., Arnold,</w:t>
      </w:r>
      <w:r>
        <w:rPr>
          <w:color w:val="231F20"/>
          <w:spacing w:val="-1"/>
          <w:vertAlign w:val="baseline"/>
        </w:rPr>
        <w:t> </w:t>
      </w:r>
      <w:r>
        <w:rPr>
          <w:color w:val="231F20"/>
          <w:spacing w:val="-3"/>
          <w:vertAlign w:val="baseline"/>
        </w:rPr>
        <w:t>E.,</w:t>
      </w:r>
      <w:r>
        <w:rPr>
          <w:color w:val="231F20"/>
          <w:spacing w:val="4"/>
          <w:vertAlign w:val="baseline"/>
        </w:rPr>
        <w:t> </w:t>
      </w:r>
      <w:r>
        <w:rPr>
          <w:color w:val="231F20"/>
          <w:spacing w:val="-3"/>
          <w:vertAlign w:val="baseline"/>
        </w:rPr>
        <w:t>&amp;</w:t>
      </w:r>
      <w:r>
        <w:rPr>
          <w:color w:val="231F20"/>
          <w:vertAlign w:val="baseline"/>
        </w:rPr>
        <w:t> </w:t>
      </w:r>
      <w:r>
        <w:rPr>
          <w:color w:val="231F20"/>
          <w:spacing w:val="-3"/>
          <w:vertAlign w:val="baseline"/>
        </w:rPr>
        <w:t>TRIP</w:t>
      </w:r>
      <w:r>
        <w:rPr>
          <w:color w:val="231F20"/>
          <w:spacing w:val="-8"/>
          <w:vertAlign w:val="baseline"/>
        </w:rPr>
        <w:t> </w:t>
      </w:r>
      <w:r>
        <w:rPr>
          <w:color w:val="231F20"/>
          <w:spacing w:val="-3"/>
          <w:vertAlign w:val="baseline"/>
        </w:rPr>
        <w:t>Team.</w:t>
      </w:r>
      <w:r>
        <w:rPr>
          <w:color w:val="231F20"/>
          <w:spacing w:val="4"/>
          <w:vertAlign w:val="baseline"/>
        </w:rPr>
        <w:t> </w:t>
      </w:r>
      <w:r>
        <w:rPr>
          <w:color w:val="231F20"/>
          <w:spacing w:val="-2"/>
          <w:vertAlign w:val="baseline"/>
        </w:rPr>
        <w:t>(2015).</w:t>
      </w:r>
      <w:r>
        <w:rPr>
          <w:color w:val="231F20"/>
          <w:spacing w:val="5"/>
          <w:vertAlign w:val="baseline"/>
        </w:rPr>
        <w:t> </w:t>
      </w:r>
      <w:r>
        <w:rPr>
          <w:color w:val="231F20"/>
          <w:spacing w:val="-2"/>
          <w:vertAlign w:val="baseline"/>
        </w:rPr>
        <w:t>Facilitators</w:t>
      </w:r>
      <w:r>
        <w:rPr>
          <w:color w:val="231F20"/>
          <w:spacing w:val="3"/>
          <w:vertAlign w:val="baseline"/>
        </w:rPr>
        <w:t> </w:t>
      </w:r>
      <w:r>
        <w:rPr>
          <w:color w:val="231F20"/>
          <w:spacing w:val="-2"/>
          <w:vertAlign w:val="baseline"/>
        </w:rPr>
        <w:t>and</w:t>
      </w:r>
      <w:r>
        <w:rPr>
          <w:color w:val="231F20"/>
          <w:spacing w:val="5"/>
          <w:vertAlign w:val="baseline"/>
        </w:rPr>
        <w:t> </w:t>
      </w:r>
      <w:r>
        <w:rPr>
          <w:color w:val="231F20"/>
          <w:spacing w:val="-2"/>
          <w:vertAlign w:val="baseline"/>
        </w:rPr>
        <w:t>barriers</w:t>
      </w:r>
      <w:r>
        <w:rPr>
          <w:color w:val="231F20"/>
          <w:spacing w:val="-1"/>
          <w:vertAlign w:val="baseline"/>
        </w:rPr>
        <w:t> to</w:t>
      </w:r>
      <w:r>
        <w:rPr>
          <w:color w:val="231F20"/>
          <w:spacing w:val="-12"/>
          <w:vertAlign w:val="baseline"/>
        </w:rPr>
        <w:t> </w:t>
      </w:r>
      <w:r>
        <w:rPr>
          <w:color w:val="231F20"/>
          <w:spacing w:val="-1"/>
          <w:vertAlign w:val="baseline"/>
        </w:rPr>
        <w:t>effective</w:t>
      </w:r>
      <w:r>
        <w:rPr>
          <w:color w:val="231F20"/>
          <w:spacing w:val="-11"/>
          <w:vertAlign w:val="baseline"/>
        </w:rPr>
        <w:t> </w:t>
      </w:r>
      <w:r>
        <w:rPr>
          <w:color w:val="231F20"/>
          <w:spacing w:val="-1"/>
          <w:vertAlign w:val="baseline"/>
        </w:rPr>
        <w:t>scale-up</w:t>
      </w:r>
      <w:r>
        <w:rPr>
          <w:color w:val="231F20"/>
          <w:spacing w:val="-12"/>
          <w:vertAlign w:val="baseline"/>
        </w:rPr>
        <w:t> </w:t>
      </w:r>
      <w:r>
        <w:rPr>
          <w:color w:val="231F20"/>
          <w:spacing w:val="-1"/>
          <w:vertAlign w:val="baseline"/>
        </w:rPr>
        <w:t>of</w:t>
      </w:r>
      <w:r>
        <w:rPr>
          <w:color w:val="231F20"/>
          <w:spacing w:val="-12"/>
          <w:vertAlign w:val="baseline"/>
        </w:rPr>
        <w:t> </w:t>
      </w:r>
      <w:r>
        <w:rPr>
          <w:color w:val="231F20"/>
          <w:spacing w:val="-1"/>
          <w:vertAlign w:val="baseline"/>
        </w:rPr>
        <w:t>an</w:t>
      </w:r>
      <w:r>
        <w:rPr>
          <w:color w:val="231F20"/>
          <w:spacing w:val="-11"/>
          <w:vertAlign w:val="baseline"/>
        </w:rPr>
        <w:t> </w:t>
      </w:r>
      <w:r>
        <w:rPr>
          <w:color w:val="231F20"/>
          <w:spacing w:val="-1"/>
          <w:vertAlign w:val="baseline"/>
        </w:rPr>
        <w:t>evidence-based</w:t>
      </w:r>
      <w:r>
        <w:rPr>
          <w:color w:val="231F20"/>
          <w:spacing w:val="-12"/>
          <w:vertAlign w:val="baseline"/>
        </w:rPr>
        <w:t> </w:t>
      </w:r>
      <w:r>
        <w:rPr>
          <w:color w:val="231F20"/>
          <w:spacing w:val="-1"/>
          <w:vertAlign w:val="baseline"/>
        </w:rPr>
        <w:t>multilevel</w:t>
      </w:r>
    </w:p>
    <w:p>
      <w:pPr>
        <w:spacing w:line="228" w:lineRule="auto" w:before="0"/>
        <w:ind w:left="520" w:right="37" w:firstLine="0"/>
        <w:jc w:val="left"/>
        <w:rPr>
          <w:sz w:val="22"/>
        </w:rPr>
      </w:pPr>
      <w:r>
        <w:rPr>
          <w:color w:val="231F20"/>
          <w:spacing w:val="-2"/>
          <w:sz w:val="22"/>
        </w:rPr>
        <w:t>HIV</w:t>
      </w:r>
      <w:r>
        <w:rPr>
          <w:color w:val="231F20"/>
          <w:spacing w:val="-12"/>
          <w:sz w:val="22"/>
        </w:rPr>
        <w:t> </w:t>
      </w:r>
      <w:r>
        <w:rPr>
          <w:color w:val="231F20"/>
          <w:spacing w:val="-2"/>
          <w:sz w:val="22"/>
        </w:rPr>
        <w:t>prevention</w:t>
      </w:r>
      <w:r>
        <w:rPr>
          <w:color w:val="231F20"/>
          <w:spacing w:val="-8"/>
          <w:sz w:val="22"/>
        </w:rPr>
        <w:t> </w:t>
      </w:r>
      <w:r>
        <w:rPr>
          <w:color w:val="231F20"/>
          <w:spacing w:val="-2"/>
          <w:sz w:val="22"/>
        </w:rPr>
        <w:t>intervention.</w:t>
      </w:r>
      <w:r>
        <w:rPr>
          <w:color w:val="231F20"/>
          <w:spacing w:val="-8"/>
          <w:sz w:val="22"/>
        </w:rPr>
        <w:t> </w:t>
      </w:r>
      <w:r>
        <w:rPr>
          <w:i/>
          <w:color w:val="231F20"/>
          <w:spacing w:val="-2"/>
          <w:sz w:val="22"/>
        </w:rPr>
        <w:t>Implementation</w:t>
      </w:r>
      <w:r>
        <w:rPr>
          <w:i/>
          <w:color w:val="231F20"/>
          <w:spacing w:val="-8"/>
          <w:sz w:val="22"/>
        </w:rPr>
        <w:t> </w:t>
      </w:r>
      <w:r>
        <w:rPr>
          <w:i/>
          <w:color w:val="231F20"/>
          <w:spacing w:val="-1"/>
          <w:sz w:val="22"/>
        </w:rPr>
        <w:t>Science,</w:t>
      </w:r>
      <w:r>
        <w:rPr>
          <w:i/>
          <w:color w:val="231F20"/>
          <w:spacing w:val="-52"/>
          <w:sz w:val="22"/>
        </w:rPr>
        <w:t> </w:t>
      </w:r>
      <w:r>
        <w:rPr>
          <w:i/>
          <w:color w:val="231F20"/>
          <w:spacing w:val="-2"/>
          <w:sz w:val="22"/>
        </w:rPr>
        <w:t>10</w:t>
      </w:r>
      <w:r>
        <w:rPr>
          <w:color w:val="231F20"/>
          <w:spacing w:val="-2"/>
          <w:sz w:val="22"/>
        </w:rPr>
        <w:t>(1),</w:t>
      </w:r>
      <w:r>
        <w:rPr>
          <w:color w:val="231F20"/>
          <w:spacing w:val="-7"/>
          <w:sz w:val="22"/>
        </w:rPr>
        <w:t> </w:t>
      </w:r>
      <w:r>
        <w:rPr>
          <w:color w:val="231F20"/>
          <w:spacing w:val="-2"/>
          <w:sz w:val="22"/>
        </w:rPr>
        <w:t>50.</w:t>
      </w:r>
      <w:r>
        <w:rPr>
          <w:color w:val="231F20"/>
          <w:spacing w:val="-7"/>
          <w:sz w:val="22"/>
        </w:rPr>
        <w:t> </w:t>
      </w:r>
      <w:hyperlink r:id="rId269">
        <w:r>
          <w:rPr>
            <w:color w:val="3953A4"/>
            <w:spacing w:val="-2"/>
            <w:sz w:val="22"/>
            <w:u w:val="single" w:color="3953A4"/>
          </w:rPr>
          <w:t>https://doi.org/10.1186/s13012-015-0216-2</w:t>
        </w:r>
      </w:hyperlink>
    </w:p>
    <w:p>
      <w:pPr>
        <w:pStyle w:val="BodyText"/>
        <w:tabs>
          <w:tab w:pos="519" w:val="left" w:leader="none"/>
        </w:tabs>
        <w:spacing w:line="228" w:lineRule="auto" w:before="89"/>
        <w:ind w:left="520" w:right="353" w:hanging="360"/>
      </w:pPr>
      <w:r>
        <w:rPr>
          <w:color w:val="231F20"/>
          <w:vertAlign w:val="superscript"/>
        </w:rPr>
        <w:t>3</w:t>
      </w:r>
      <w:r>
        <w:rPr>
          <w:color w:val="231F20"/>
          <w:vertAlign w:val="baseline"/>
        </w:rPr>
        <w:tab/>
      </w:r>
      <w:r>
        <w:rPr>
          <w:color w:val="231F20"/>
          <w:spacing w:val="-4"/>
          <w:vertAlign w:val="baseline"/>
        </w:rPr>
        <w:t>Ramsey, </w:t>
      </w:r>
      <w:r>
        <w:rPr>
          <w:color w:val="231F20"/>
          <w:spacing w:val="-3"/>
          <w:vertAlign w:val="baseline"/>
        </w:rPr>
        <w:t>A., Lord, S., Torrey, J., Marsch, L., &amp;</w:t>
      </w:r>
      <w:r>
        <w:rPr>
          <w:color w:val="231F20"/>
          <w:spacing w:val="-2"/>
          <w:vertAlign w:val="baseline"/>
        </w:rPr>
        <w:t> </w:t>
      </w:r>
      <w:r>
        <w:rPr>
          <w:color w:val="231F20"/>
          <w:spacing w:val="-1"/>
          <w:vertAlign w:val="baseline"/>
        </w:rPr>
        <w:t>Lardiere,</w:t>
      </w:r>
      <w:r>
        <w:rPr>
          <w:color w:val="231F20"/>
          <w:spacing w:val="-12"/>
          <w:vertAlign w:val="baseline"/>
        </w:rPr>
        <w:t> </w:t>
      </w:r>
      <w:r>
        <w:rPr>
          <w:color w:val="231F20"/>
          <w:spacing w:val="-1"/>
          <w:vertAlign w:val="baseline"/>
        </w:rPr>
        <w:t>M.</w:t>
      </w:r>
      <w:r>
        <w:rPr>
          <w:color w:val="231F20"/>
          <w:spacing w:val="-12"/>
          <w:vertAlign w:val="baseline"/>
        </w:rPr>
        <w:t> </w:t>
      </w:r>
      <w:r>
        <w:rPr>
          <w:color w:val="231F20"/>
          <w:spacing w:val="-1"/>
          <w:vertAlign w:val="baseline"/>
        </w:rPr>
        <w:t>(2016).</w:t>
      </w:r>
      <w:r>
        <w:rPr>
          <w:color w:val="231F20"/>
          <w:spacing w:val="-12"/>
          <w:vertAlign w:val="baseline"/>
        </w:rPr>
        <w:t> </w:t>
      </w:r>
      <w:r>
        <w:rPr>
          <w:color w:val="231F20"/>
          <w:spacing w:val="-1"/>
          <w:vertAlign w:val="baseline"/>
        </w:rPr>
        <w:t>Paving</w:t>
      </w:r>
      <w:r>
        <w:rPr>
          <w:color w:val="231F20"/>
          <w:spacing w:val="-12"/>
          <w:vertAlign w:val="baseline"/>
        </w:rPr>
        <w:t> </w:t>
      </w:r>
      <w:r>
        <w:rPr>
          <w:color w:val="231F20"/>
          <w:vertAlign w:val="baseline"/>
        </w:rPr>
        <w:t>the</w:t>
      </w:r>
      <w:r>
        <w:rPr>
          <w:color w:val="231F20"/>
          <w:spacing w:val="-12"/>
          <w:vertAlign w:val="baseline"/>
        </w:rPr>
        <w:t> </w:t>
      </w:r>
      <w:r>
        <w:rPr>
          <w:color w:val="231F20"/>
          <w:vertAlign w:val="baseline"/>
        </w:rPr>
        <w:t>way</w:t>
      </w:r>
      <w:r>
        <w:rPr>
          <w:color w:val="231F20"/>
          <w:spacing w:val="-12"/>
          <w:vertAlign w:val="baseline"/>
        </w:rPr>
        <w:t> </w:t>
      </w:r>
      <w:r>
        <w:rPr>
          <w:color w:val="231F20"/>
          <w:vertAlign w:val="baseline"/>
        </w:rPr>
        <w:t>to</w:t>
      </w:r>
      <w:r>
        <w:rPr>
          <w:color w:val="231F20"/>
          <w:spacing w:val="-12"/>
          <w:vertAlign w:val="baseline"/>
        </w:rPr>
        <w:t> </w:t>
      </w:r>
      <w:r>
        <w:rPr>
          <w:color w:val="231F20"/>
          <w:vertAlign w:val="baseline"/>
        </w:rPr>
        <w:t>successful</w:t>
      </w:r>
      <w:r>
        <w:rPr>
          <w:color w:val="231F20"/>
          <w:spacing w:val="1"/>
          <w:vertAlign w:val="baseline"/>
        </w:rPr>
        <w:t> </w:t>
      </w:r>
      <w:r>
        <w:rPr>
          <w:color w:val="231F20"/>
          <w:spacing w:val="-1"/>
          <w:vertAlign w:val="baseline"/>
        </w:rPr>
        <w:t>implementation:</w:t>
      </w:r>
      <w:r>
        <w:rPr>
          <w:color w:val="231F20"/>
          <w:spacing w:val="-13"/>
          <w:vertAlign w:val="baseline"/>
        </w:rPr>
        <w:t> </w:t>
      </w:r>
      <w:r>
        <w:rPr>
          <w:color w:val="231F20"/>
          <w:vertAlign w:val="baseline"/>
        </w:rPr>
        <w:t>Identifying</w:t>
      </w:r>
      <w:r>
        <w:rPr>
          <w:color w:val="231F20"/>
          <w:spacing w:val="-12"/>
          <w:vertAlign w:val="baseline"/>
        </w:rPr>
        <w:t> </w:t>
      </w:r>
      <w:r>
        <w:rPr>
          <w:color w:val="231F20"/>
          <w:vertAlign w:val="baseline"/>
        </w:rPr>
        <w:t>key</w:t>
      </w:r>
      <w:r>
        <w:rPr>
          <w:color w:val="231F20"/>
          <w:spacing w:val="-12"/>
          <w:vertAlign w:val="baseline"/>
        </w:rPr>
        <w:t> </w:t>
      </w:r>
      <w:r>
        <w:rPr>
          <w:color w:val="231F20"/>
          <w:vertAlign w:val="baseline"/>
        </w:rPr>
        <w:t>barriers</w:t>
      </w:r>
      <w:r>
        <w:rPr>
          <w:color w:val="231F20"/>
          <w:spacing w:val="-12"/>
          <w:vertAlign w:val="baseline"/>
        </w:rPr>
        <w:t> </w:t>
      </w:r>
      <w:r>
        <w:rPr>
          <w:color w:val="231F20"/>
          <w:vertAlign w:val="baseline"/>
        </w:rPr>
        <w:t>to</w:t>
      </w:r>
      <w:r>
        <w:rPr>
          <w:color w:val="231F20"/>
          <w:spacing w:val="-13"/>
          <w:vertAlign w:val="baseline"/>
        </w:rPr>
        <w:t> </w:t>
      </w:r>
      <w:r>
        <w:rPr>
          <w:color w:val="231F20"/>
          <w:vertAlign w:val="baseline"/>
        </w:rPr>
        <w:t>use</w:t>
      </w:r>
      <w:r>
        <w:rPr>
          <w:color w:val="231F20"/>
          <w:spacing w:val="-12"/>
          <w:vertAlign w:val="baseline"/>
        </w:rPr>
        <w:t> </w:t>
      </w:r>
      <w:r>
        <w:rPr>
          <w:color w:val="231F20"/>
          <w:vertAlign w:val="baseline"/>
        </w:rPr>
        <w:t>of</w:t>
      </w:r>
      <w:r>
        <w:rPr>
          <w:color w:val="231F20"/>
          <w:spacing w:val="1"/>
          <w:vertAlign w:val="baseline"/>
        </w:rPr>
        <w:t> </w:t>
      </w:r>
      <w:r>
        <w:rPr>
          <w:color w:val="231F20"/>
          <w:spacing w:val="-1"/>
          <w:vertAlign w:val="baseline"/>
        </w:rPr>
        <w:t>technology-based therapeutic tools </w:t>
      </w:r>
      <w:r>
        <w:rPr>
          <w:color w:val="231F20"/>
          <w:vertAlign w:val="baseline"/>
        </w:rPr>
        <w:t>for behavioral</w:t>
      </w:r>
      <w:r>
        <w:rPr>
          <w:color w:val="231F20"/>
          <w:spacing w:val="-52"/>
          <w:vertAlign w:val="baseline"/>
        </w:rPr>
        <w:t> </w:t>
      </w:r>
      <w:r>
        <w:rPr>
          <w:color w:val="231F20"/>
          <w:spacing w:val="-1"/>
          <w:vertAlign w:val="baseline"/>
        </w:rPr>
        <w:t>health</w:t>
      </w:r>
      <w:r>
        <w:rPr>
          <w:color w:val="231F20"/>
          <w:spacing w:val="-12"/>
          <w:vertAlign w:val="baseline"/>
        </w:rPr>
        <w:t> </w:t>
      </w:r>
      <w:r>
        <w:rPr>
          <w:color w:val="231F20"/>
          <w:spacing w:val="-1"/>
          <w:vertAlign w:val="baseline"/>
        </w:rPr>
        <w:t>care.</w:t>
      </w:r>
      <w:r>
        <w:rPr>
          <w:color w:val="231F20"/>
          <w:spacing w:val="-12"/>
          <w:vertAlign w:val="baseline"/>
        </w:rPr>
        <w:t> </w:t>
      </w:r>
      <w:r>
        <w:rPr>
          <w:i/>
          <w:color w:val="231F20"/>
          <w:spacing w:val="-1"/>
          <w:vertAlign w:val="baseline"/>
        </w:rPr>
        <w:t>Journal</w:t>
      </w:r>
      <w:r>
        <w:rPr>
          <w:i/>
          <w:color w:val="231F20"/>
          <w:spacing w:val="-11"/>
          <w:vertAlign w:val="baseline"/>
        </w:rPr>
        <w:t> </w:t>
      </w:r>
      <w:r>
        <w:rPr>
          <w:i/>
          <w:color w:val="231F20"/>
          <w:spacing w:val="-1"/>
          <w:vertAlign w:val="baseline"/>
        </w:rPr>
        <w:t>of</w:t>
      </w:r>
      <w:r>
        <w:rPr>
          <w:i/>
          <w:color w:val="231F20"/>
          <w:spacing w:val="-11"/>
          <w:vertAlign w:val="baseline"/>
        </w:rPr>
        <w:t> </w:t>
      </w:r>
      <w:r>
        <w:rPr>
          <w:i/>
          <w:color w:val="231F20"/>
          <w:spacing w:val="-1"/>
          <w:vertAlign w:val="baseline"/>
        </w:rPr>
        <w:t>Behavioral</w:t>
      </w:r>
      <w:r>
        <w:rPr>
          <w:i/>
          <w:color w:val="231F20"/>
          <w:spacing w:val="-12"/>
          <w:vertAlign w:val="baseline"/>
        </w:rPr>
        <w:t> </w:t>
      </w:r>
      <w:r>
        <w:rPr>
          <w:i/>
          <w:color w:val="231F20"/>
          <w:spacing w:val="-1"/>
          <w:vertAlign w:val="baseline"/>
        </w:rPr>
        <w:t>Health</w:t>
      </w:r>
      <w:r>
        <w:rPr>
          <w:i/>
          <w:color w:val="231F20"/>
          <w:spacing w:val="-12"/>
          <w:vertAlign w:val="baseline"/>
        </w:rPr>
        <w:t> </w:t>
      </w:r>
      <w:r>
        <w:rPr>
          <w:i/>
          <w:color w:val="231F20"/>
          <w:vertAlign w:val="baseline"/>
        </w:rPr>
        <w:t>Services</w:t>
      </w:r>
      <w:r>
        <w:rPr>
          <w:i/>
          <w:color w:val="231F20"/>
          <w:spacing w:val="-52"/>
          <w:vertAlign w:val="baseline"/>
        </w:rPr>
        <w:t> </w:t>
      </w:r>
      <w:r>
        <w:rPr>
          <w:i/>
          <w:color w:val="231F20"/>
          <w:spacing w:val="-1"/>
          <w:vertAlign w:val="baseline"/>
        </w:rPr>
        <w:t>Research, 43</w:t>
      </w:r>
      <w:r>
        <w:rPr>
          <w:color w:val="231F20"/>
          <w:spacing w:val="-1"/>
          <w:vertAlign w:val="baseline"/>
        </w:rPr>
        <w:t>(1), 54-70. </w:t>
      </w:r>
      <w:hyperlink r:id="rId270">
        <w:r>
          <w:rPr>
            <w:color w:val="3953A4"/>
            <w:spacing w:val="-1"/>
            <w:u w:val="single" w:color="3953A4"/>
            <w:vertAlign w:val="baseline"/>
          </w:rPr>
          <w:t>https://doi.org/10.1007/</w:t>
        </w:r>
      </w:hyperlink>
      <w:r>
        <w:rPr>
          <w:color w:val="3953A4"/>
          <w:vertAlign w:val="baseline"/>
        </w:rPr>
        <w:t> </w:t>
      </w:r>
      <w:hyperlink r:id="rId270">
        <w:r>
          <w:rPr>
            <w:color w:val="3953A4"/>
            <w:u w:val="single" w:color="3953A4"/>
            <w:vertAlign w:val="baseline"/>
          </w:rPr>
          <w:t>s11414-014-9436-5</w:t>
        </w:r>
      </w:hyperlink>
    </w:p>
    <w:p>
      <w:pPr>
        <w:pStyle w:val="BodyText"/>
        <w:spacing w:line="228" w:lineRule="auto" w:before="87"/>
        <w:ind w:left="519" w:right="177" w:hanging="360"/>
        <w:jc w:val="both"/>
      </w:pPr>
      <w:r>
        <w:rPr>
          <w:color w:val="231F20"/>
          <w:vertAlign w:val="superscript"/>
        </w:rPr>
        <w:t>4</w:t>
      </w:r>
      <w:r>
        <w:rPr>
          <w:color w:val="231F20"/>
          <w:spacing w:val="1"/>
          <w:vertAlign w:val="baseline"/>
        </w:rPr>
        <w:t> </w:t>
      </w:r>
      <w:r>
        <w:rPr>
          <w:color w:val="231F20"/>
          <w:vertAlign w:val="baseline"/>
        </w:rPr>
        <w:t>Centers for Disease Control and Prevention. (2018,</w:t>
      </w:r>
      <w:r>
        <w:rPr>
          <w:color w:val="231F20"/>
          <w:spacing w:val="-52"/>
          <w:vertAlign w:val="baseline"/>
        </w:rPr>
        <w:t> </w:t>
      </w:r>
      <w:r>
        <w:rPr>
          <w:color w:val="231F20"/>
          <w:vertAlign w:val="baseline"/>
        </w:rPr>
        <w:t>December</w:t>
      </w:r>
      <w:r>
        <w:rPr>
          <w:color w:val="231F20"/>
          <w:spacing w:val="-9"/>
          <w:vertAlign w:val="baseline"/>
        </w:rPr>
        <w:t> </w:t>
      </w:r>
      <w:r>
        <w:rPr>
          <w:color w:val="231F20"/>
          <w:vertAlign w:val="baseline"/>
        </w:rPr>
        <w:t>18).</w:t>
      </w:r>
      <w:r>
        <w:rPr>
          <w:color w:val="231F20"/>
          <w:spacing w:val="-7"/>
          <w:vertAlign w:val="baseline"/>
        </w:rPr>
        <w:t> </w:t>
      </w:r>
      <w:r>
        <w:rPr>
          <w:i/>
          <w:color w:val="231F20"/>
          <w:vertAlign w:val="baseline"/>
        </w:rPr>
        <w:t>Logic</w:t>
      </w:r>
      <w:r>
        <w:rPr>
          <w:i/>
          <w:color w:val="231F20"/>
          <w:spacing w:val="-8"/>
          <w:vertAlign w:val="baseline"/>
        </w:rPr>
        <w:t> </w:t>
      </w:r>
      <w:r>
        <w:rPr>
          <w:i/>
          <w:color w:val="231F20"/>
          <w:vertAlign w:val="baseline"/>
        </w:rPr>
        <w:t>models</w:t>
      </w:r>
      <w:r>
        <w:rPr>
          <w:color w:val="231F20"/>
          <w:vertAlign w:val="baseline"/>
        </w:rPr>
        <w:t>.</w:t>
      </w:r>
      <w:r>
        <w:rPr>
          <w:color w:val="231F20"/>
          <w:spacing w:val="-7"/>
          <w:vertAlign w:val="baseline"/>
        </w:rPr>
        <w:t> </w:t>
      </w:r>
      <w:hyperlink r:id="rId230">
        <w:r>
          <w:rPr>
            <w:color w:val="3953A4"/>
            <w:u w:val="single" w:color="3953A4"/>
            <w:vertAlign w:val="baseline"/>
          </w:rPr>
          <w:t>https://www.cdc.gov/</w:t>
        </w:r>
      </w:hyperlink>
      <w:r>
        <w:rPr>
          <w:color w:val="3953A4"/>
          <w:spacing w:val="-53"/>
          <w:vertAlign w:val="baseline"/>
        </w:rPr>
        <w:t> </w:t>
      </w:r>
      <w:hyperlink r:id="rId230">
        <w:r>
          <w:rPr>
            <w:color w:val="3953A4"/>
            <w:u w:val="single" w:color="3953A4"/>
            <w:vertAlign w:val="baseline"/>
          </w:rPr>
          <w:t>eval/logicmodels/index.htm</w:t>
        </w:r>
      </w:hyperlink>
    </w:p>
    <w:p>
      <w:pPr>
        <w:pStyle w:val="BodyText"/>
        <w:tabs>
          <w:tab w:pos="519" w:val="left" w:leader="none"/>
        </w:tabs>
        <w:spacing w:line="228" w:lineRule="auto" w:before="89"/>
        <w:ind w:left="519" w:right="666" w:hanging="360"/>
      </w:pPr>
      <w:r>
        <w:rPr>
          <w:color w:val="231F20"/>
          <w:vertAlign w:val="superscript"/>
        </w:rPr>
        <w:t>5</w:t>
      </w:r>
      <w:r>
        <w:rPr>
          <w:color w:val="231F20"/>
          <w:vertAlign w:val="baseline"/>
        </w:rPr>
        <w:tab/>
        <w:t>Wingood,</w:t>
      </w:r>
      <w:r>
        <w:rPr>
          <w:color w:val="231F20"/>
          <w:spacing w:val="-4"/>
          <w:vertAlign w:val="baseline"/>
        </w:rPr>
        <w:t> </w:t>
      </w:r>
      <w:r>
        <w:rPr>
          <w:color w:val="231F20"/>
          <w:vertAlign w:val="baseline"/>
        </w:rPr>
        <w:t>G.</w:t>
      </w:r>
      <w:r>
        <w:rPr>
          <w:color w:val="231F20"/>
          <w:spacing w:val="-4"/>
          <w:vertAlign w:val="baseline"/>
        </w:rPr>
        <w:t> </w:t>
      </w:r>
      <w:r>
        <w:rPr>
          <w:color w:val="231F20"/>
          <w:vertAlign w:val="baseline"/>
        </w:rPr>
        <w:t>M.,</w:t>
      </w:r>
      <w:r>
        <w:rPr>
          <w:color w:val="231F20"/>
          <w:spacing w:val="-4"/>
          <w:vertAlign w:val="baseline"/>
        </w:rPr>
        <w:t> </w:t>
      </w:r>
      <w:r>
        <w:rPr>
          <w:color w:val="231F20"/>
          <w:vertAlign w:val="baseline"/>
        </w:rPr>
        <w:t>&amp;</w:t>
      </w:r>
      <w:r>
        <w:rPr>
          <w:color w:val="231F20"/>
          <w:spacing w:val="-3"/>
          <w:vertAlign w:val="baseline"/>
        </w:rPr>
        <w:t> </w:t>
      </w:r>
      <w:r>
        <w:rPr>
          <w:color w:val="231F20"/>
          <w:vertAlign w:val="baseline"/>
        </w:rPr>
        <w:t>DiClemente,</w:t>
      </w:r>
      <w:r>
        <w:rPr>
          <w:color w:val="231F20"/>
          <w:spacing w:val="-4"/>
          <w:vertAlign w:val="baseline"/>
        </w:rPr>
        <w:t> </w:t>
      </w:r>
      <w:r>
        <w:rPr>
          <w:color w:val="231F20"/>
          <w:vertAlign w:val="baseline"/>
        </w:rPr>
        <w:t>R.</w:t>
      </w:r>
      <w:r>
        <w:rPr>
          <w:color w:val="231F20"/>
          <w:spacing w:val="-3"/>
          <w:vertAlign w:val="baseline"/>
        </w:rPr>
        <w:t> </w:t>
      </w:r>
      <w:r>
        <w:rPr>
          <w:color w:val="231F20"/>
          <w:vertAlign w:val="baseline"/>
        </w:rPr>
        <w:t>J.</w:t>
      </w:r>
      <w:r>
        <w:rPr>
          <w:color w:val="231F20"/>
          <w:spacing w:val="-4"/>
          <w:vertAlign w:val="baseline"/>
        </w:rPr>
        <w:t> </w:t>
      </w:r>
      <w:r>
        <w:rPr>
          <w:color w:val="231F20"/>
          <w:vertAlign w:val="baseline"/>
        </w:rPr>
        <w:t>(2008).</w:t>
      </w:r>
      <w:r>
        <w:rPr>
          <w:color w:val="231F20"/>
          <w:spacing w:val="-52"/>
          <w:vertAlign w:val="baseline"/>
        </w:rPr>
        <w:t> </w:t>
      </w:r>
      <w:r>
        <w:rPr>
          <w:color w:val="231F20"/>
          <w:spacing w:val="-1"/>
          <w:vertAlign w:val="baseline"/>
        </w:rPr>
        <w:t>The ADAPT-ITT model: A novel method </w:t>
      </w:r>
      <w:r>
        <w:rPr>
          <w:color w:val="231F20"/>
          <w:vertAlign w:val="baseline"/>
        </w:rPr>
        <w:t>of</w:t>
      </w:r>
      <w:r>
        <w:rPr>
          <w:color w:val="231F20"/>
          <w:spacing w:val="1"/>
          <w:vertAlign w:val="baseline"/>
        </w:rPr>
        <w:t> </w:t>
      </w:r>
      <w:r>
        <w:rPr>
          <w:color w:val="231F20"/>
          <w:vertAlign w:val="baseline"/>
        </w:rPr>
        <w:t>adapting</w:t>
      </w:r>
      <w:r>
        <w:rPr>
          <w:color w:val="231F20"/>
          <w:spacing w:val="-1"/>
          <w:vertAlign w:val="baseline"/>
        </w:rPr>
        <w:t> </w:t>
      </w:r>
      <w:r>
        <w:rPr>
          <w:color w:val="231F20"/>
          <w:vertAlign w:val="baseline"/>
        </w:rPr>
        <w:t>evidence-based HIV</w:t>
      </w:r>
      <w:r>
        <w:rPr>
          <w:color w:val="231F20"/>
          <w:spacing w:val="-5"/>
          <w:vertAlign w:val="baseline"/>
        </w:rPr>
        <w:t> </w:t>
      </w:r>
      <w:r>
        <w:rPr>
          <w:color w:val="231F20"/>
          <w:vertAlign w:val="baseline"/>
        </w:rPr>
        <w:t>interventions.</w:t>
      </w:r>
    </w:p>
    <w:p>
      <w:pPr>
        <w:spacing w:line="228" w:lineRule="auto" w:before="0"/>
        <w:ind w:left="519" w:right="183" w:firstLine="0"/>
        <w:jc w:val="left"/>
        <w:rPr>
          <w:sz w:val="22"/>
        </w:rPr>
      </w:pPr>
      <w:r>
        <w:rPr>
          <w:i/>
          <w:color w:val="231F20"/>
          <w:sz w:val="22"/>
        </w:rPr>
        <w:t>Journal</w:t>
      </w:r>
      <w:r>
        <w:rPr>
          <w:i/>
          <w:color w:val="231F20"/>
          <w:spacing w:val="-8"/>
          <w:sz w:val="22"/>
        </w:rPr>
        <w:t> </w:t>
      </w:r>
      <w:r>
        <w:rPr>
          <w:i/>
          <w:color w:val="231F20"/>
          <w:sz w:val="22"/>
        </w:rPr>
        <w:t>of</w:t>
      </w:r>
      <w:r>
        <w:rPr>
          <w:i/>
          <w:color w:val="231F20"/>
          <w:spacing w:val="-12"/>
          <w:sz w:val="22"/>
        </w:rPr>
        <w:t> </w:t>
      </w:r>
      <w:r>
        <w:rPr>
          <w:i/>
          <w:color w:val="231F20"/>
          <w:sz w:val="22"/>
        </w:rPr>
        <w:t>Acquired</w:t>
      </w:r>
      <w:r>
        <w:rPr>
          <w:i/>
          <w:color w:val="231F20"/>
          <w:spacing w:val="-7"/>
          <w:sz w:val="22"/>
        </w:rPr>
        <w:t> </w:t>
      </w:r>
      <w:r>
        <w:rPr>
          <w:i/>
          <w:color w:val="231F20"/>
          <w:sz w:val="22"/>
        </w:rPr>
        <w:t>Immune</w:t>
      </w:r>
      <w:r>
        <w:rPr>
          <w:i/>
          <w:color w:val="231F20"/>
          <w:spacing w:val="-8"/>
          <w:sz w:val="22"/>
        </w:rPr>
        <w:t> </w:t>
      </w:r>
      <w:r>
        <w:rPr>
          <w:i/>
          <w:color w:val="231F20"/>
          <w:sz w:val="22"/>
        </w:rPr>
        <w:t>Deficiency</w:t>
      </w:r>
      <w:r>
        <w:rPr>
          <w:i/>
          <w:color w:val="231F20"/>
          <w:spacing w:val="-8"/>
          <w:sz w:val="22"/>
        </w:rPr>
        <w:t> </w:t>
      </w:r>
      <w:r>
        <w:rPr>
          <w:i/>
          <w:color w:val="231F20"/>
          <w:sz w:val="22"/>
        </w:rPr>
        <w:t>Syndromes</w:t>
      </w:r>
      <w:r>
        <w:rPr>
          <w:i/>
          <w:color w:val="231F20"/>
          <w:spacing w:val="-52"/>
          <w:sz w:val="22"/>
        </w:rPr>
        <w:t> </w:t>
      </w:r>
      <w:r>
        <w:rPr>
          <w:i/>
          <w:color w:val="231F20"/>
          <w:sz w:val="22"/>
        </w:rPr>
        <w:t>(JAIDS), 47</w:t>
      </w:r>
      <w:r>
        <w:rPr>
          <w:color w:val="231F20"/>
          <w:sz w:val="22"/>
        </w:rPr>
        <w:t>, S40-S46. </w:t>
      </w:r>
      <w:hyperlink r:id="rId271">
        <w:r>
          <w:rPr>
            <w:color w:val="3953A4"/>
            <w:sz w:val="22"/>
            <w:u w:val="single" w:color="3953A4"/>
          </w:rPr>
          <w:t>https://doi.org/10.1097/</w:t>
        </w:r>
      </w:hyperlink>
      <w:r>
        <w:rPr>
          <w:color w:val="3953A4"/>
          <w:spacing w:val="1"/>
          <w:sz w:val="22"/>
        </w:rPr>
        <w:t> </w:t>
      </w:r>
      <w:hyperlink r:id="rId271">
        <w:r>
          <w:rPr>
            <w:color w:val="3953A4"/>
            <w:sz w:val="22"/>
            <w:u w:val="single" w:color="3953A4"/>
          </w:rPr>
          <w:t>QAI.0b013e3181605df1</w:t>
        </w:r>
      </w:hyperlink>
    </w:p>
    <w:p>
      <w:pPr>
        <w:pStyle w:val="BodyText"/>
        <w:tabs>
          <w:tab w:pos="519" w:val="left" w:leader="none"/>
        </w:tabs>
        <w:spacing w:line="228" w:lineRule="auto" w:before="88"/>
        <w:ind w:left="519" w:right="471" w:hanging="360"/>
      </w:pPr>
      <w:r>
        <w:rPr>
          <w:color w:val="231F20"/>
          <w:vertAlign w:val="superscript"/>
        </w:rPr>
        <w:t>6</w:t>
      </w:r>
      <w:r>
        <w:rPr>
          <w:color w:val="231F20"/>
          <w:vertAlign w:val="baseline"/>
        </w:rPr>
        <w:tab/>
        <w:t>Amodeo, M., Lundgren, L., Cohen, A., Rose,</w:t>
      </w:r>
      <w:r>
        <w:rPr>
          <w:color w:val="231F20"/>
          <w:spacing w:val="1"/>
          <w:vertAlign w:val="baseline"/>
        </w:rPr>
        <w:t> </w:t>
      </w:r>
      <w:r>
        <w:rPr>
          <w:color w:val="231F20"/>
          <w:vertAlign w:val="baseline"/>
        </w:rPr>
        <w:t>D.,</w:t>
      </w:r>
      <w:r>
        <w:rPr>
          <w:color w:val="231F20"/>
          <w:spacing w:val="-5"/>
          <w:vertAlign w:val="baseline"/>
        </w:rPr>
        <w:t> </w:t>
      </w:r>
      <w:r>
        <w:rPr>
          <w:color w:val="231F20"/>
          <w:vertAlign w:val="baseline"/>
        </w:rPr>
        <w:t>Chassler,</w:t>
      </w:r>
      <w:r>
        <w:rPr>
          <w:color w:val="231F20"/>
          <w:spacing w:val="-3"/>
          <w:vertAlign w:val="baseline"/>
        </w:rPr>
        <w:t> </w:t>
      </w:r>
      <w:r>
        <w:rPr>
          <w:color w:val="231F20"/>
          <w:vertAlign w:val="baseline"/>
        </w:rPr>
        <w:t>D.,</w:t>
      </w:r>
      <w:r>
        <w:rPr>
          <w:color w:val="231F20"/>
          <w:spacing w:val="-5"/>
          <w:vertAlign w:val="baseline"/>
        </w:rPr>
        <w:t> </w:t>
      </w:r>
      <w:r>
        <w:rPr>
          <w:color w:val="231F20"/>
          <w:vertAlign w:val="baseline"/>
        </w:rPr>
        <w:t>Beltrame,</w:t>
      </w:r>
      <w:r>
        <w:rPr>
          <w:color w:val="231F20"/>
          <w:spacing w:val="-3"/>
          <w:vertAlign w:val="baseline"/>
        </w:rPr>
        <w:t> </w:t>
      </w:r>
      <w:r>
        <w:rPr>
          <w:color w:val="231F20"/>
          <w:vertAlign w:val="baseline"/>
        </w:rPr>
        <w:t>C.,</w:t>
      </w:r>
      <w:r>
        <w:rPr>
          <w:color w:val="231F20"/>
          <w:spacing w:val="-3"/>
          <w:vertAlign w:val="baseline"/>
        </w:rPr>
        <w:t> </w:t>
      </w:r>
      <w:r>
        <w:rPr>
          <w:color w:val="231F20"/>
          <w:vertAlign w:val="baseline"/>
        </w:rPr>
        <w:t>&amp;</w:t>
      </w:r>
      <w:r>
        <w:rPr>
          <w:color w:val="231F20"/>
          <w:spacing w:val="-4"/>
          <w:vertAlign w:val="baseline"/>
        </w:rPr>
        <w:t> </w:t>
      </w:r>
      <w:r>
        <w:rPr>
          <w:color w:val="231F20"/>
          <w:vertAlign w:val="baseline"/>
        </w:rPr>
        <w:t>D’ippolito,</w:t>
      </w:r>
      <w:r>
        <w:rPr>
          <w:color w:val="231F20"/>
          <w:spacing w:val="-4"/>
          <w:vertAlign w:val="baseline"/>
        </w:rPr>
        <w:t> </w:t>
      </w:r>
      <w:r>
        <w:rPr>
          <w:color w:val="231F20"/>
          <w:vertAlign w:val="baseline"/>
        </w:rPr>
        <w:t>M.</w:t>
      </w:r>
      <w:r>
        <w:rPr>
          <w:color w:val="231F20"/>
          <w:spacing w:val="-52"/>
          <w:vertAlign w:val="baseline"/>
        </w:rPr>
        <w:t> </w:t>
      </w:r>
      <w:r>
        <w:rPr>
          <w:color w:val="231F20"/>
          <w:vertAlign w:val="baseline"/>
        </w:rPr>
        <w:t>(2011). Barriers to implementation of evidence-</w:t>
      </w:r>
      <w:r>
        <w:rPr>
          <w:color w:val="231F20"/>
          <w:spacing w:val="-52"/>
          <w:vertAlign w:val="baseline"/>
        </w:rPr>
        <w:t> </w:t>
      </w:r>
      <w:r>
        <w:rPr>
          <w:color w:val="231F20"/>
          <w:vertAlign w:val="baseline"/>
        </w:rPr>
        <w:t>based practices in community-based addiction</w:t>
      </w:r>
    </w:p>
    <w:p>
      <w:pPr>
        <w:pStyle w:val="BodyText"/>
        <w:spacing w:line="228" w:lineRule="auto"/>
        <w:ind w:left="519" w:right="171"/>
      </w:pPr>
      <w:r>
        <w:rPr>
          <w:color w:val="231F20"/>
        </w:rPr>
        <w:t>treatment: Comparing staff reports on motivational</w:t>
      </w:r>
      <w:r>
        <w:rPr>
          <w:color w:val="231F20"/>
          <w:spacing w:val="-52"/>
        </w:rPr>
        <w:t> </w:t>
      </w:r>
      <w:r>
        <w:rPr>
          <w:color w:val="231F20"/>
        </w:rPr>
        <w:t>interviewing, adolescent community reinforcement</w:t>
      </w:r>
      <w:r>
        <w:rPr>
          <w:color w:val="231F20"/>
          <w:spacing w:val="-52"/>
        </w:rPr>
        <w:t> </w:t>
      </w:r>
      <w:r>
        <w:rPr>
          <w:color w:val="231F20"/>
        </w:rPr>
        <w:t>approach, assertive community treatment, and</w:t>
      </w:r>
      <w:r>
        <w:rPr>
          <w:color w:val="231F20"/>
          <w:spacing w:val="1"/>
        </w:rPr>
        <w:t> </w:t>
      </w:r>
      <w:r>
        <w:rPr>
          <w:color w:val="231F20"/>
        </w:rPr>
        <w:t>cognitive-behavioral therapy. </w:t>
      </w:r>
      <w:r>
        <w:rPr>
          <w:i/>
          <w:color w:val="231F20"/>
        </w:rPr>
        <w:t>Evaluation Program</w:t>
      </w:r>
      <w:r>
        <w:rPr>
          <w:i/>
          <w:color w:val="231F20"/>
          <w:spacing w:val="1"/>
        </w:rPr>
        <w:t> </w:t>
      </w:r>
      <w:r>
        <w:rPr>
          <w:i/>
          <w:color w:val="231F20"/>
        </w:rPr>
        <w:t>Planning,</w:t>
      </w:r>
      <w:r>
        <w:rPr>
          <w:i/>
          <w:color w:val="231F20"/>
          <w:spacing w:val="-6"/>
        </w:rPr>
        <w:t> </w:t>
      </w:r>
      <w:r>
        <w:rPr>
          <w:i/>
          <w:color w:val="231F20"/>
        </w:rPr>
        <w:t>34</w:t>
      </w:r>
      <w:r>
        <w:rPr>
          <w:color w:val="231F20"/>
        </w:rPr>
        <w:t>(4),</w:t>
      </w:r>
      <w:r>
        <w:rPr>
          <w:color w:val="231F20"/>
          <w:spacing w:val="-6"/>
        </w:rPr>
        <w:t> </w:t>
      </w:r>
      <w:r>
        <w:rPr>
          <w:color w:val="231F20"/>
        </w:rPr>
        <w:t>382-389.</w:t>
      </w:r>
      <w:r>
        <w:rPr>
          <w:color w:val="231F20"/>
          <w:spacing w:val="-6"/>
        </w:rPr>
        <w:t> </w:t>
      </w:r>
      <w:hyperlink r:id="rId272">
        <w:r>
          <w:rPr>
            <w:color w:val="3953A4"/>
            <w:u w:val="single" w:color="3953A4"/>
          </w:rPr>
          <w:t>https://doi.org/10.1016/j.</w:t>
        </w:r>
      </w:hyperlink>
      <w:r>
        <w:rPr>
          <w:color w:val="3953A4"/>
          <w:spacing w:val="-52"/>
        </w:rPr>
        <w:t> </w:t>
      </w:r>
      <w:hyperlink r:id="rId272">
        <w:r>
          <w:rPr>
            <w:color w:val="3953A4"/>
            <w:u w:val="single" w:color="3953A4"/>
          </w:rPr>
          <w:t>evalprogplan.2011.02.005</w:t>
        </w:r>
      </w:hyperlink>
    </w:p>
    <w:p>
      <w:pPr>
        <w:pStyle w:val="BodyText"/>
        <w:tabs>
          <w:tab w:pos="519" w:val="left" w:leader="none"/>
        </w:tabs>
        <w:spacing w:line="228" w:lineRule="auto" w:before="87"/>
        <w:ind w:left="519" w:right="381" w:hanging="360"/>
      </w:pPr>
      <w:r>
        <w:rPr>
          <w:color w:val="231F20"/>
          <w:vertAlign w:val="superscript"/>
        </w:rPr>
        <w:t>7</w:t>
      </w:r>
      <w:r>
        <w:rPr>
          <w:color w:val="231F20"/>
          <w:vertAlign w:val="baseline"/>
        </w:rPr>
        <w:tab/>
      </w:r>
      <w:r>
        <w:rPr>
          <w:color w:val="231F20"/>
          <w:spacing w:val="-1"/>
          <w:vertAlign w:val="baseline"/>
        </w:rPr>
        <w:t>Cohen, A., Lundgren, L., </w:t>
      </w:r>
      <w:r>
        <w:rPr>
          <w:color w:val="231F20"/>
          <w:vertAlign w:val="baseline"/>
        </w:rPr>
        <w:t>Amodeo, M., Chassler,</w:t>
      </w:r>
      <w:r>
        <w:rPr>
          <w:color w:val="231F20"/>
          <w:spacing w:val="-52"/>
          <w:vertAlign w:val="baseline"/>
        </w:rPr>
        <w:t> </w:t>
      </w:r>
      <w:r>
        <w:rPr>
          <w:color w:val="231F20"/>
          <w:vertAlign w:val="baseline"/>
        </w:rPr>
        <w:t>D., &amp; Rose, D. (n.d.). Barriers to implementation</w:t>
      </w:r>
      <w:r>
        <w:rPr>
          <w:color w:val="231F20"/>
          <w:spacing w:val="-52"/>
          <w:vertAlign w:val="baseline"/>
        </w:rPr>
        <w:t> </w:t>
      </w:r>
      <w:r>
        <w:rPr>
          <w:color w:val="231F20"/>
          <w:vertAlign w:val="baseline"/>
        </w:rPr>
        <w:t>of evidence-based practices in community-based</w:t>
      </w:r>
      <w:r>
        <w:rPr>
          <w:color w:val="231F20"/>
          <w:spacing w:val="-52"/>
          <w:vertAlign w:val="baseline"/>
        </w:rPr>
        <w:t> </w:t>
      </w:r>
      <w:r>
        <w:rPr>
          <w:color w:val="231F20"/>
          <w:vertAlign w:val="baseline"/>
        </w:rPr>
        <w:t>addiction treatment: Comparing staff reports of</w:t>
      </w:r>
      <w:r>
        <w:rPr>
          <w:color w:val="231F20"/>
          <w:spacing w:val="1"/>
          <w:vertAlign w:val="baseline"/>
        </w:rPr>
        <w:t> </w:t>
      </w:r>
      <w:r>
        <w:rPr>
          <w:color w:val="231F20"/>
          <w:vertAlign w:val="baseline"/>
        </w:rPr>
        <w:t>barriers from a nationwide sample [PowerPoint</w:t>
      </w:r>
      <w:r>
        <w:rPr>
          <w:color w:val="231F20"/>
          <w:spacing w:val="1"/>
          <w:vertAlign w:val="baseline"/>
        </w:rPr>
        <w:t> </w:t>
      </w:r>
      <w:r>
        <w:rPr>
          <w:color w:val="231F20"/>
          <w:spacing w:val="-1"/>
          <w:vertAlign w:val="baseline"/>
        </w:rPr>
        <w:t>Slides]. </w:t>
      </w:r>
      <w:r>
        <w:rPr>
          <w:color w:val="231F20"/>
          <w:vertAlign w:val="baseline"/>
        </w:rPr>
        <w:t>Centers for Addictions Research and</w:t>
      </w:r>
      <w:r>
        <w:rPr>
          <w:color w:val="231F20"/>
          <w:spacing w:val="1"/>
          <w:vertAlign w:val="baseline"/>
        </w:rPr>
        <w:t> </w:t>
      </w:r>
      <w:r>
        <w:rPr>
          <w:color w:val="231F20"/>
          <w:vertAlign w:val="baseline"/>
        </w:rPr>
        <w:t>Services, Boston University School of Social</w:t>
      </w:r>
      <w:r>
        <w:rPr>
          <w:color w:val="231F20"/>
          <w:spacing w:val="1"/>
          <w:vertAlign w:val="baseline"/>
        </w:rPr>
        <w:t> </w:t>
      </w:r>
      <w:r>
        <w:rPr>
          <w:color w:val="231F20"/>
          <w:vertAlign w:val="baseline"/>
        </w:rPr>
        <w:t>Work.</w:t>
      </w:r>
      <w:hyperlink r:id="rId273">
        <w:r>
          <w:rPr>
            <w:color w:val="3953A4"/>
            <w:u w:val="single" w:color="3953A4"/>
            <w:vertAlign w:val="baseline"/>
          </w:rPr>
          <w:t> https://apha.confex.com/apha/138am/</w:t>
        </w:r>
      </w:hyperlink>
      <w:r>
        <w:rPr>
          <w:color w:val="3953A4"/>
          <w:spacing w:val="1"/>
          <w:vertAlign w:val="baseline"/>
        </w:rPr>
        <w:t> </w:t>
      </w:r>
      <w:hyperlink r:id="rId273">
        <w:r>
          <w:rPr>
            <w:color w:val="3953A4"/>
            <w:u w:val="single" w:color="3953A4"/>
            <w:vertAlign w:val="baseline"/>
          </w:rPr>
          <w:t>recordingredirect.cgi/id/39706</w:t>
        </w:r>
      </w:hyperlink>
    </w:p>
    <w:p>
      <w:pPr>
        <w:tabs>
          <w:tab w:pos="519" w:val="left" w:leader="none"/>
        </w:tabs>
        <w:spacing w:line="228" w:lineRule="auto" w:before="101"/>
        <w:ind w:left="519" w:right="1079" w:hanging="360"/>
        <w:jc w:val="left"/>
        <w:rPr>
          <w:sz w:val="22"/>
        </w:rPr>
      </w:pPr>
      <w:r>
        <w:rPr/>
        <w:br w:type="column"/>
      </w:r>
      <w:r>
        <w:rPr>
          <w:color w:val="231F20"/>
          <w:sz w:val="22"/>
          <w:vertAlign w:val="superscript"/>
        </w:rPr>
        <w:t>8</w:t>
      </w:r>
      <w:r>
        <w:rPr>
          <w:color w:val="231F20"/>
          <w:sz w:val="22"/>
          <w:vertAlign w:val="baseline"/>
        </w:rPr>
        <w:tab/>
      </w:r>
      <w:r>
        <w:rPr>
          <w:color w:val="231F20"/>
          <w:spacing w:val="-1"/>
          <w:sz w:val="22"/>
          <w:vertAlign w:val="baseline"/>
        </w:rPr>
        <w:t>Substance Abuse and Mental Health Services</w:t>
      </w:r>
      <w:r>
        <w:rPr>
          <w:color w:val="231F20"/>
          <w:sz w:val="22"/>
          <w:vertAlign w:val="baseline"/>
        </w:rPr>
        <w:t> Administration. (2019). </w:t>
      </w:r>
      <w:r>
        <w:rPr>
          <w:i/>
          <w:color w:val="231F20"/>
          <w:sz w:val="22"/>
          <w:vertAlign w:val="baseline"/>
        </w:rPr>
        <w:t>A guide to SAMHSA’s</w:t>
      </w:r>
      <w:r>
        <w:rPr>
          <w:i/>
          <w:color w:val="231F20"/>
          <w:spacing w:val="1"/>
          <w:sz w:val="22"/>
          <w:vertAlign w:val="baseline"/>
        </w:rPr>
        <w:t> </w:t>
      </w:r>
      <w:r>
        <w:rPr>
          <w:i/>
          <w:color w:val="231F20"/>
          <w:sz w:val="22"/>
          <w:vertAlign w:val="baseline"/>
        </w:rPr>
        <w:t>strategic prevention framework</w:t>
      </w:r>
      <w:r>
        <w:rPr>
          <w:color w:val="231F20"/>
          <w:sz w:val="22"/>
          <w:vertAlign w:val="baseline"/>
        </w:rPr>
        <w:t>. </w:t>
      </w:r>
      <w:hyperlink r:id="rId274">
        <w:r>
          <w:rPr>
            <w:color w:val="3953A4"/>
            <w:sz w:val="22"/>
            <w:u w:val="single" w:color="3953A4"/>
            <w:vertAlign w:val="baseline"/>
          </w:rPr>
          <w:t>https://www.</w:t>
        </w:r>
      </w:hyperlink>
      <w:r>
        <w:rPr>
          <w:color w:val="3953A4"/>
          <w:spacing w:val="1"/>
          <w:sz w:val="22"/>
          <w:vertAlign w:val="baseline"/>
        </w:rPr>
        <w:t> </w:t>
      </w:r>
      <w:hyperlink r:id="rId274">
        <w:r>
          <w:rPr>
            <w:color w:val="3953A4"/>
            <w:spacing w:val="-1"/>
            <w:sz w:val="22"/>
            <w:u w:val="single" w:color="3953A4"/>
            <w:vertAlign w:val="baseline"/>
          </w:rPr>
          <w:t>samhsa.gov/sites/default/files/20190620-samhsa-</w:t>
        </w:r>
      </w:hyperlink>
      <w:r>
        <w:rPr>
          <w:color w:val="3953A4"/>
          <w:spacing w:val="-52"/>
          <w:sz w:val="22"/>
          <w:vertAlign w:val="baseline"/>
        </w:rPr>
        <w:t> </w:t>
      </w:r>
      <w:hyperlink r:id="rId274">
        <w:r>
          <w:rPr>
            <w:color w:val="3953A4"/>
            <w:sz w:val="22"/>
            <w:u w:val="single" w:color="3953A4"/>
            <w:vertAlign w:val="baseline"/>
          </w:rPr>
          <w:t>strategic-prevention-framework-guide.pdf</w:t>
        </w:r>
      </w:hyperlink>
    </w:p>
    <w:p>
      <w:pPr>
        <w:pStyle w:val="BodyText"/>
        <w:tabs>
          <w:tab w:pos="519" w:val="left" w:leader="none"/>
        </w:tabs>
        <w:spacing w:line="228" w:lineRule="auto" w:before="88"/>
        <w:ind w:left="519" w:right="793" w:hanging="360"/>
      </w:pPr>
      <w:r>
        <w:rPr>
          <w:color w:val="231F20"/>
          <w:vertAlign w:val="superscript"/>
        </w:rPr>
        <w:t>9</w:t>
      </w:r>
      <w:r>
        <w:rPr>
          <w:color w:val="231F20"/>
          <w:vertAlign w:val="baseline"/>
        </w:rPr>
        <w:tab/>
        <w:t>Collins Jr., C. B., &amp; Sapiano, T. N. (2016). Lessons</w:t>
      </w:r>
      <w:r>
        <w:rPr>
          <w:color w:val="231F20"/>
          <w:spacing w:val="1"/>
          <w:vertAlign w:val="baseline"/>
        </w:rPr>
        <w:t> </w:t>
      </w:r>
      <w:r>
        <w:rPr>
          <w:color w:val="231F20"/>
          <w:vertAlign w:val="baseline"/>
        </w:rPr>
        <w:t>learned from dissemination of evidence-based</w:t>
      </w:r>
      <w:r>
        <w:rPr>
          <w:color w:val="231F20"/>
          <w:spacing w:val="1"/>
          <w:vertAlign w:val="baseline"/>
        </w:rPr>
        <w:t> </w:t>
      </w:r>
      <w:r>
        <w:rPr>
          <w:color w:val="231F20"/>
          <w:vertAlign w:val="baseline"/>
        </w:rPr>
        <w:t>interventions</w:t>
      </w:r>
      <w:r>
        <w:rPr>
          <w:color w:val="231F20"/>
          <w:spacing w:val="-3"/>
          <w:vertAlign w:val="baseline"/>
        </w:rPr>
        <w:t> </w:t>
      </w:r>
      <w:r>
        <w:rPr>
          <w:color w:val="231F20"/>
          <w:vertAlign w:val="baseline"/>
        </w:rPr>
        <w:t>for</w:t>
      </w:r>
      <w:r>
        <w:rPr>
          <w:color w:val="231F20"/>
          <w:spacing w:val="-3"/>
          <w:vertAlign w:val="baseline"/>
        </w:rPr>
        <w:t> </w:t>
      </w:r>
      <w:r>
        <w:rPr>
          <w:color w:val="231F20"/>
          <w:vertAlign w:val="baseline"/>
        </w:rPr>
        <w:t>HIV</w:t>
      </w:r>
      <w:r>
        <w:rPr>
          <w:color w:val="231F20"/>
          <w:spacing w:val="-7"/>
          <w:vertAlign w:val="baseline"/>
        </w:rPr>
        <w:t> </w:t>
      </w:r>
      <w:r>
        <w:rPr>
          <w:color w:val="231F20"/>
          <w:vertAlign w:val="baseline"/>
        </w:rPr>
        <w:t>prevention.</w:t>
      </w:r>
      <w:r>
        <w:rPr>
          <w:color w:val="231F20"/>
          <w:spacing w:val="-2"/>
          <w:vertAlign w:val="baseline"/>
        </w:rPr>
        <w:t> </w:t>
      </w:r>
      <w:r>
        <w:rPr>
          <w:i/>
          <w:color w:val="231F20"/>
          <w:vertAlign w:val="baseline"/>
        </w:rPr>
        <w:t>American</w:t>
      </w:r>
      <w:r>
        <w:rPr>
          <w:i/>
          <w:color w:val="231F20"/>
          <w:spacing w:val="-3"/>
          <w:vertAlign w:val="baseline"/>
        </w:rPr>
        <w:t> </w:t>
      </w:r>
      <w:r>
        <w:rPr>
          <w:i/>
          <w:color w:val="231F20"/>
          <w:vertAlign w:val="baseline"/>
        </w:rPr>
        <w:t>Journal</w:t>
      </w:r>
      <w:r>
        <w:rPr>
          <w:i/>
          <w:color w:val="231F20"/>
          <w:spacing w:val="-52"/>
          <w:vertAlign w:val="baseline"/>
        </w:rPr>
        <w:t> </w:t>
      </w:r>
      <w:r>
        <w:rPr>
          <w:i/>
          <w:color w:val="231F20"/>
          <w:vertAlign w:val="baseline"/>
        </w:rPr>
        <w:t>of Preventive Medicine, 51</w:t>
      </w:r>
      <w:r>
        <w:rPr>
          <w:color w:val="231F20"/>
          <w:vertAlign w:val="baseline"/>
        </w:rPr>
        <w:t>(4), S140-S147. </w:t>
      </w:r>
      <w:hyperlink r:id="rId275">
        <w:r>
          <w:rPr>
            <w:color w:val="3953A4"/>
            <w:u w:val="single" w:color="3953A4"/>
            <w:vertAlign w:val="baseline"/>
          </w:rPr>
          <w:t>https://</w:t>
        </w:r>
      </w:hyperlink>
      <w:r>
        <w:rPr>
          <w:color w:val="3953A4"/>
          <w:spacing w:val="1"/>
          <w:vertAlign w:val="baseline"/>
        </w:rPr>
        <w:t> </w:t>
      </w:r>
      <w:hyperlink r:id="rId275">
        <w:r>
          <w:rPr>
            <w:color w:val="3953A4"/>
            <w:u w:val="single" w:color="3953A4"/>
            <w:vertAlign w:val="baseline"/>
          </w:rPr>
          <w:t>doi.org/10.1016/j.amepre.2016.05.017</w:t>
        </w:r>
      </w:hyperlink>
    </w:p>
    <w:p>
      <w:pPr>
        <w:pStyle w:val="BodyText"/>
        <w:tabs>
          <w:tab w:pos="519" w:val="left" w:leader="none"/>
        </w:tabs>
        <w:spacing w:line="246" w:lineRule="exact" w:before="78"/>
        <w:ind w:left="159"/>
      </w:pPr>
      <w:r>
        <w:rPr>
          <w:color w:val="231F20"/>
          <w:vertAlign w:val="superscript"/>
        </w:rPr>
        <w:t>10</w:t>
      </w:r>
      <w:r>
        <w:rPr>
          <w:color w:val="231F20"/>
          <w:vertAlign w:val="baseline"/>
        </w:rPr>
        <w:tab/>
        <w:t>Galbraith,</w:t>
      </w:r>
      <w:r>
        <w:rPr>
          <w:color w:val="231F20"/>
          <w:spacing w:val="-5"/>
          <w:vertAlign w:val="baseline"/>
        </w:rPr>
        <w:t> </w:t>
      </w:r>
      <w:r>
        <w:rPr>
          <w:color w:val="231F20"/>
          <w:vertAlign w:val="baseline"/>
        </w:rPr>
        <w:t>J.</w:t>
      </w:r>
      <w:r>
        <w:rPr>
          <w:color w:val="231F20"/>
          <w:spacing w:val="-5"/>
          <w:vertAlign w:val="baseline"/>
        </w:rPr>
        <w:t> </w:t>
      </w:r>
      <w:r>
        <w:rPr>
          <w:color w:val="231F20"/>
          <w:vertAlign w:val="baseline"/>
        </w:rPr>
        <w:t>S.,</w:t>
      </w:r>
      <w:r>
        <w:rPr>
          <w:color w:val="231F20"/>
          <w:spacing w:val="-5"/>
          <w:vertAlign w:val="baseline"/>
        </w:rPr>
        <w:t> </w:t>
      </w:r>
      <w:r>
        <w:rPr>
          <w:color w:val="231F20"/>
          <w:vertAlign w:val="baseline"/>
        </w:rPr>
        <w:t>Herbst,</w:t>
      </w:r>
      <w:r>
        <w:rPr>
          <w:color w:val="231F20"/>
          <w:spacing w:val="-5"/>
          <w:vertAlign w:val="baseline"/>
        </w:rPr>
        <w:t> </w:t>
      </w:r>
      <w:r>
        <w:rPr>
          <w:color w:val="231F20"/>
          <w:vertAlign w:val="baseline"/>
        </w:rPr>
        <w:t>J.</w:t>
      </w:r>
      <w:r>
        <w:rPr>
          <w:color w:val="231F20"/>
          <w:spacing w:val="-4"/>
          <w:vertAlign w:val="baseline"/>
        </w:rPr>
        <w:t> </w:t>
      </w:r>
      <w:r>
        <w:rPr>
          <w:color w:val="231F20"/>
          <w:vertAlign w:val="baseline"/>
        </w:rPr>
        <w:t>H.,</w:t>
      </w:r>
      <w:r>
        <w:rPr>
          <w:color w:val="231F20"/>
          <w:spacing w:val="-9"/>
          <w:vertAlign w:val="baseline"/>
        </w:rPr>
        <w:t> </w:t>
      </w:r>
      <w:r>
        <w:rPr>
          <w:color w:val="231F20"/>
          <w:vertAlign w:val="baseline"/>
        </w:rPr>
        <w:t>Whittier,</w:t>
      </w:r>
      <w:r>
        <w:rPr>
          <w:color w:val="231F20"/>
          <w:spacing w:val="-4"/>
          <w:vertAlign w:val="baseline"/>
        </w:rPr>
        <w:t> </w:t>
      </w:r>
      <w:r>
        <w:rPr>
          <w:color w:val="231F20"/>
          <w:vertAlign w:val="baseline"/>
        </w:rPr>
        <w:t>D.</w:t>
      </w:r>
      <w:r>
        <w:rPr>
          <w:color w:val="231F20"/>
          <w:spacing w:val="-5"/>
          <w:vertAlign w:val="baseline"/>
        </w:rPr>
        <w:t> </w:t>
      </w:r>
      <w:r>
        <w:rPr>
          <w:color w:val="231F20"/>
          <w:vertAlign w:val="baseline"/>
        </w:rPr>
        <w:t>K.,</w:t>
      </w:r>
      <w:r>
        <w:rPr>
          <w:color w:val="231F20"/>
          <w:spacing w:val="-4"/>
          <w:vertAlign w:val="baseline"/>
        </w:rPr>
        <w:t> </w:t>
      </w:r>
      <w:r>
        <w:rPr>
          <w:color w:val="231F20"/>
          <w:vertAlign w:val="baseline"/>
        </w:rPr>
        <w:t>Jones,</w:t>
      </w:r>
    </w:p>
    <w:p>
      <w:pPr>
        <w:pStyle w:val="BodyText"/>
        <w:spacing w:line="240" w:lineRule="exact"/>
        <w:ind w:left="519"/>
      </w:pPr>
      <w:r>
        <w:rPr>
          <w:color w:val="231F20"/>
        </w:rPr>
        <w:t>P.</w:t>
      </w:r>
      <w:r>
        <w:rPr>
          <w:color w:val="231F20"/>
          <w:spacing w:val="-6"/>
        </w:rPr>
        <w:t> </w:t>
      </w:r>
      <w:r>
        <w:rPr>
          <w:color w:val="231F20"/>
        </w:rPr>
        <w:t>L.,</w:t>
      </w:r>
      <w:r>
        <w:rPr>
          <w:color w:val="231F20"/>
          <w:spacing w:val="-5"/>
        </w:rPr>
        <w:t> </w:t>
      </w:r>
      <w:r>
        <w:rPr>
          <w:color w:val="231F20"/>
        </w:rPr>
        <w:t>Smith,</w:t>
      </w:r>
      <w:r>
        <w:rPr>
          <w:color w:val="231F20"/>
          <w:spacing w:val="-6"/>
        </w:rPr>
        <w:t> </w:t>
      </w:r>
      <w:r>
        <w:rPr>
          <w:color w:val="231F20"/>
        </w:rPr>
        <w:t>B.</w:t>
      </w:r>
      <w:r>
        <w:rPr>
          <w:color w:val="231F20"/>
          <w:spacing w:val="-5"/>
        </w:rPr>
        <w:t> </w:t>
      </w:r>
      <w:r>
        <w:rPr>
          <w:color w:val="231F20"/>
        </w:rPr>
        <w:t>D.,</w:t>
      </w:r>
      <w:r>
        <w:rPr>
          <w:color w:val="231F20"/>
          <w:spacing w:val="-6"/>
        </w:rPr>
        <w:t> </w:t>
      </w:r>
      <w:r>
        <w:rPr>
          <w:color w:val="231F20"/>
        </w:rPr>
        <w:t>Uhl,</w:t>
      </w:r>
      <w:r>
        <w:rPr>
          <w:color w:val="231F20"/>
          <w:spacing w:val="-6"/>
        </w:rPr>
        <w:t> </w:t>
      </w:r>
      <w:r>
        <w:rPr>
          <w:color w:val="231F20"/>
        </w:rPr>
        <w:t>G.,</w:t>
      </w:r>
      <w:r>
        <w:rPr>
          <w:color w:val="231F20"/>
          <w:spacing w:val="-6"/>
        </w:rPr>
        <w:t> </w:t>
      </w:r>
      <w:r>
        <w:rPr>
          <w:color w:val="231F20"/>
        </w:rPr>
        <w:t>&amp;</w:t>
      </w:r>
      <w:r>
        <w:rPr>
          <w:color w:val="231F20"/>
          <w:spacing w:val="-5"/>
        </w:rPr>
        <w:t> </w:t>
      </w:r>
      <w:r>
        <w:rPr>
          <w:color w:val="231F20"/>
        </w:rPr>
        <w:t>Fisher,</w:t>
      </w:r>
      <w:r>
        <w:rPr>
          <w:color w:val="231F20"/>
          <w:spacing w:val="-5"/>
        </w:rPr>
        <w:t> </w:t>
      </w:r>
      <w:r>
        <w:rPr>
          <w:color w:val="231F20"/>
        </w:rPr>
        <w:t>H.</w:t>
      </w:r>
      <w:r>
        <w:rPr>
          <w:color w:val="231F20"/>
          <w:spacing w:val="-6"/>
        </w:rPr>
        <w:t> </w:t>
      </w:r>
      <w:r>
        <w:rPr>
          <w:color w:val="231F20"/>
        </w:rPr>
        <w:t>H.</w:t>
      </w:r>
      <w:r>
        <w:rPr>
          <w:color w:val="231F20"/>
          <w:spacing w:val="-6"/>
        </w:rPr>
        <w:t> </w:t>
      </w:r>
      <w:r>
        <w:rPr>
          <w:color w:val="231F20"/>
        </w:rPr>
        <w:t>(2011).</w:t>
      </w:r>
    </w:p>
    <w:p>
      <w:pPr>
        <w:pStyle w:val="BodyText"/>
        <w:spacing w:line="228" w:lineRule="auto" w:before="4"/>
        <w:ind w:left="519" w:right="1140"/>
      </w:pPr>
      <w:r>
        <w:rPr>
          <w:color w:val="231F20"/>
        </w:rPr>
        <w:t>Taxonomy</w:t>
      </w:r>
      <w:r>
        <w:rPr>
          <w:color w:val="231F20"/>
          <w:spacing w:val="2"/>
        </w:rPr>
        <w:t> </w:t>
      </w:r>
      <w:r>
        <w:rPr>
          <w:color w:val="231F20"/>
        </w:rPr>
        <w:t>for</w:t>
      </w:r>
      <w:r>
        <w:rPr>
          <w:color w:val="231F20"/>
          <w:spacing w:val="2"/>
        </w:rPr>
        <w:t> </w:t>
      </w:r>
      <w:r>
        <w:rPr>
          <w:color w:val="231F20"/>
        </w:rPr>
        <w:t>strengthening</w:t>
      </w:r>
      <w:r>
        <w:rPr>
          <w:color w:val="231F20"/>
          <w:spacing w:val="2"/>
        </w:rPr>
        <w:t> </w:t>
      </w:r>
      <w:r>
        <w:rPr>
          <w:color w:val="231F20"/>
        </w:rPr>
        <w:t>the</w:t>
      </w:r>
      <w:r>
        <w:rPr>
          <w:color w:val="231F20"/>
          <w:spacing w:val="2"/>
        </w:rPr>
        <w:t> </w:t>
      </w:r>
      <w:r>
        <w:rPr>
          <w:color w:val="231F20"/>
        </w:rPr>
        <w:t>identification</w:t>
      </w:r>
      <w:r>
        <w:rPr>
          <w:color w:val="231F20"/>
          <w:spacing w:val="1"/>
        </w:rPr>
        <w:t> </w:t>
      </w:r>
      <w:r>
        <w:rPr>
          <w:color w:val="231F20"/>
        </w:rPr>
        <w:t>of core elements for evidence-based behavioral</w:t>
      </w:r>
      <w:r>
        <w:rPr>
          <w:color w:val="231F20"/>
          <w:spacing w:val="1"/>
        </w:rPr>
        <w:t> </w:t>
      </w:r>
      <w:r>
        <w:rPr>
          <w:color w:val="231F20"/>
        </w:rPr>
        <w:t>interventions for HIV/AIDS prevention. </w:t>
      </w:r>
      <w:r>
        <w:rPr>
          <w:i/>
          <w:color w:val="231F20"/>
        </w:rPr>
        <w:t>Health</w:t>
      </w:r>
      <w:r>
        <w:rPr>
          <w:i/>
          <w:color w:val="231F20"/>
          <w:spacing w:val="1"/>
        </w:rPr>
        <w:t> </w:t>
      </w:r>
      <w:r>
        <w:rPr>
          <w:i/>
          <w:color w:val="231F20"/>
        </w:rPr>
        <w:t>Education</w:t>
      </w:r>
      <w:r>
        <w:rPr>
          <w:i/>
          <w:color w:val="231F20"/>
          <w:spacing w:val="-6"/>
        </w:rPr>
        <w:t> </w:t>
      </w:r>
      <w:r>
        <w:rPr>
          <w:i/>
          <w:color w:val="231F20"/>
        </w:rPr>
        <w:t>Research,</w:t>
      </w:r>
      <w:r>
        <w:rPr>
          <w:i/>
          <w:color w:val="231F20"/>
          <w:spacing w:val="-5"/>
        </w:rPr>
        <w:t> </w:t>
      </w:r>
      <w:r>
        <w:rPr>
          <w:i/>
          <w:color w:val="231F20"/>
        </w:rPr>
        <w:t>26</w:t>
      </w:r>
      <w:r>
        <w:rPr>
          <w:color w:val="231F20"/>
        </w:rPr>
        <w:t>(5),</w:t>
      </w:r>
      <w:r>
        <w:rPr>
          <w:color w:val="231F20"/>
          <w:spacing w:val="-6"/>
        </w:rPr>
        <w:t> </w:t>
      </w:r>
      <w:r>
        <w:rPr>
          <w:color w:val="231F20"/>
        </w:rPr>
        <w:t>872-885.</w:t>
      </w:r>
      <w:r>
        <w:rPr>
          <w:color w:val="231F20"/>
          <w:spacing w:val="-5"/>
        </w:rPr>
        <w:t> </w:t>
      </w:r>
      <w:hyperlink r:id="rId276">
        <w:r>
          <w:rPr>
            <w:color w:val="3953A4"/>
            <w:u w:val="single" w:color="3953A4"/>
          </w:rPr>
          <w:t>https://doi.</w:t>
        </w:r>
      </w:hyperlink>
    </w:p>
    <w:p>
      <w:pPr>
        <w:pStyle w:val="BodyText"/>
        <w:spacing w:line="241" w:lineRule="exact"/>
        <w:ind w:left="519"/>
      </w:pPr>
      <w:hyperlink r:id="rId276">
        <w:r>
          <w:rPr>
            <w:color w:val="3953A4"/>
            <w:u w:val="single" w:color="3953A4"/>
          </w:rPr>
          <w:t>org/10.1093/her/cyr03</w:t>
        </w:r>
      </w:hyperlink>
      <w:r>
        <w:rPr>
          <w:color w:val="3953A4"/>
          <w:u w:val="single" w:color="3953A4"/>
        </w:rPr>
        <w:t>0 </w:t>
      </w:r>
    </w:p>
    <w:p>
      <w:pPr>
        <w:tabs>
          <w:tab w:pos="519" w:val="left" w:leader="none"/>
        </w:tabs>
        <w:spacing w:line="228" w:lineRule="auto" w:before="87"/>
        <w:ind w:left="519" w:right="896" w:hanging="360"/>
        <w:jc w:val="left"/>
        <w:rPr>
          <w:sz w:val="22"/>
        </w:rPr>
      </w:pPr>
      <w:r>
        <w:rPr>
          <w:color w:val="231F20"/>
          <w:sz w:val="22"/>
          <w:vertAlign w:val="superscript"/>
        </w:rPr>
        <w:t>11</w:t>
      </w:r>
      <w:r>
        <w:rPr>
          <w:color w:val="231F20"/>
          <w:sz w:val="22"/>
          <w:vertAlign w:val="baseline"/>
        </w:rPr>
        <w:tab/>
      </w:r>
      <w:r>
        <w:rPr>
          <w:color w:val="231F20"/>
          <w:spacing w:val="-1"/>
          <w:sz w:val="22"/>
          <w:vertAlign w:val="baseline"/>
        </w:rPr>
        <w:t>Substance Abuse and Mental Health Services</w:t>
      </w:r>
      <w:r>
        <w:rPr>
          <w:color w:val="231F20"/>
          <w:sz w:val="22"/>
          <w:vertAlign w:val="baseline"/>
        </w:rPr>
        <w:t> Administration.</w:t>
      </w:r>
      <w:r>
        <w:rPr>
          <w:color w:val="231F20"/>
          <w:spacing w:val="-9"/>
          <w:sz w:val="22"/>
          <w:vertAlign w:val="baseline"/>
        </w:rPr>
        <w:t> </w:t>
      </w:r>
      <w:r>
        <w:rPr>
          <w:color w:val="231F20"/>
          <w:sz w:val="22"/>
          <w:vertAlign w:val="baseline"/>
        </w:rPr>
        <w:t>(2018).</w:t>
      </w:r>
      <w:r>
        <w:rPr>
          <w:color w:val="231F20"/>
          <w:spacing w:val="-8"/>
          <w:sz w:val="22"/>
          <w:vertAlign w:val="baseline"/>
        </w:rPr>
        <w:t> </w:t>
      </w:r>
      <w:r>
        <w:rPr>
          <w:i/>
          <w:color w:val="231F20"/>
          <w:sz w:val="22"/>
          <w:vertAlign w:val="baseline"/>
        </w:rPr>
        <w:t>Selecting</w:t>
      </w:r>
      <w:r>
        <w:rPr>
          <w:i/>
          <w:color w:val="231F20"/>
          <w:spacing w:val="-8"/>
          <w:sz w:val="22"/>
          <w:vertAlign w:val="baseline"/>
        </w:rPr>
        <w:t> </w:t>
      </w:r>
      <w:r>
        <w:rPr>
          <w:i/>
          <w:color w:val="231F20"/>
          <w:sz w:val="22"/>
          <w:vertAlign w:val="baseline"/>
        </w:rPr>
        <w:t>best-fit</w:t>
      </w:r>
      <w:r>
        <w:rPr>
          <w:i/>
          <w:color w:val="231F20"/>
          <w:spacing w:val="-8"/>
          <w:sz w:val="22"/>
          <w:vertAlign w:val="baseline"/>
        </w:rPr>
        <w:t> </w:t>
      </w:r>
      <w:r>
        <w:rPr>
          <w:i/>
          <w:color w:val="231F20"/>
          <w:sz w:val="22"/>
          <w:vertAlign w:val="baseline"/>
        </w:rPr>
        <w:t>programs</w:t>
      </w:r>
      <w:r>
        <w:rPr>
          <w:i/>
          <w:color w:val="231F20"/>
          <w:spacing w:val="-52"/>
          <w:sz w:val="22"/>
          <w:vertAlign w:val="baseline"/>
        </w:rPr>
        <w:t> </w:t>
      </w:r>
      <w:r>
        <w:rPr>
          <w:i/>
          <w:color w:val="231F20"/>
          <w:sz w:val="22"/>
          <w:vertAlign w:val="baseline"/>
        </w:rPr>
        <w:t>and practices: Guidance for substance misuse</w:t>
      </w:r>
      <w:r>
        <w:rPr>
          <w:i/>
          <w:color w:val="231F20"/>
          <w:spacing w:val="1"/>
          <w:sz w:val="22"/>
          <w:vertAlign w:val="baseline"/>
        </w:rPr>
        <w:t> </w:t>
      </w:r>
      <w:r>
        <w:rPr>
          <w:i/>
          <w:color w:val="231F20"/>
          <w:sz w:val="22"/>
          <w:vertAlign w:val="baseline"/>
        </w:rPr>
        <w:t>prevention practitioners. </w:t>
      </w:r>
      <w:hyperlink r:id="rId277">
        <w:r>
          <w:rPr>
            <w:color w:val="3953A4"/>
            <w:sz w:val="22"/>
            <w:u w:val="single" w:color="3953A4"/>
            <w:vertAlign w:val="baseline"/>
          </w:rPr>
          <w:t>https://www.samhsa.</w:t>
        </w:r>
      </w:hyperlink>
      <w:r>
        <w:rPr>
          <w:color w:val="3953A4"/>
          <w:spacing w:val="1"/>
          <w:sz w:val="22"/>
          <w:vertAlign w:val="baseline"/>
        </w:rPr>
        <w:t> </w:t>
      </w:r>
      <w:hyperlink r:id="rId277">
        <w:r>
          <w:rPr>
            <w:color w:val="3953A4"/>
            <w:sz w:val="22"/>
            <w:u w:val="single" w:color="3953A4"/>
            <w:vertAlign w:val="baseline"/>
          </w:rPr>
          <w:t>gov/sites/default/files/ebp_prevention_guidance_</w:t>
        </w:r>
      </w:hyperlink>
      <w:r>
        <w:rPr>
          <w:color w:val="3953A4"/>
          <w:spacing w:val="1"/>
          <w:sz w:val="22"/>
          <w:vertAlign w:val="baseline"/>
        </w:rPr>
        <w:t> </w:t>
      </w:r>
      <w:hyperlink r:id="rId277">
        <w:r>
          <w:rPr>
            <w:color w:val="3953A4"/>
            <w:sz w:val="22"/>
            <w:u w:val="single" w:color="3953A4"/>
            <w:vertAlign w:val="baseline"/>
          </w:rPr>
          <w:t>document_241.pdf</w:t>
        </w:r>
      </w:hyperlink>
    </w:p>
    <w:p>
      <w:pPr>
        <w:pStyle w:val="BodyText"/>
        <w:spacing w:line="228" w:lineRule="auto" w:before="88"/>
        <w:ind w:left="519" w:right="774" w:hanging="360"/>
        <w:jc w:val="both"/>
      </w:pPr>
      <w:r>
        <w:rPr>
          <w:color w:val="231F20"/>
          <w:vertAlign w:val="superscript"/>
        </w:rPr>
        <w:t>12</w:t>
      </w:r>
      <w:r>
        <w:rPr>
          <w:color w:val="231F20"/>
          <w:spacing w:val="1"/>
          <w:vertAlign w:val="baseline"/>
        </w:rPr>
        <w:t> </w:t>
      </w:r>
      <w:r>
        <w:rPr>
          <w:color w:val="231F20"/>
          <w:vertAlign w:val="baseline"/>
        </w:rPr>
        <w:t>Network of the National Library of Medicine. (n.d.).</w:t>
      </w:r>
      <w:r>
        <w:rPr>
          <w:color w:val="231F20"/>
          <w:spacing w:val="-53"/>
          <w:vertAlign w:val="baseline"/>
        </w:rPr>
        <w:t> </w:t>
      </w:r>
      <w:r>
        <w:rPr>
          <w:i/>
          <w:color w:val="231F20"/>
          <w:vertAlign w:val="baseline"/>
        </w:rPr>
        <w:t>Health literacy.</w:t>
      </w:r>
      <w:r>
        <w:rPr>
          <w:color w:val="231F20"/>
          <w:vertAlign w:val="baseline"/>
        </w:rPr>
        <w:t>National Institutes of Health. </w:t>
      </w:r>
      <w:hyperlink r:id="rId278">
        <w:r>
          <w:rPr>
            <w:color w:val="3953A4"/>
            <w:u w:val="single" w:color="3953A4"/>
            <w:vertAlign w:val="baseline"/>
          </w:rPr>
          <w:t>https://</w:t>
        </w:r>
      </w:hyperlink>
      <w:r>
        <w:rPr>
          <w:color w:val="3953A4"/>
          <w:spacing w:val="-52"/>
          <w:vertAlign w:val="baseline"/>
        </w:rPr>
        <w:t> </w:t>
      </w:r>
      <w:hyperlink r:id="rId278">
        <w:r>
          <w:rPr>
            <w:color w:val="3953A4"/>
            <w:u w:val="single" w:color="3953A4"/>
            <w:vertAlign w:val="baseline"/>
          </w:rPr>
          <w:t>nnlm.gov/initiatives/topics/health-literacy</w:t>
        </w:r>
      </w:hyperlink>
    </w:p>
    <w:p>
      <w:pPr>
        <w:tabs>
          <w:tab w:pos="519" w:val="left" w:leader="none"/>
        </w:tabs>
        <w:spacing w:line="228" w:lineRule="auto" w:before="89"/>
        <w:ind w:left="519" w:right="1016" w:hanging="360"/>
        <w:jc w:val="left"/>
        <w:rPr>
          <w:sz w:val="22"/>
        </w:rPr>
      </w:pPr>
      <w:r>
        <w:rPr>
          <w:color w:val="231F20"/>
          <w:sz w:val="22"/>
          <w:vertAlign w:val="superscript"/>
        </w:rPr>
        <w:t>13</w:t>
      </w:r>
      <w:r>
        <w:rPr>
          <w:color w:val="231F20"/>
          <w:sz w:val="22"/>
          <w:vertAlign w:val="baseline"/>
        </w:rPr>
        <w:tab/>
        <w:t>Centers for Disease Control and Prevention.</w:t>
      </w:r>
      <w:r>
        <w:rPr>
          <w:color w:val="231F20"/>
          <w:spacing w:val="1"/>
          <w:sz w:val="22"/>
          <w:vertAlign w:val="baseline"/>
        </w:rPr>
        <w:t> </w:t>
      </w:r>
      <w:r>
        <w:rPr>
          <w:color w:val="231F20"/>
          <w:sz w:val="22"/>
          <w:vertAlign w:val="baseline"/>
        </w:rPr>
        <w:t>(2019, October 17). </w:t>
      </w:r>
      <w:r>
        <w:rPr>
          <w:i/>
          <w:color w:val="231F20"/>
          <w:sz w:val="22"/>
          <w:vertAlign w:val="baseline"/>
        </w:rPr>
        <w:t>Assess health literacy in your</w:t>
      </w:r>
      <w:r>
        <w:rPr>
          <w:i/>
          <w:color w:val="231F20"/>
          <w:spacing w:val="-52"/>
          <w:sz w:val="22"/>
          <w:vertAlign w:val="baseline"/>
        </w:rPr>
        <w:t> </w:t>
      </w:r>
      <w:r>
        <w:rPr>
          <w:i/>
          <w:color w:val="231F20"/>
          <w:spacing w:val="-1"/>
          <w:sz w:val="22"/>
          <w:vertAlign w:val="baseline"/>
        </w:rPr>
        <w:t>organization</w:t>
      </w:r>
      <w:r>
        <w:rPr>
          <w:color w:val="231F20"/>
          <w:spacing w:val="-1"/>
          <w:sz w:val="22"/>
          <w:vertAlign w:val="baseline"/>
        </w:rPr>
        <w:t>.</w:t>
      </w:r>
      <w:r>
        <w:rPr>
          <w:color w:val="231F20"/>
          <w:spacing w:val="-8"/>
          <w:sz w:val="22"/>
          <w:vertAlign w:val="baseline"/>
        </w:rPr>
        <w:t> </w:t>
      </w:r>
      <w:hyperlink r:id="rId279">
        <w:r>
          <w:rPr>
            <w:color w:val="3953A4"/>
            <w:sz w:val="22"/>
            <w:u w:val="single" w:color="3953A4"/>
            <w:vertAlign w:val="baseline"/>
          </w:rPr>
          <w:t>https://www.cdc.gov/healthliteracy/</w:t>
        </w:r>
      </w:hyperlink>
    </w:p>
    <w:p>
      <w:pPr>
        <w:pStyle w:val="BodyText"/>
        <w:spacing w:line="242" w:lineRule="exact"/>
        <w:ind w:left="519"/>
      </w:pPr>
      <w:hyperlink r:id="rId279">
        <w:r>
          <w:rPr>
            <w:color w:val="3953A4"/>
            <w:u w:val="single" w:color="3953A4"/>
          </w:rPr>
          <w:t>researchevaluate/organization-assessment-tools.html</w:t>
        </w:r>
      </w:hyperlink>
    </w:p>
    <w:p>
      <w:pPr>
        <w:tabs>
          <w:tab w:pos="519" w:val="left" w:leader="none"/>
        </w:tabs>
        <w:spacing w:line="228" w:lineRule="auto" w:before="88"/>
        <w:ind w:left="519" w:right="783" w:hanging="360"/>
        <w:jc w:val="left"/>
        <w:rPr>
          <w:sz w:val="22"/>
        </w:rPr>
      </w:pPr>
      <w:r>
        <w:rPr>
          <w:color w:val="231F20"/>
          <w:sz w:val="22"/>
          <w:vertAlign w:val="superscript"/>
        </w:rPr>
        <w:t>14</w:t>
      </w:r>
      <w:r>
        <w:rPr>
          <w:color w:val="231F20"/>
          <w:sz w:val="22"/>
          <w:vertAlign w:val="baseline"/>
        </w:rPr>
        <w:tab/>
        <w:t>Agency</w:t>
      </w:r>
      <w:r>
        <w:rPr>
          <w:color w:val="231F20"/>
          <w:spacing w:val="-7"/>
          <w:sz w:val="22"/>
          <w:vertAlign w:val="baseline"/>
        </w:rPr>
        <w:t> </w:t>
      </w:r>
      <w:r>
        <w:rPr>
          <w:color w:val="231F20"/>
          <w:sz w:val="22"/>
          <w:vertAlign w:val="baseline"/>
        </w:rPr>
        <w:t>for</w:t>
      </w:r>
      <w:r>
        <w:rPr>
          <w:color w:val="231F20"/>
          <w:spacing w:val="-5"/>
          <w:sz w:val="22"/>
          <w:vertAlign w:val="baseline"/>
        </w:rPr>
        <w:t> </w:t>
      </w:r>
      <w:r>
        <w:rPr>
          <w:color w:val="231F20"/>
          <w:sz w:val="22"/>
          <w:vertAlign w:val="baseline"/>
        </w:rPr>
        <w:t>Healthcare</w:t>
      </w:r>
      <w:r>
        <w:rPr>
          <w:color w:val="231F20"/>
          <w:spacing w:val="-7"/>
          <w:sz w:val="22"/>
          <w:vertAlign w:val="baseline"/>
        </w:rPr>
        <w:t> </w:t>
      </w:r>
      <w:r>
        <w:rPr>
          <w:color w:val="231F20"/>
          <w:sz w:val="22"/>
          <w:vertAlign w:val="baseline"/>
        </w:rPr>
        <w:t>Research</w:t>
      </w:r>
      <w:r>
        <w:rPr>
          <w:color w:val="231F20"/>
          <w:spacing w:val="-5"/>
          <w:sz w:val="22"/>
          <w:vertAlign w:val="baseline"/>
        </w:rPr>
        <w:t> </w:t>
      </w:r>
      <w:r>
        <w:rPr>
          <w:color w:val="231F20"/>
          <w:sz w:val="22"/>
          <w:vertAlign w:val="baseline"/>
        </w:rPr>
        <w:t>and</w:t>
      </w:r>
      <w:r>
        <w:rPr>
          <w:color w:val="231F20"/>
          <w:spacing w:val="-6"/>
          <w:sz w:val="22"/>
          <w:vertAlign w:val="baseline"/>
        </w:rPr>
        <w:t> </w:t>
      </w:r>
      <w:r>
        <w:rPr>
          <w:color w:val="231F20"/>
          <w:sz w:val="22"/>
          <w:vertAlign w:val="baseline"/>
        </w:rPr>
        <w:t>Quality.</w:t>
      </w:r>
      <w:r>
        <w:rPr>
          <w:color w:val="231F20"/>
          <w:spacing w:val="-5"/>
          <w:sz w:val="22"/>
          <w:vertAlign w:val="baseline"/>
        </w:rPr>
        <w:t> </w:t>
      </w:r>
      <w:r>
        <w:rPr>
          <w:color w:val="231F20"/>
          <w:sz w:val="22"/>
          <w:vertAlign w:val="baseline"/>
        </w:rPr>
        <w:t>(2015,</w:t>
      </w:r>
      <w:r>
        <w:rPr>
          <w:color w:val="231F20"/>
          <w:spacing w:val="-52"/>
          <w:sz w:val="22"/>
          <w:vertAlign w:val="baseline"/>
        </w:rPr>
        <w:t> </w:t>
      </w:r>
      <w:r>
        <w:rPr>
          <w:color w:val="231F20"/>
          <w:sz w:val="22"/>
          <w:vertAlign w:val="baseline"/>
        </w:rPr>
        <w:t>January). </w:t>
      </w:r>
      <w:r>
        <w:rPr>
          <w:i/>
          <w:color w:val="231F20"/>
          <w:sz w:val="22"/>
          <w:vertAlign w:val="baseline"/>
        </w:rPr>
        <w:t>Guide to implementing the health literacy</w:t>
      </w:r>
      <w:r>
        <w:rPr>
          <w:i/>
          <w:color w:val="231F20"/>
          <w:spacing w:val="1"/>
          <w:sz w:val="22"/>
          <w:vertAlign w:val="baseline"/>
        </w:rPr>
        <w:t> </w:t>
      </w:r>
      <w:r>
        <w:rPr>
          <w:i/>
          <w:color w:val="231F20"/>
          <w:sz w:val="22"/>
          <w:vertAlign w:val="baseline"/>
        </w:rPr>
        <w:t>universal precautions toolkit</w:t>
      </w:r>
      <w:r>
        <w:rPr>
          <w:color w:val="231F20"/>
          <w:sz w:val="22"/>
          <w:vertAlign w:val="baseline"/>
        </w:rPr>
        <w:t>. </w:t>
      </w:r>
      <w:hyperlink r:id="rId280">
        <w:r>
          <w:rPr>
            <w:color w:val="3953A4"/>
            <w:sz w:val="22"/>
            <w:u w:val="single" w:color="3953A4"/>
            <w:vertAlign w:val="baseline"/>
          </w:rPr>
          <w:t>https://www.ahrq.</w:t>
        </w:r>
      </w:hyperlink>
      <w:r>
        <w:rPr>
          <w:color w:val="3953A4"/>
          <w:spacing w:val="1"/>
          <w:sz w:val="22"/>
          <w:vertAlign w:val="baseline"/>
        </w:rPr>
        <w:t> </w:t>
      </w:r>
      <w:hyperlink r:id="rId280">
        <w:r>
          <w:rPr>
            <w:color w:val="3953A4"/>
            <w:sz w:val="22"/>
            <w:u w:val="single" w:color="3953A4"/>
            <w:vertAlign w:val="baseline"/>
          </w:rPr>
          <w:t>gov/health-literacy/quality-resources/tools/literacy-</w:t>
        </w:r>
      </w:hyperlink>
      <w:r>
        <w:rPr>
          <w:color w:val="3953A4"/>
          <w:spacing w:val="1"/>
          <w:sz w:val="22"/>
          <w:vertAlign w:val="baseline"/>
        </w:rPr>
        <w:t> </w:t>
      </w:r>
      <w:hyperlink r:id="rId280">
        <w:r>
          <w:rPr>
            <w:color w:val="3953A4"/>
            <w:sz w:val="22"/>
            <w:u w:val="single" w:color="3953A4"/>
            <w:vertAlign w:val="baseline"/>
          </w:rPr>
          <w:t>toolkit/impguide/index.html</w:t>
        </w:r>
      </w:hyperlink>
    </w:p>
    <w:p>
      <w:pPr>
        <w:pStyle w:val="BodyText"/>
        <w:tabs>
          <w:tab w:pos="519" w:val="left" w:leader="none"/>
        </w:tabs>
        <w:spacing w:line="228" w:lineRule="auto" w:before="88"/>
        <w:ind w:left="519" w:right="1141" w:hanging="360"/>
      </w:pPr>
      <w:r>
        <w:rPr>
          <w:color w:val="231F20"/>
          <w:vertAlign w:val="superscript"/>
        </w:rPr>
        <w:t>15</w:t>
      </w:r>
      <w:r>
        <w:rPr>
          <w:color w:val="231F20"/>
          <w:vertAlign w:val="baseline"/>
        </w:rPr>
        <w:tab/>
      </w:r>
      <w:r>
        <w:rPr>
          <w:color w:val="231F20"/>
          <w:spacing w:val="-5"/>
          <w:vertAlign w:val="baseline"/>
        </w:rPr>
        <w:t>Office of Minority </w:t>
      </w:r>
      <w:r>
        <w:rPr>
          <w:color w:val="231F20"/>
          <w:spacing w:val="-4"/>
          <w:vertAlign w:val="baseline"/>
        </w:rPr>
        <w:t>Health Resource Center. (2018,</w:t>
      </w:r>
      <w:r>
        <w:rPr>
          <w:color w:val="231F20"/>
          <w:spacing w:val="-52"/>
          <w:vertAlign w:val="baseline"/>
        </w:rPr>
        <w:t> </w:t>
      </w:r>
      <w:r>
        <w:rPr>
          <w:color w:val="231F20"/>
          <w:spacing w:val="-4"/>
          <w:vertAlign w:val="baseline"/>
        </w:rPr>
        <w:t>October 2). </w:t>
      </w:r>
      <w:r>
        <w:rPr>
          <w:i/>
          <w:color w:val="231F20"/>
          <w:spacing w:val="-4"/>
          <w:vertAlign w:val="baseline"/>
        </w:rPr>
        <w:t>The National </w:t>
      </w:r>
      <w:r>
        <w:rPr>
          <w:i/>
          <w:color w:val="231F20"/>
          <w:spacing w:val="-3"/>
          <w:vertAlign w:val="baseline"/>
        </w:rPr>
        <w:t>CLAS Standards</w:t>
      </w:r>
      <w:r>
        <w:rPr>
          <w:color w:val="231F20"/>
          <w:spacing w:val="-3"/>
          <w:vertAlign w:val="baseline"/>
        </w:rPr>
        <w:t>. U.S.</w:t>
      </w:r>
      <w:r>
        <w:rPr>
          <w:color w:val="231F20"/>
          <w:spacing w:val="-2"/>
          <w:vertAlign w:val="baseline"/>
        </w:rPr>
        <w:t> </w:t>
      </w:r>
      <w:r>
        <w:rPr>
          <w:color w:val="231F20"/>
          <w:spacing w:val="-3"/>
          <w:vertAlign w:val="baseline"/>
        </w:rPr>
        <w:t>Department of Health and </w:t>
      </w:r>
      <w:r>
        <w:rPr>
          <w:color w:val="231F20"/>
          <w:spacing w:val="-2"/>
          <w:vertAlign w:val="baseline"/>
        </w:rPr>
        <w:t>Human Services.</w:t>
      </w:r>
      <w:r>
        <w:rPr>
          <w:color w:val="231F20"/>
          <w:spacing w:val="-1"/>
          <w:vertAlign w:val="baseline"/>
        </w:rPr>
        <w:t> </w:t>
      </w:r>
      <w:hyperlink r:id="rId281">
        <w:r>
          <w:rPr>
            <w:color w:val="3953A4"/>
            <w:u w:val="single" w:color="3953A4"/>
            <w:vertAlign w:val="baseline"/>
          </w:rPr>
          <w:t>https://minorityhealth.hhs.gov/omh/browse.</w:t>
        </w:r>
      </w:hyperlink>
      <w:r>
        <w:rPr>
          <w:color w:val="3953A4"/>
          <w:spacing w:val="1"/>
          <w:vertAlign w:val="baseline"/>
        </w:rPr>
        <w:t> </w:t>
      </w:r>
      <w:hyperlink r:id="rId281">
        <w:r>
          <w:rPr>
            <w:color w:val="3953A4"/>
            <w:u w:val="single" w:color="3953A4"/>
            <w:vertAlign w:val="baseline"/>
          </w:rPr>
          <w:t>aspx?lvl=2&amp;lvlid=53</w:t>
        </w:r>
      </w:hyperlink>
    </w:p>
    <w:p>
      <w:pPr>
        <w:spacing w:after="0" w:line="228" w:lineRule="auto"/>
        <w:sectPr>
          <w:type w:val="continuous"/>
          <w:pgSz w:w="12240" w:h="15840"/>
          <w:pgMar w:header="0" w:footer="666" w:top="1500" w:bottom="0" w:left="560" w:right="0"/>
          <w:cols w:num="2" w:equalWidth="0">
            <w:col w:w="5231" w:space="529"/>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BodyText"/>
        <w:tabs>
          <w:tab w:pos="519" w:val="left" w:leader="none"/>
        </w:tabs>
        <w:spacing w:line="228" w:lineRule="auto" w:before="101"/>
        <w:ind w:left="519" w:right="218" w:hanging="360"/>
      </w:pPr>
      <w:r>
        <w:rPr>
          <w:color w:val="231F20"/>
          <w:vertAlign w:val="superscript"/>
        </w:rPr>
        <w:t>16</w:t>
      </w:r>
      <w:r>
        <w:rPr>
          <w:color w:val="231F20"/>
          <w:vertAlign w:val="baseline"/>
        </w:rPr>
        <w:tab/>
      </w:r>
      <w:r>
        <w:rPr>
          <w:color w:val="231F20"/>
          <w:spacing w:val="-5"/>
          <w:vertAlign w:val="baseline"/>
        </w:rPr>
        <w:t>Substance </w:t>
      </w:r>
      <w:r>
        <w:rPr>
          <w:color w:val="231F20"/>
          <w:spacing w:val="-4"/>
          <w:vertAlign w:val="baseline"/>
        </w:rPr>
        <w:t>Abuse and Mental Health Services</w:t>
      </w:r>
      <w:r>
        <w:rPr>
          <w:color w:val="231F20"/>
          <w:spacing w:val="-3"/>
          <w:vertAlign w:val="baseline"/>
        </w:rPr>
        <w:t> </w:t>
      </w:r>
      <w:r>
        <w:rPr>
          <w:color w:val="231F20"/>
          <w:spacing w:val="-4"/>
          <w:vertAlign w:val="baseline"/>
        </w:rPr>
        <w:t>Administration, Health </w:t>
      </w:r>
      <w:r>
        <w:rPr>
          <w:color w:val="231F20"/>
          <w:spacing w:val="-3"/>
          <w:vertAlign w:val="baseline"/>
        </w:rPr>
        <w:t>Resources and Services</w:t>
      </w:r>
      <w:r>
        <w:rPr>
          <w:color w:val="231F20"/>
          <w:spacing w:val="-2"/>
          <w:vertAlign w:val="baseline"/>
        </w:rPr>
        <w:t> </w:t>
      </w:r>
      <w:r>
        <w:rPr>
          <w:color w:val="231F20"/>
          <w:spacing w:val="-4"/>
          <w:vertAlign w:val="baseline"/>
        </w:rPr>
        <w:t>Administration, &amp; National Council </w:t>
      </w:r>
      <w:r>
        <w:rPr>
          <w:color w:val="231F20"/>
          <w:spacing w:val="-3"/>
          <w:vertAlign w:val="baseline"/>
        </w:rPr>
        <w:t>for Behavioral</w:t>
      </w:r>
      <w:r>
        <w:rPr>
          <w:color w:val="231F20"/>
          <w:spacing w:val="-2"/>
          <w:vertAlign w:val="baseline"/>
        </w:rPr>
        <w:t> </w:t>
      </w:r>
      <w:r>
        <w:rPr>
          <w:color w:val="231F20"/>
          <w:spacing w:val="-4"/>
          <w:vertAlign w:val="baseline"/>
        </w:rPr>
        <w:t>Health. (2016, September 14). </w:t>
      </w:r>
      <w:r>
        <w:rPr>
          <w:i/>
          <w:color w:val="231F20"/>
          <w:spacing w:val="-3"/>
          <w:vertAlign w:val="baseline"/>
        </w:rPr>
        <w:t>Strategies for success</w:t>
      </w:r>
      <w:r>
        <w:rPr>
          <w:i/>
          <w:color w:val="231F20"/>
          <w:spacing w:val="-52"/>
          <w:vertAlign w:val="baseline"/>
        </w:rPr>
        <w:t> </w:t>
      </w:r>
      <w:r>
        <w:rPr>
          <w:i/>
          <w:color w:val="231F20"/>
          <w:spacing w:val="-4"/>
          <w:vertAlign w:val="baseline"/>
        </w:rPr>
        <w:t>in integrating HIV care into behavioral </w:t>
      </w:r>
      <w:r>
        <w:rPr>
          <w:i/>
          <w:color w:val="231F20"/>
          <w:spacing w:val="-3"/>
          <w:vertAlign w:val="baseline"/>
        </w:rPr>
        <w:t>health care</w:t>
      </w:r>
      <w:r>
        <w:rPr>
          <w:color w:val="231F20"/>
          <w:spacing w:val="-3"/>
          <w:vertAlign w:val="baseline"/>
        </w:rPr>
        <w:t>.</w:t>
      </w:r>
      <w:r>
        <w:rPr>
          <w:color w:val="231F20"/>
          <w:spacing w:val="-2"/>
          <w:vertAlign w:val="baseline"/>
        </w:rPr>
        <w:t> </w:t>
      </w:r>
      <w:r>
        <w:rPr>
          <w:color w:val="231F20"/>
          <w:spacing w:val="-4"/>
          <w:vertAlign w:val="baseline"/>
        </w:rPr>
        <w:t>Center</w:t>
      </w:r>
      <w:r>
        <w:rPr>
          <w:color w:val="231F20"/>
          <w:spacing w:val="-10"/>
          <w:vertAlign w:val="baseline"/>
        </w:rPr>
        <w:t> </w:t>
      </w:r>
      <w:r>
        <w:rPr>
          <w:color w:val="231F20"/>
          <w:spacing w:val="-4"/>
          <w:vertAlign w:val="baseline"/>
        </w:rPr>
        <w:t>of</w:t>
      </w:r>
      <w:r>
        <w:rPr>
          <w:color w:val="231F20"/>
          <w:spacing w:val="-10"/>
          <w:vertAlign w:val="baseline"/>
        </w:rPr>
        <w:t> </w:t>
      </w:r>
      <w:r>
        <w:rPr>
          <w:color w:val="231F20"/>
          <w:spacing w:val="-4"/>
          <w:vertAlign w:val="baseline"/>
        </w:rPr>
        <w:t>Excellence</w:t>
      </w:r>
      <w:r>
        <w:rPr>
          <w:color w:val="231F20"/>
          <w:spacing w:val="-9"/>
          <w:vertAlign w:val="baseline"/>
        </w:rPr>
        <w:t> </w:t>
      </w:r>
      <w:r>
        <w:rPr>
          <w:color w:val="231F20"/>
          <w:spacing w:val="-3"/>
          <w:vertAlign w:val="baseline"/>
        </w:rPr>
        <w:t>for</w:t>
      </w:r>
      <w:r>
        <w:rPr>
          <w:color w:val="231F20"/>
          <w:spacing w:val="-10"/>
          <w:vertAlign w:val="baseline"/>
        </w:rPr>
        <w:t> </w:t>
      </w:r>
      <w:r>
        <w:rPr>
          <w:color w:val="231F20"/>
          <w:spacing w:val="-3"/>
          <w:vertAlign w:val="baseline"/>
        </w:rPr>
        <w:t>Integrated</w:t>
      </w:r>
      <w:r>
        <w:rPr>
          <w:color w:val="231F20"/>
          <w:spacing w:val="-10"/>
          <w:vertAlign w:val="baseline"/>
        </w:rPr>
        <w:t> </w:t>
      </w:r>
      <w:r>
        <w:rPr>
          <w:color w:val="231F20"/>
          <w:spacing w:val="-3"/>
          <w:vertAlign w:val="baseline"/>
        </w:rPr>
        <w:t>Health</w:t>
      </w:r>
      <w:r>
        <w:rPr>
          <w:color w:val="231F20"/>
          <w:spacing w:val="-9"/>
          <w:vertAlign w:val="baseline"/>
        </w:rPr>
        <w:t> </w:t>
      </w:r>
      <w:r>
        <w:rPr>
          <w:color w:val="231F20"/>
          <w:spacing w:val="-3"/>
          <w:vertAlign w:val="baseline"/>
        </w:rPr>
        <w:t>Solutions.</w:t>
      </w:r>
      <w:r>
        <w:rPr>
          <w:color w:val="231F20"/>
          <w:spacing w:val="-52"/>
          <w:vertAlign w:val="baseline"/>
        </w:rPr>
        <w:t> </w:t>
      </w:r>
      <w:hyperlink r:id="rId282">
        <w:r>
          <w:rPr>
            <w:color w:val="3953A4"/>
            <w:spacing w:val="-1"/>
            <w:u w:val="single" w:color="3953A4"/>
            <w:vertAlign w:val="baseline"/>
          </w:rPr>
          <w:t>https://www.thenationalcouncil.org/coe_resource/</w:t>
        </w:r>
      </w:hyperlink>
      <w:r>
        <w:rPr>
          <w:color w:val="3953A4"/>
          <w:vertAlign w:val="baseline"/>
        </w:rPr>
        <w:t> </w:t>
      </w:r>
      <w:hyperlink r:id="rId282">
        <w:r>
          <w:rPr>
            <w:color w:val="3953A4"/>
            <w:u w:val="single" w:color="3953A4"/>
            <w:vertAlign w:val="baseline"/>
          </w:rPr>
          <w:t>strategies-for-success-in-integrating-hiv-care-</w:t>
        </w:r>
      </w:hyperlink>
    </w:p>
    <w:p>
      <w:pPr>
        <w:pStyle w:val="BodyText"/>
        <w:spacing w:line="228" w:lineRule="auto"/>
        <w:ind w:left="519" w:right="476"/>
      </w:pPr>
      <w:hyperlink r:id="rId282">
        <w:r>
          <w:rPr>
            <w:color w:val="3953A4"/>
            <w:spacing w:val="-4"/>
            <w:u w:val="single" w:color="3953A4"/>
          </w:rPr>
          <w:t>into-behavioral-health-care/strategies-for-success-</w:t>
        </w:r>
      </w:hyperlink>
      <w:r>
        <w:rPr>
          <w:color w:val="3953A4"/>
          <w:spacing w:val="-53"/>
        </w:rPr>
        <w:t> </w:t>
      </w:r>
      <w:hyperlink r:id="rId282">
        <w:r>
          <w:rPr>
            <w:color w:val="3953A4"/>
            <w:u w:val="single" w:color="3953A4"/>
          </w:rPr>
          <w:t>in-integrating-hiv-care-into-behavioral-health-</w:t>
        </w:r>
      </w:hyperlink>
      <w:r>
        <w:rPr>
          <w:color w:val="3953A4"/>
          <w:spacing w:val="1"/>
        </w:rPr>
        <w:t> </w:t>
      </w:r>
      <w:hyperlink r:id="rId282">
        <w:r>
          <w:rPr>
            <w:color w:val="3953A4"/>
            <w:u w:val="single" w:color="3953A4"/>
          </w:rPr>
          <w:t>care-9-14-16/</w:t>
        </w:r>
      </w:hyperlink>
    </w:p>
    <w:p>
      <w:pPr>
        <w:pStyle w:val="BodyText"/>
        <w:tabs>
          <w:tab w:pos="519" w:val="left" w:leader="none"/>
        </w:tabs>
        <w:spacing w:line="246" w:lineRule="exact" w:before="76"/>
        <w:ind w:left="160"/>
      </w:pPr>
      <w:r>
        <w:rPr>
          <w:color w:val="231F20"/>
          <w:vertAlign w:val="superscript"/>
        </w:rPr>
        <w:t>17</w:t>
      </w:r>
      <w:r>
        <w:rPr>
          <w:color w:val="231F20"/>
          <w:vertAlign w:val="baseline"/>
        </w:rPr>
        <w:tab/>
      </w:r>
      <w:r>
        <w:rPr>
          <w:color w:val="231F20"/>
          <w:spacing w:val="-2"/>
          <w:vertAlign w:val="baseline"/>
        </w:rPr>
        <w:t>Aidala,</w:t>
      </w:r>
      <w:r>
        <w:rPr>
          <w:color w:val="231F20"/>
          <w:spacing w:val="-13"/>
          <w:vertAlign w:val="baseline"/>
        </w:rPr>
        <w:t> </w:t>
      </w:r>
      <w:r>
        <w:rPr>
          <w:color w:val="231F20"/>
          <w:spacing w:val="-2"/>
          <w:vertAlign w:val="baseline"/>
        </w:rPr>
        <w:t>A.</w:t>
      </w:r>
      <w:r>
        <w:rPr>
          <w:color w:val="231F20"/>
          <w:spacing w:val="-13"/>
          <w:vertAlign w:val="baseline"/>
        </w:rPr>
        <w:t> </w:t>
      </w:r>
      <w:r>
        <w:rPr>
          <w:color w:val="231F20"/>
          <w:spacing w:val="-2"/>
          <w:vertAlign w:val="baseline"/>
        </w:rPr>
        <w:t>A.,</w:t>
      </w:r>
      <w:r>
        <w:rPr>
          <w:color w:val="231F20"/>
          <w:spacing w:val="-5"/>
          <w:vertAlign w:val="baseline"/>
        </w:rPr>
        <w:t> </w:t>
      </w:r>
      <w:r>
        <w:rPr>
          <w:color w:val="231F20"/>
          <w:spacing w:val="-2"/>
          <w:vertAlign w:val="baseline"/>
        </w:rPr>
        <w:t>Wilson,</w:t>
      </w:r>
      <w:r>
        <w:rPr>
          <w:color w:val="231F20"/>
          <w:vertAlign w:val="baseline"/>
        </w:rPr>
        <w:t> </w:t>
      </w:r>
      <w:r>
        <w:rPr>
          <w:color w:val="231F20"/>
          <w:spacing w:val="-2"/>
          <w:vertAlign w:val="baseline"/>
        </w:rPr>
        <w:t>M.</w:t>
      </w:r>
      <w:r>
        <w:rPr>
          <w:color w:val="231F20"/>
          <w:vertAlign w:val="baseline"/>
        </w:rPr>
        <w:t> </w:t>
      </w:r>
      <w:r>
        <w:rPr>
          <w:color w:val="231F20"/>
          <w:spacing w:val="-2"/>
          <w:vertAlign w:val="baseline"/>
        </w:rPr>
        <w:t>G.,</w:t>
      </w:r>
      <w:r>
        <w:rPr>
          <w:color w:val="231F20"/>
          <w:spacing w:val="-1"/>
          <w:vertAlign w:val="baseline"/>
        </w:rPr>
        <w:t> Shubert,</w:t>
      </w:r>
      <w:r>
        <w:rPr>
          <w:color w:val="231F20"/>
          <w:spacing w:val="-5"/>
          <w:vertAlign w:val="baseline"/>
        </w:rPr>
        <w:t> </w:t>
      </w:r>
      <w:r>
        <w:rPr>
          <w:color w:val="231F20"/>
          <w:spacing w:val="-1"/>
          <w:vertAlign w:val="baseline"/>
        </w:rPr>
        <w:t>V.,</w:t>
      </w:r>
    </w:p>
    <w:p>
      <w:pPr>
        <w:pStyle w:val="BodyText"/>
        <w:spacing w:line="240" w:lineRule="exact"/>
        <w:ind w:left="520"/>
      </w:pPr>
      <w:r>
        <w:rPr>
          <w:color w:val="231F20"/>
        </w:rPr>
        <w:t>Gogolishvili,</w:t>
      </w:r>
      <w:r>
        <w:rPr>
          <w:color w:val="231F20"/>
          <w:spacing w:val="-5"/>
        </w:rPr>
        <w:t> </w:t>
      </w:r>
      <w:r>
        <w:rPr>
          <w:color w:val="231F20"/>
        </w:rPr>
        <w:t>D.,</w:t>
      </w:r>
      <w:r>
        <w:rPr>
          <w:color w:val="231F20"/>
          <w:spacing w:val="-5"/>
        </w:rPr>
        <w:t> </w:t>
      </w:r>
      <w:r>
        <w:rPr>
          <w:color w:val="231F20"/>
        </w:rPr>
        <w:t>Globerman,</w:t>
      </w:r>
      <w:r>
        <w:rPr>
          <w:color w:val="231F20"/>
          <w:spacing w:val="-4"/>
        </w:rPr>
        <w:t> </w:t>
      </w:r>
      <w:r>
        <w:rPr>
          <w:color w:val="231F20"/>
        </w:rPr>
        <w:t>J.,</w:t>
      </w:r>
      <w:r>
        <w:rPr>
          <w:color w:val="231F20"/>
          <w:spacing w:val="-5"/>
        </w:rPr>
        <w:t> </w:t>
      </w:r>
      <w:r>
        <w:rPr>
          <w:color w:val="231F20"/>
        </w:rPr>
        <w:t>Rueda,</w:t>
      </w:r>
      <w:r>
        <w:rPr>
          <w:color w:val="231F20"/>
          <w:spacing w:val="-4"/>
        </w:rPr>
        <w:t> </w:t>
      </w:r>
      <w:r>
        <w:rPr>
          <w:color w:val="231F20"/>
        </w:rPr>
        <w:t>S.,</w:t>
      </w:r>
      <w:r>
        <w:rPr>
          <w:color w:val="231F20"/>
          <w:spacing w:val="-5"/>
        </w:rPr>
        <w:t> </w:t>
      </w:r>
      <w:r>
        <w:rPr>
          <w:color w:val="231F20"/>
        </w:rPr>
        <w:t>Bozack,</w:t>
      </w:r>
    </w:p>
    <w:p>
      <w:pPr>
        <w:pStyle w:val="BodyText"/>
        <w:spacing w:line="228" w:lineRule="auto" w:before="4"/>
        <w:ind w:left="520" w:right="112"/>
      </w:pPr>
      <w:r>
        <w:rPr>
          <w:color w:val="231F20"/>
        </w:rPr>
        <w:t>A. K., Caban, M., &amp; Rourke, S. B. (2016). Housing</w:t>
      </w:r>
      <w:r>
        <w:rPr>
          <w:color w:val="231F20"/>
          <w:spacing w:val="-52"/>
        </w:rPr>
        <w:t> </w:t>
      </w:r>
      <w:r>
        <w:rPr>
          <w:color w:val="231F20"/>
        </w:rPr>
        <w:t>status, medical care, and health outcomes among</w:t>
      </w:r>
      <w:r>
        <w:rPr>
          <w:color w:val="231F20"/>
          <w:spacing w:val="1"/>
        </w:rPr>
        <w:t> </w:t>
      </w:r>
      <w:r>
        <w:rPr>
          <w:color w:val="231F20"/>
          <w:spacing w:val="-1"/>
        </w:rPr>
        <w:t>people living with HIV/AIDS: A systematic </w:t>
      </w:r>
      <w:r>
        <w:rPr>
          <w:color w:val="231F20"/>
        </w:rPr>
        <w:t>review.</w:t>
      </w:r>
      <w:r>
        <w:rPr>
          <w:color w:val="231F20"/>
          <w:spacing w:val="-52"/>
        </w:rPr>
        <w:t> </w:t>
      </w:r>
      <w:r>
        <w:rPr>
          <w:i/>
          <w:color w:val="231F20"/>
        </w:rPr>
        <w:t>American Journal of Public Health, 106</w:t>
      </w:r>
      <w:r>
        <w:rPr>
          <w:color w:val="231F20"/>
        </w:rPr>
        <w:t>(1), e1-e23.</w:t>
      </w:r>
      <w:r>
        <w:rPr>
          <w:color w:val="3953A4"/>
          <w:spacing w:val="-52"/>
        </w:rPr>
        <w:t> </w:t>
      </w:r>
      <w:hyperlink r:id="rId102">
        <w:r>
          <w:rPr>
            <w:color w:val="3953A4"/>
            <w:u w:val="single" w:color="3953A4"/>
          </w:rPr>
          <w:t>https://doi.org/10.2105/ajph.2015.302905</w:t>
        </w:r>
      </w:hyperlink>
    </w:p>
    <w:p>
      <w:pPr>
        <w:tabs>
          <w:tab w:pos="519" w:val="left" w:leader="none"/>
        </w:tabs>
        <w:spacing w:line="228" w:lineRule="auto" w:before="88"/>
        <w:ind w:left="520" w:right="380" w:hanging="360"/>
        <w:jc w:val="left"/>
        <w:rPr>
          <w:sz w:val="22"/>
        </w:rPr>
      </w:pPr>
      <w:r>
        <w:rPr>
          <w:color w:val="231F20"/>
          <w:sz w:val="22"/>
          <w:vertAlign w:val="superscript"/>
        </w:rPr>
        <w:t>18</w:t>
      </w:r>
      <w:r>
        <w:rPr>
          <w:color w:val="231F20"/>
          <w:sz w:val="22"/>
          <w:vertAlign w:val="baseline"/>
        </w:rPr>
        <w:tab/>
      </w:r>
      <w:r>
        <w:rPr>
          <w:color w:val="231F20"/>
          <w:spacing w:val="-4"/>
          <w:sz w:val="22"/>
          <w:vertAlign w:val="baseline"/>
        </w:rPr>
        <w:t>Feller,</w:t>
      </w:r>
      <w:r>
        <w:rPr>
          <w:color w:val="231F20"/>
          <w:spacing w:val="-8"/>
          <w:sz w:val="22"/>
          <w:vertAlign w:val="baseline"/>
        </w:rPr>
        <w:t> </w:t>
      </w:r>
      <w:r>
        <w:rPr>
          <w:color w:val="231F20"/>
          <w:spacing w:val="-4"/>
          <w:sz w:val="22"/>
          <w:vertAlign w:val="baseline"/>
        </w:rPr>
        <w:t>D.</w:t>
      </w:r>
      <w:r>
        <w:rPr>
          <w:color w:val="231F20"/>
          <w:spacing w:val="-8"/>
          <w:sz w:val="22"/>
          <w:vertAlign w:val="baseline"/>
        </w:rPr>
        <w:t> </w:t>
      </w:r>
      <w:r>
        <w:rPr>
          <w:color w:val="231F20"/>
          <w:spacing w:val="-4"/>
          <w:sz w:val="22"/>
          <w:vertAlign w:val="baseline"/>
        </w:rPr>
        <w:t>J.,</w:t>
      </w:r>
      <w:r>
        <w:rPr>
          <w:color w:val="231F20"/>
          <w:spacing w:val="-8"/>
          <w:sz w:val="22"/>
          <w:vertAlign w:val="baseline"/>
        </w:rPr>
        <w:t> </w:t>
      </w:r>
      <w:r>
        <w:rPr>
          <w:color w:val="231F20"/>
          <w:spacing w:val="-4"/>
          <w:sz w:val="22"/>
          <w:vertAlign w:val="baseline"/>
        </w:rPr>
        <w:t>&amp;</w:t>
      </w:r>
      <w:r>
        <w:rPr>
          <w:color w:val="231F20"/>
          <w:spacing w:val="-20"/>
          <w:sz w:val="22"/>
          <w:vertAlign w:val="baseline"/>
        </w:rPr>
        <w:t> </w:t>
      </w:r>
      <w:r>
        <w:rPr>
          <w:color w:val="231F20"/>
          <w:spacing w:val="-4"/>
          <w:sz w:val="22"/>
          <w:vertAlign w:val="baseline"/>
        </w:rPr>
        <w:t>Agins,</w:t>
      </w:r>
      <w:r>
        <w:rPr>
          <w:color w:val="231F20"/>
          <w:spacing w:val="-8"/>
          <w:sz w:val="22"/>
          <w:vertAlign w:val="baseline"/>
        </w:rPr>
        <w:t> </w:t>
      </w:r>
      <w:r>
        <w:rPr>
          <w:color w:val="231F20"/>
          <w:spacing w:val="-4"/>
          <w:sz w:val="22"/>
          <w:vertAlign w:val="baseline"/>
        </w:rPr>
        <w:t>B.</w:t>
      </w:r>
      <w:r>
        <w:rPr>
          <w:color w:val="231F20"/>
          <w:spacing w:val="-8"/>
          <w:sz w:val="22"/>
          <w:vertAlign w:val="baseline"/>
        </w:rPr>
        <w:t> </w:t>
      </w:r>
      <w:r>
        <w:rPr>
          <w:color w:val="231F20"/>
          <w:spacing w:val="-4"/>
          <w:sz w:val="22"/>
          <w:vertAlign w:val="baseline"/>
        </w:rPr>
        <w:t>D.</w:t>
      </w:r>
      <w:r>
        <w:rPr>
          <w:color w:val="231F20"/>
          <w:spacing w:val="-8"/>
          <w:sz w:val="22"/>
          <w:vertAlign w:val="baseline"/>
        </w:rPr>
        <w:t> </w:t>
      </w:r>
      <w:r>
        <w:rPr>
          <w:color w:val="231F20"/>
          <w:spacing w:val="-4"/>
          <w:sz w:val="22"/>
          <w:vertAlign w:val="baseline"/>
        </w:rPr>
        <w:t>(2017).</w:t>
      </w:r>
      <w:r>
        <w:rPr>
          <w:color w:val="231F20"/>
          <w:spacing w:val="-8"/>
          <w:sz w:val="22"/>
          <w:vertAlign w:val="baseline"/>
        </w:rPr>
        <w:t> </w:t>
      </w:r>
      <w:r>
        <w:rPr>
          <w:color w:val="231F20"/>
          <w:spacing w:val="-3"/>
          <w:sz w:val="22"/>
          <w:vertAlign w:val="baseline"/>
        </w:rPr>
        <w:t>Understanding</w:t>
      </w:r>
      <w:r>
        <w:rPr>
          <w:color w:val="231F20"/>
          <w:spacing w:val="-52"/>
          <w:sz w:val="22"/>
          <w:vertAlign w:val="baseline"/>
        </w:rPr>
        <w:t> </w:t>
      </w:r>
      <w:r>
        <w:rPr>
          <w:color w:val="231F20"/>
          <w:spacing w:val="-4"/>
          <w:sz w:val="22"/>
          <w:vertAlign w:val="baseline"/>
        </w:rPr>
        <w:t>determinants</w:t>
      </w:r>
      <w:r>
        <w:rPr>
          <w:color w:val="231F20"/>
          <w:spacing w:val="-10"/>
          <w:sz w:val="22"/>
          <w:vertAlign w:val="baseline"/>
        </w:rPr>
        <w:t> </w:t>
      </w:r>
      <w:r>
        <w:rPr>
          <w:color w:val="231F20"/>
          <w:spacing w:val="-4"/>
          <w:sz w:val="22"/>
          <w:vertAlign w:val="baseline"/>
        </w:rPr>
        <w:t>of</w:t>
      </w:r>
      <w:r>
        <w:rPr>
          <w:color w:val="231F20"/>
          <w:spacing w:val="-9"/>
          <w:sz w:val="22"/>
          <w:vertAlign w:val="baseline"/>
        </w:rPr>
        <w:t> </w:t>
      </w:r>
      <w:r>
        <w:rPr>
          <w:color w:val="231F20"/>
          <w:spacing w:val="-4"/>
          <w:sz w:val="22"/>
          <w:vertAlign w:val="baseline"/>
        </w:rPr>
        <w:t>racial</w:t>
      </w:r>
      <w:r>
        <w:rPr>
          <w:color w:val="231F20"/>
          <w:spacing w:val="-10"/>
          <w:sz w:val="22"/>
          <w:vertAlign w:val="baseline"/>
        </w:rPr>
        <w:t> </w:t>
      </w:r>
      <w:r>
        <w:rPr>
          <w:color w:val="231F20"/>
          <w:spacing w:val="-4"/>
          <w:sz w:val="22"/>
          <w:vertAlign w:val="baseline"/>
        </w:rPr>
        <w:t>and</w:t>
      </w:r>
      <w:r>
        <w:rPr>
          <w:color w:val="231F20"/>
          <w:spacing w:val="-9"/>
          <w:sz w:val="22"/>
          <w:vertAlign w:val="baseline"/>
        </w:rPr>
        <w:t> </w:t>
      </w:r>
      <w:r>
        <w:rPr>
          <w:color w:val="231F20"/>
          <w:spacing w:val="-3"/>
          <w:sz w:val="22"/>
          <w:vertAlign w:val="baseline"/>
        </w:rPr>
        <w:t>ethnic</w:t>
      </w:r>
      <w:r>
        <w:rPr>
          <w:color w:val="231F20"/>
          <w:spacing w:val="-10"/>
          <w:sz w:val="22"/>
          <w:vertAlign w:val="baseline"/>
        </w:rPr>
        <w:t> </w:t>
      </w:r>
      <w:r>
        <w:rPr>
          <w:color w:val="231F20"/>
          <w:spacing w:val="-3"/>
          <w:sz w:val="22"/>
          <w:vertAlign w:val="baseline"/>
        </w:rPr>
        <w:t>disparities</w:t>
      </w:r>
      <w:r>
        <w:rPr>
          <w:color w:val="231F20"/>
          <w:spacing w:val="-9"/>
          <w:sz w:val="22"/>
          <w:vertAlign w:val="baseline"/>
        </w:rPr>
        <w:t> </w:t>
      </w:r>
      <w:r>
        <w:rPr>
          <w:color w:val="231F20"/>
          <w:spacing w:val="-3"/>
          <w:sz w:val="22"/>
          <w:vertAlign w:val="baseline"/>
        </w:rPr>
        <w:t>in</w:t>
      </w:r>
      <w:r>
        <w:rPr>
          <w:color w:val="231F20"/>
          <w:spacing w:val="-10"/>
          <w:sz w:val="22"/>
          <w:vertAlign w:val="baseline"/>
        </w:rPr>
        <w:t> </w:t>
      </w:r>
      <w:r>
        <w:rPr>
          <w:color w:val="231F20"/>
          <w:spacing w:val="-3"/>
          <w:sz w:val="22"/>
          <w:vertAlign w:val="baseline"/>
        </w:rPr>
        <w:t>viral</w:t>
      </w:r>
      <w:r>
        <w:rPr>
          <w:color w:val="231F20"/>
          <w:spacing w:val="-52"/>
          <w:sz w:val="22"/>
          <w:vertAlign w:val="baseline"/>
        </w:rPr>
        <w:t> </w:t>
      </w:r>
      <w:r>
        <w:rPr>
          <w:color w:val="231F20"/>
          <w:spacing w:val="-4"/>
          <w:sz w:val="22"/>
          <w:vertAlign w:val="baseline"/>
        </w:rPr>
        <w:t>load</w:t>
      </w:r>
      <w:r>
        <w:rPr>
          <w:color w:val="231F20"/>
          <w:spacing w:val="-8"/>
          <w:sz w:val="22"/>
          <w:vertAlign w:val="baseline"/>
        </w:rPr>
        <w:t> </w:t>
      </w:r>
      <w:r>
        <w:rPr>
          <w:color w:val="231F20"/>
          <w:spacing w:val="-4"/>
          <w:sz w:val="22"/>
          <w:vertAlign w:val="baseline"/>
        </w:rPr>
        <w:t>suppression:</w:t>
      </w:r>
      <w:r>
        <w:rPr>
          <w:color w:val="231F20"/>
          <w:spacing w:val="-20"/>
          <w:sz w:val="22"/>
          <w:vertAlign w:val="baseline"/>
        </w:rPr>
        <w:t> </w:t>
      </w:r>
      <w:r>
        <w:rPr>
          <w:color w:val="231F20"/>
          <w:spacing w:val="-4"/>
          <w:sz w:val="22"/>
          <w:vertAlign w:val="baseline"/>
        </w:rPr>
        <w:t>A</w:t>
      </w:r>
      <w:r>
        <w:rPr>
          <w:color w:val="231F20"/>
          <w:spacing w:val="-20"/>
          <w:sz w:val="22"/>
          <w:vertAlign w:val="baseline"/>
        </w:rPr>
        <w:t> </w:t>
      </w:r>
      <w:r>
        <w:rPr>
          <w:color w:val="231F20"/>
          <w:spacing w:val="-4"/>
          <w:sz w:val="22"/>
          <w:vertAlign w:val="baseline"/>
        </w:rPr>
        <w:t>data</w:t>
      </w:r>
      <w:r>
        <w:rPr>
          <w:color w:val="231F20"/>
          <w:spacing w:val="-7"/>
          <w:sz w:val="22"/>
          <w:vertAlign w:val="baseline"/>
        </w:rPr>
        <w:t> </w:t>
      </w:r>
      <w:r>
        <w:rPr>
          <w:color w:val="231F20"/>
          <w:spacing w:val="-4"/>
          <w:sz w:val="22"/>
          <w:vertAlign w:val="baseline"/>
        </w:rPr>
        <w:t>mining</w:t>
      </w:r>
      <w:r>
        <w:rPr>
          <w:color w:val="231F20"/>
          <w:spacing w:val="-7"/>
          <w:sz w:val="22"/>
          <w:vertAlign w:val="baseline"/>
        </w:rPr>
        <w:t> </w:t>
      </w:r>
      <w:r>
        <w:rPr>
          <w:color w:val="231F20"/>
          <w:spacing w:val="-4"/>
          <w:sz w:val="22"/>
          <w:vertAlign w:val="baseline"/>
        </w:rPr>
        <w:t>approach.</w:t>
      </w:r>
      <w:r>
        <w:rPr>
          <w:color w:val="231F20"/>
          <w:spacing w:val="-8"/>
          <w:sz w:val="22"/>
          <w:vertAlign w:val="baseline"/>
        </w:rPr>
        <w:t> </w:t>
      </w:r>
      <w:r>
        <w:rPr>
          <w:i/>
          <w:color w:val="231F20"/>
          <w:spacing w:val="-3"/>
          <w:sz w:val="22"/>
          <w:vertAlign w:val="baseline"/>
        </w:rPr>
        <w:t>Journal</w:t>
      </w:r>
      <w:r>
        <w:rPr>
          <w:i/>
          <w:color w:val="231F20"/>
          <w:spacing w:val="-52"/>
          <w:sz w:val="22"/>
          <w:vertAlign w:val="baseline"/>
        </w:rPr>
        <w:t> </w:t>
      </w:r>
      <w:r>
        <w:rPr>
          <w:i/>
          <w:color w:val="231F20"/>
          <w:spacing w:val="-4"/>
          <w:sz w:val="22"/>
          <w:vertAlign w:val="baseline"/>
        </w:rPr>
        <w:t>of the International Association </w:t>
      </w:r>
      <w:r>
        <w:rPr>
          <w:i/>
          <w:color w:val="231F20"/>
          <w:spacing w:val="-3"/>
          <w:sz w:val="22"/>
          <w:vertAlign w:val="baseline"/>
        </w:rPr>
        <w:t>of Providers of</w:t>
      </w:r>
      <w:r>
        <w:rPr>
          <w:i/>
          <w:color w:val="231F20"/>
          <w:spacing w:val="-2"/>
          <w:sz w:val="22"/>
          <w:vertAlign w:val="baseline"/>
        </w:rPr>
        <w:t> </w:t>
      </w:r>
      <w:r>
        <w:rPr>
          <w:i/>
          <w:color w:val="231F20"/>
          <w:spacing w:val="-4"/>
          <w:sz w:val="22"/>
          <w:vertAlign w:val="baseline"/>
        </w:rPr>
        <w:t>AIDS Care (JIAPAC), 16</w:t>
      </w:r>
      <w:r>
        <w:rPr>
          <w:color w:val="231F20"/>
          <w:spacing w:val="-4"/>
          <w:sz w:val="22"/>
          <w:vertAlign w:val="baseline"/>
        </w:rPr>
        <w:t>(1), 23-29. </w:t>
      </w:r>
      <w:hyperlink r:id="rId103">
        <w:r>
          <w:rPr>
            <w:color w:val="3953A4"/>
            <w:spacing w:val="-4"/>
            <w:sz w:val="22"/>
            <w:u w:val="single" w:color="3953A4"/>
            <w:vertAlign w:val="baseline"/>
          </w:rPr>
          <w:t>https://doi.</w:t>
        </w:r>
      </w:hyperlink>
      <w:r>
        <w:rPr>
          <w:color w:val="3953A4"/>
          <w:spacing w:val="-3"/>
          <w:sz w:val="22"/>
          <w:vertAlign w:val="baseline"/>
        </w:rPr>
        <w:t> </w:t>
      </w:r>
      <w:hyperlink r:id="rId103">
        <w:r>
          <w:rPr>
            <w:color w:val="3953A4"/>
            <w:sz w:val="22"/>
            <w:u w:val="single" w:color="3953A4"/>
            <w:vertAlign w:val="baseline"/>
          </w:rPr>
          <w:t>org/10.1177/2325957416667488</w:t>
        </w:r>
      </w:hyperlink>
    </w:p>
    <w:p>
      <w:pPr>
        <w:pStyle w:val="BodyText"/>
        <w:tabs>
          <w:tab w:pos="519" w:val="left" w:leader="none"/>
        </w:tabs>
        <w:spacing w:line="228" w:lineRule="auto" w:before="88"/>
        <w:ind w:left="519" w:right="147" w:hanging="360"/>
      </w:pPr>
      <w:r>
        <w:rPr>
          <w:color w:val="231F20"/>
          <w:vertAlign w:val="superscript"/>
        </w:rPr>
        <w:t>19</w:t>
      </w:r>
      <w:r>
        <w:rPr>
          <w:color w:val="231F20"/>
          <w:vertAlign w:val="baseline"/>
        </w:rPr>
        <w:tab/>
      </w:r>
      <w:r>
        <w:rPr>
          <w:color w:val="231F20"/>
          <w:spacing w:val="-4"/>
          <w:vertAlign w:val="baseline"/>
        </w:rPr>
        <w:t>Gupta,</w:t>
      </w:r>
      <w:r>
        <w:rPr>
          <w:color w:val="231F20"/>
          <w:spacing w:val="-8"/>
          <w:vertAlign w:val="baseline"/>
        </w:rPr>
        <w:t> </w:t>
      </w:r>
      <w:r>
        <w:rPr>
          <w:color w:val="231F20"/>
          <w:spacing w:val="-4"/>
          <w:vertAlign w:val="baseline"/>
        </w:rPr>
        <w:t>G.</w:t>
      </w:r>
      <w:r>
        <w:rPr>
          <w:color w:val="231F20"/>
          <w:spacing w:val="-8"/>
          <w:vertAlign w:val="baseline"/>
        </w:rPr>
        <w:t> </w:t>
      </w:r>
      <w:r>
        <w:rPr>
          <w:color w:val="231F20"/>
          <w:spacing w:val="-4"/>
          <w:vertAlign w:val="baseline"/>
        </w:rPr>
        <w:t>R.,</w:t>
      </w:r>
      <w:r>
        <w:rPr>
          <w:color w:val="231F20"/>
          <w:spacing w:val="-8"/>
          <w:vertAlign w:val="baseline"/>
        </w:rPr>
        <w:t> </w:t>
      </w:r>
      <w:r>
        <w:rPr>
          <w:color w:val="231F20"/>
          <w:spacing w:val="-4"/>
          <w:vertAlign w:val="baseline"/>
        </w:rPr>
        <w:t>Parkhurst,</w:t>
      </w:r>
      <w:r>
        <w:rPr>
          <w:color w:val="231F20"/>
          <w:spacing w:val="-8"/>
          <w:vertAlign w:val="baseline"/>
        </w:rPr>
        <w:t> </w:t>
      </w:r>
      <w:r>
        <w:rPr>
          <w:color w:val="231F20"/>
          <w:spacing w:val="-4"/>
          <w:vertAlign w:val="baseline"/>
        </w:rPr>
        <w:t>J.</w:t>
      </w:r>
      <w:r>
        <w:rPr>
          <w:color w:val="231F20"/>
          <w:spacing w:val="-8"/>
          <w:vertAlign w:val="baseline"/>
        </w:rPr>
        <w:t> </w:t>
      </w:r>
      <w:r>
        <w:rPr>
          <w:color w:val="231F20"/>
          <w:spacing w:val="-4"/>
          <w:vertAlign w:val="baseline"/>
        </w:rPr>
        <w:t>O.,</w:t>
      </w:r>
      <w:r>
        <w:rPr>
          <w:color w:val="231F20"/>
          <w:spacing w:val="-8"/>
          <w:vertAlign w:val="baseline"/>
        </w:rPr>
        <w:t> </w:t>
      </w:r>
      <w:r>
        <w:rPr>
          <w:color w:val="231F20"/>
          <w:spacing w:val="-4"/>
          <w:vertAlign w:val="baseline"/>
        </w:rPr>
        <w:t>Ogden,</w:t>
      </w:r>
      <w:r>
        <w:rPr>
          <w:color w:val="231F20"/>
          <w:spacing w:val="-8"/>
          <w:vertAlign w:val="baseline"/>
        </w:rPr>
        <w:t> </w:t>
      </w:r>
      <w:r>
        <w:rPr>
          <w:color w:val="231F20"/>
          <w:spacing w:val="-4"/>
          <w:vertAlign w:val="baseline"/>
        </w:rPr>
        <w:t>J.</w:t>
      </w:r>
      <w:r>
        <w:rPr>
          <w:color w:val="231F20"/>
          <w:spacing w:val="-21"/>
          <w:vertAlign w:val="baseline"/>
        </w:rPr>
        <w:t> </w:t>
      </w:r>
      <w:r>
        <w:rPr>
          <w:color w:val="231F20"/>
          <w:spacing w:val="-4"/>
          <w:vertAlign w:val="baseline"/>
        </w:rPr>
        <w:t>A.,</w:t>
      </w:r>
      <w:r>
        <w:rPr>
          <w:color w:val="231F20"/>
          <w:spacing w:val="-21"/>
          <w:vertAlign w:val="baseline"/>
        </w:rPr>
        <w:t> </w:t>
      </w:r>
      <w:r>
        <w:rPr>
          <w:color w:val="231F20"/>
          <w:spacing w:val="-3"/>
          <w:vertAlign w:val="baseline"/>
        </w:rPr>
        <w:t>Aggleton,</w:t>
      </w:r>
      <w:r>
        <w:rPr>
          <w:color w:val="231F20"/>
          <w:spacing w:val="-52"/>
          <w:vertAlign w:val="baseline"/>
        </w:rPr>
        <w:t> </w:t>
      </w:r>
      <w:r>
        <w:rPr>
          <w:color w:val="231F20"/>
          <w:spacing w:val="-5"/>
          <w:vertAlign w:val="baseline"/>
        </w:rPr>
        <w:t>P., &amp; Mahal, A. </w:t>
      </w:r>
      <w:r>
        <w:rPr>
          <w:color w:val="231F20"/>
          <w:spacing w:val="-4"/>
          <w:vertAlign w:val="baseline"/>
        </w:rPr>
        <w:t>(2008). Structural approaches to HIV</w:t>
      </w:r>
      <w:r>
        <w:rPr>
          <w:color w:val="231F20"/>
          <w:spacing w:val="-52"/>
          <w:vertAlign w:val="baseline"/>
        </w:rPr>
        <w:t> </w:t>
      </w:r>
      <w:r>
        <w:rPr>
          <w:color w:val="231F20"/>
          <w:spacing w:val="-4"/>
          <w:vertAlign w:val="baseline"/>
        </w:rPr>
        <w:t>prevention. </w:t>
      </w:r>
      <w:r>
        <w:rPr>
          <w:i/>
          <w:color w:val="231F20"/>
          <w:spacing w:val="-4"/>
          <w:vertAlign w:val="baseline"/>
        </w:rPr>
        <w:t>The Lancet, 372</w:t>
      </w:r>
      <w:r>
        <w:rPr>
          <w:color w:val="231F20"/>
          <w:spacing w:val="-4"/>
          <w:vertAlign w:val="baseline"/>
        </w:rPr>
        <w:t>(9640), </w:t>
      </w:r>
      <w:r>
        <w:rPr>
          <w:color w:val="231F20"/>
          <w:spacing w:val="-3"/>
          <w:vertAlign w:val="baseline"/>
        </w:rPr>
        <w:t>764-775. </w:t>
      </w:r>
      <w:hyperlink r:id="rId104">
        <w:r>
          <w:rPr>
            <w:color w:val="3953A4"/>
            <w:spacing w:val="-3"/>
            <w:u w:val="single" w:color="3953A4"/>
            <w:vertAlign w:val="baseline"/>
          </w:rPr>
          <w:t>https://</w:t>
        </w:r>
      </w:hyperlink>
      <w:r>
        <w:rPr>
          <w:color w:val="3953A4"/>
          <w:spacing w:val="-2"/>
          <w:vertAlign w:val="baseline"/>
        </w:rPr>
        <w:t> </w:t>
      </w:r>
      <w:hyperlink r:id="rId104">
        <w:r>
          <w:rPr>
            <w:color w:val="3953A4"/>
            <w:u w:val="single" w:color="3953A4"/>
            <w:vertAlign w:val="baseline"/>
          </w:rPr>
          <w:t>doi.org/10.1016/s0140-6736(08)60887-9</w:t>
        </w:r>
      </w:hyperlink>
    </w:p>
    <w:p>
      <w:pPr>
        <w:tabs>
          <w:tab w:pos="519" w:val="left" w:leader="none"/>
        </w:tabs>
        <w:spacing w:line="228" w:lineRule="auto" w:before="89"/>
        <w:ind w:left="519" w:right="144" w:hanging="360"/>
        <w:jc w:val="left"/>
        <w:rPr>
          <w:sz w:val="22"/>
        </w:rPr>
      </w:pPr>
      <w:r>
        <w:rPr>
          <w:color w:val="231F20"/>
          <w:sz w:val="22"/>
          <w:vertAlign w:val="superscript"/>
        </w:rPr>
        <w:t>20</w:t>
      </w:r>
      <w:r>
        <w:rPr>
          <w:color w:val="231F20"/>
          <w:sz w:val="22"/>
          <w:vertAlign w:val="baseline"/>
        </w:rPr>
        <w:tab/>
      </w:r>
      <w:r>
        <w:rPr>
          <w:color w:val="231F20"/>
          <w:spacing w:val="-6"/>
          <w:sz w:val="22"/>
          <w:vertAlign w:val="baseline"/>
        </w:rPr>
        <w:t>Kamarulzaman, A., &amp; Altice, F. L. (2015). Challenges</w:t>
      </w:r>
      <w:r>
        <w:rPr>
          <w:color w:val="231F20"/>
          <w:spacing w:val="-5"/>
          <w:sz w:val="22"/>
          <w:vertAlign w:val="baseline"/>
        </w:rPr>
        <w:t> </w:t>
      </w:r>
      <w:r>
        <w:rPr>
          <w:color w:val="231F20"/>
          <w:spacing w:val="-6"/>
          <w:sz w:val="22"/>
          <w:vertAlign w:val="baseline"/>
        </w:rPr>
        <w:t>in managing </w:t>
      </w:r>
      <w:r>
        <w:rPr>
          <w:color w:val="231F20"/>
          <w:spacing w:val="-5"/>
          <w:sz w:val="22"/>
          <w:vertAlign w:val="baseline"/>
        </w:rPr>
        <w:t>HIV in people who use drugs. </w:t>
      </w:r>
      <w:r>
        <w:rPr>
          <w:i/>
          <w:color w:val="231F20"/>
          <w:spacing w:val="-5"/>
          <w:sz w:val="22"/>
          <w:vertAlign w:val="baseline"/>
        </w:rPr>
        <w:t>Current</w:t>
      </w:r>
      <w:r>
        <w:rPr>
          <w:i/>
          <w:color w:val="231F20"/>
          <w:spacing w:val="-4"/>
          <w:sz w:val="22"/>
          <w:vertAlign w:val="baseline"/>
        </w:rPr>
        <w:t> </w:t>
      </w:r>
      <w:r>
        <w:rPr>
          <w:i/>
          <w:color w:val="231F20"/>
          <w:spacing w:val="-6"/>
          <w:sz w:val="22"/>
          <w:vertAlign w:val="baseline"/>
        </w:rPr>
        <w:t>Opinion</w:t>
      </w:r>
      <w:r>
        <w:rPr>
          <w:i/>
          <w:color w:val="231F20"/>
          <w:spacing w:val="-12"/>
          <w:sz w:val="22"/>
          <w:vertAlign w:val="baseline"/>
        </w:rPr>
        <w:t> </w:t>
      </w:r>
      <w:r>
        <w:rPr>
          <w:i/>
          <w:color w:val="231F20"/>
          <w:spacing w:val="-6"/>
          <w:sz w:val="22"/>
          <w:vertAlign w:val="baseline"/>
        </w:rPr>
        <w:t>in</w:t>
      </w:r>
      <w:r>
        <w:rPr>
          <w:i/>
          <w:color w:val="231F20"/>
          <w:spacing w:val="-12"/>
          <w:sz w:val="22"/>
          <w:vertAlign w:val="baseline"/>
        </w:rPr>
        <w:t> </w:t>
      </w:r>
      <w:r>
        <w:rPr>
          <w:i/>
          <w:color w:val="231F20"/>
          <w:spacing w:val="-6"/>
          <w:sz w:val="22"/>
          <w:vertAlign w:val="baseline"/>
        </w:rPr>
        <w:t>Infectious</w:t>
      </w:r>
      <w:r>
        <w:rPr>
          <w:i/>
          <w:color w:val="231F20"/>
          <w:spacing w:val="-12"/>
          <w:sz w:val="22"/>
          <w:vertAlign w:val="baseline"/>
        </w:rPr>
        <w:t> </w:t>
      </w:r>
      <w:r>
        <w:rPr>
          <w:i/>
          <w:color w:val="231F20"/>
          <w:spacing w:val="-6"/>
          <w:sz w:val="22"/>
          <w:vertAlign w:val="baseline"/>
        </w:rPr>
        <w:t>Disease,</w:t>
      </w:r>
      <w:r>
        <w:rPr>
          <w:i/>
          <w:color w:val="231F20"/>
          <w:spacing w:val="-12"/>
          <w:sz w:val="22"/>
          <w:vertAlign w:val="baseline"/>
        </w:rPr>
        <w:t> </w:t>
      </w:r>
      <w:r>
        <w:rPr>
          <w:i/>
          <w:color w:val="231F20"/>
          <w:spacing w:val="-5"/>
          <w:sz w:val="22"/>
          <w:vertAlign w:val="baseline"/>
        </w:rPr>
        <w:t>28</w:t>
      </w:r>
      <w:r>
        <w:rPr>
          <w:color w:val="231F20"/>
          <w:spacing w:val="-5"/>
          <w:sz w:val="22"/>
          <w:vertAlign w:val="baseline"/>
        </w:rPr>
        <w:t>(1),</w:t>
      </w:r>
      <w:r>
        <w:rPr>
          <w:color w:val="231F20"/>
          <w:spacing w:val="-12"/>
          <w:sz w:val="22"/>
          <w:vertAlign w:val="baseline"/>
        </w:rPr>
        <w:t> </w:t>
      </w:r>
      <w:r>
        <w:rPr>
          <w:color w:val="231F20"/>
          <w:spacing w:val="-5"/>
          <w:sz w:val="22"/>
          <w:vertAlign w:val="baseline"/>
        </w:rPr>
        <w:t>10-16.</w:t>
      </w:r>
      <w:r>
        <w:rPr>
          <w:color w:val="231F20"/>
          <w:spacing w:val="-12"/>
          <w:sz w:val="22"/>
          <w:vertAlign w:val="baseline"/>
        </w:rPr>
        <w:t> </w:t>
      </w:r>
      <w:hyperlink r:id="rId105">
        <w:r>
          <w:rPr>
            <w:color w:val="3953A4"/>
            <w:spacing w:val="-5"/>
            <w:sz w:val="22"/>
            <w:u w:val="single" w:color="3953A4"/>
            <w:vertAlign w:val="baseline"/>
          </w:rPr>
          <w:t>https://doi.</w:t>
        </w:r>
      </w:hyperlink>
      <w:r>
        <w:rPr>
          <w:color w:val="3953A4"/>
          <w:spacing w:val="-52"/>
          <w:sz w:val="22"/>
          <w:vertAlign w:val="baseline"/>
        </w:rPr>
        <w:t> </w:t>
      </w:r>
      <w:hyperlink r:id="rId105">
        <w:r>
          <w:rPr>
            <w:color w:val="3953A4"/>
            <w:sz w:val="22"/>
            <w:u w:val="single" w:color="3953A4"/>
            <w:vertAlign w:val="baseline"/>
          </w:rPr>
          <w:t>org/10.1097/QCO.0000000000000125</w:t>
        </w:r>
      </w:hyperlink>
    </w:p>
    <w:p>
      <w:pPr>
        <w:pStyle w:val="BodyText"/>
        <w:tabs>
          <w:tab w:pos="519" w:val="left" w:leader="none"/>
        </w:tabs>
        <w:spacing w:line="228" w:lineRule="auto" w:before="89"/>
        <w:ind w:left="519" w:right="38" w:hanging="360"/>
      </w:pPr>
      <w:r>
        <w:rPr>
          <w:color w:val="231F20"/>
          <w:vertAlign w:val="superscript"/>
        </w:rPr>
        <w:t>21</w:t>
      </w:r>
      <w:r>
        <w:rPr>
          <w:color w:val="231F20"/>
          <w:vertAlign w:val="baseline"/>
        </w:rPr>
        <w:tab/>
        <w:t>Heath</w:t>
      </w:r>
      <w:r>
        <w:rPr>
          <w:color w:val="231F20"/>
          <w:spacing w:val="-9"/>
          <w:vertAlign w:val="baseline"/>
        </w:rPr>
        <w:t> </w:t>
      </w:r>
      <w:r>
        <w:rPr>
          <w:color w:val="231F20"/>
          <w:vertAlign w:val="baseline"/>
        </w:rPr>
        <w:t>Jr.,</w:t>
      </w:r>
      <w:r>
        <w:rPr>
          <w:color w:val="231F20"/>
          <w:spacing w:val="-7"/>
          <w:vertAlign w:val="baseline"/>
        </w:rPr>
        <w:t> </w:t>
      </w:r>
      <w:r>
        <w:rPr>
          <w:color w:val="231F20"/>
          <w:vertAlign w:val="baseline"/>
        </w:rPr>
        <w:t>B.,</w:t>
      </w:r>
      <w:r>
        <w:rPr>
          <w:color w:val="231F20"/>
          <w:spacing w:val="-7"/>
          <w:vertAlign w:val="baseline"/>
        </w:rPr>
        <w:t> </w:t>
      </w:r>
      <w:r>
        <w:rPr>
          <w:color w:val="231F20"/>
          <w:vertAlign w:val="baseline"/>
        </w:rPr>
        <w:t>Reynolds,</w:t>
      </w:r>
      <w:r>
        <w:rPr>
          <w:color w:val="231F20"/>
          <w:spacing w:val="-7"/>
          <w:vertAlign w:val="baseline"/>
        </w:rPr>
        <w:t> </w:t>
      </w:r>
      <w:r>
        <w:rPr>
          <w:color w:val="231F20"/>
          <w:vertAlign w:val="baseline"/>
        </w:rPr>
        <w:t>K.,</w:t>
      </w:r>
      <w:r>
        <w:rPr>
          <w:color w:val="231F20"/>
          <w:spacing w:val="-8"/>
          <w:vertAlign w:val="baseline"/>
        </w:rPr>
        <w:t> </w:t>
      </w:r>
      <w:r>
        <w:rPr>
          <w:color w:val="231F20"/>
          <w:vertAlign w:val="baseline"/>
        </w:rPr>
        <w:t>&amp;</w:t>
      </w:r>
      <w:r>
        <w:rPr>
          <w:color w:val="231F20"/>
          <w:spacing w:val="-8"/>
          <w:vertAlign w:val="baseline"/>
        </w:rPr>
        <w:t> </w:t>
      </w:r>
      <w:r>
        <w:rPr>
          <w:color w:val="231F20"/>
          <w:vertAlign w:val="baseline"/>
        </w:rPr>
        <w:t>Romero,</w:t>
      </w:r>
      <w:r>
        <w:rPr>
          <w:color w:val="231F20"/>
          <w:spacing w:val="-7"/>
          <w:vertAlign w:val="baseline"/>
        </w:rPr>
        <w:t> </w:t>
      </w:r>
      <w:r>
        <w:rPr>
          <w:color w:val="231F20"/>
          <w:vertAlign w:val="baseline"/>
        </w:rPr>
        <w:t>P.</w:t>
      </w:r>
      <w:r>
        <w:rPr>
          <w:color w:val="231F20"/>
          <w:spacing w:val="-10"/>
          <w:vertAlign w:val="baseline"/>
        </w:rPr>
        <w:t> </w:t>
      </w:r>
      <w:r>
        <w:rPr>
          <w:color w:val="231F20"/>
          <w:vertAlign w:val="baseline"/>
        </w:rPr>
        <w:t>W.</w:t>
      </w:r>
      <w:r>
        <w:rPr>
          <w:color w:val="231F20"/>
          <w:spacing w:val="-8"/>
          <w:vertAlign w:val="baseline"/>
        </w:rPr>
        <w:t> </w:t>
      </w:r>
      <w:r>
        <w:rPr>
          <w:color w:val="231F20"/>
          <w:vertAlign w:val="baseline"/>
        </w:rPr>
        <w:t>(2013).</w:t>
      </w:r>
      <w:r>
        <w:rPr>
          <w:color w:val="231F20"/>
          <w:spacing w:val="-52"/>
          <w:vertAlign w:val="baseline"/>
        </w:rPr>
        <w:t> </w:t>
      </w:r>
      <w:r>
        <w:rPr>
          <w:i/>
          <w:color w:val="231F20"/>
          <w:vertAlign w:val="baseline"/>
        </w:rPr>
        <w:t>A standard framework for levels of integrated</w:t>
      </w:r>
      <w:r>
        <w:rPr>
          <w:i/>
          <w:color w:val="231F20"/>
          <w:spacing w:val="1"/>
          <w:vertAlign w:val="baseline"/>
        </w:rPr>
        <w:t> </w:t>
      </w:r>
      <w:r>
        <w:rPr>
          <w:i/>
          <w:color w:val="231F20"/>
          <w:spacing w:val="-1"/>
          <w:vertAlign w:val="baseline"/>
        </w:rPr>
        <w:t>healthcare</w:t>
      </w:r>
      <w:r>
        <w:rPr>
          <w:color w:val="231F20"/>
          <w:spacing w:val="-1"/>
          <w:vertAlign w:val="baseline"/>
        </w:rPr>
        <w:t>. Substance Abuse and Mental </w:t>
      </w:r>
      <w:r>
        <w:rPr>
          <w:color w:val="231F20"/>
          <w:vertAlign w:val="baseline"/>
        </w:rPr>
        <w:t>Health</w:t>
      </w:r>
      <w:r>
        <w:rPr>
          <w:color w:val="231F20"/>
          <w:spacing w:val="1"/>
          <w:vertAlign w:val="baseline"/>
        </w:rPr>
        <w:t> </w:t>
      </w:r>
      <w:r>
        <w:rPr>
          <w:color w:val="231F20"/>
          <w:spacing w:val="-1"/>
          <w:vertAlign w:val="baseline"/>
        </w:rPr>
        <w:t>Services Administration – Health Services </w:t>
      </w:r>
      <w:r>
        <w:rPr>
          <w:color w:val="231F20"/>
          <w:vertAlign w:val="baseline"/>
        </w:rPr>
        <w:t>and</w:t>
      </w:r>
      <w:r>
        <w:rPr>
          <w:color w:val="231F20"/>
          <w:spacing w:val="1"/>
          <w:vertAlign w:val="baseline"/>
        </w:rPr>
        <w:t> </w:t>
      </w:r>
      <w:r>
        <w:rPr>
          <w:color w:val="231F20"/>
          <w:spacing w:val="-1"/>
          <w:vertAlign w:val="baseline"/>
        </w:rPr>
        <w:t>Resources Administration </w:t>
      </w:r>
      <w:r>
        <w:rPr>
          <w:color w:val="231F20"/>
          <w:vertAlign w:val="baseline"/>
        </w:rPr>
        <w:t>Center for Integrated</w:t>
      </w:r>
      <w:r>
        <w:rPr>
          <w:color w:val="231F20"/>
          <w:spacing w:val="1"/>
          <w:vertAlign w:val="baseline"/>
        </w:rPr>
        <w:t> </w:t>
      </w:r>
      <w:r>
        <w:rPr>
          <w:color w:val="231F20"/>
          <w:vertAlign w:val="baseline"/>
        </w:rPr>
        <w:t>Health Solutions </w:t>
      </w:r>
      <w:hyperlink r:id="rId283">
        <w:r>
          <w:rPr>
            <w:color w:val="3953A4"/>
            <w:u w:val="single" w:color="3953A4"/>
            <w:vertAlign w:val="baseline"/>
          </w:rPr>
          <w:t>https://www.pcpcc.org/resource/</w:t>
        </w:r>
      </w:hyperlink>
      <w:r>
        <w:rPr>
          <w:color w:val="3953A4"/>
          <w:spacing w:val="1"/>
          <w:vertAlign w:val="baseline"/>
        </w:rPr>
        <w:t> </w:t>
      </w:r>
      <w:hyperlink r:id="rId283">
        <w:r>
          <w:rPr>
            <w:color w:val="3953A4"/>
            <w:u w:val="single" w:color="3953A4"/>
            <w:vertAlign w:val="baseline"/>
          </w:rPr>
          <w:t>standard-framework-levels-integrated-healthcare</w:t>
        </w:r>
      </w:hyperlink>
    </w:p>
    <w:p>
      <w:pPr>
        <w:pStyle w:val="BodyText"/>
        <w:tabs>
          <w:tab w:pos="519" w:val="left" w:leader="none"/>
        </w:tabs>
        <w:spacing w:line="228" w:lineRule="auto" w:before="87"/>
        <w:ind w:left="519" w:right="268" w:hanging="360"/>
      </w:pPr>
      <w:r>
        <w:rPr>
          <w:color w:val="231F20"/>
          <w:vertAlign w:val="superscript"/>
        </w:rPr>
        <w:t>22</w:t>
      </w:r>
      <w:r>
        <w:rPr>
          <w:color w:val="231F20"/>
          <w:vertAlign w:val="baseline"/>
        </w:rPr>
        <w:tab/>
      </w:r>
      <w:r>
        <w:rPr>
          <w:color w:val="231F20"/>
          <w:spacing w:val="-3"/>
          <w:vertAlign w:val="baseline"/>
        </w:rPr>
        <w:t>Ivbijaro, G. O., Enum, Y., Khan, </w:t>
      </w:r>
      <w:r>
        <w:rPr>
          <w:color w:val="231F20"/>
          <w:spacing w:val="-2"/>
          <w:vertAlign w:val="baseline"/>
        </w:rPr>
        <w:t>A. A., Lam, S. S.,</w:t>
      </w:r>
      <w:r>
        <w:rPr>
          <w:color w:val="231F20"/>
          <w:spacing w:val="-52"/>
          <w:vertAlign w:val="baseline"/>
        </w:rPr>
        <w:t> </w:t>
      </w:r>
      <w:r>
        <w:rPr>
          <w:color w:val="231F20"/>
          <w:spacing w:val="-3"/>
          <w:vertAlign w:val="baseline"/>
        </w:rPr>
        <w:t>&amp; Gabzdyl, </w:t>
      </w:r>
      <w:r>
        <w:rPr>
          <w:color w:val="231F20"/>
          <w:spacing w:val="-2"/>
          <w:vertAlign w:val="baseline"/>
        </w:rPr>
        <w:t>A. (2014). Collaborative care: Models</w:t>
      </w:r>
      <w:r>
        <w:rPr>
          <w:color w:val="231F20"/>
          <w:spacing w:val="-1"/>
          <w:vertAlign w:val="baseline"/>
        </w:rPr>
        <w:t> </w:t>
      </w:r>
      <w:r>
        <w:rPr>
          <w:color w:val="231F20"/>
          <w:vertAlign w:val="baseline"/>
        </w:rPr>
        <w:t>for treatment of patients with complex medical-</w:t>
      </w:r>
      <w:r>
        <w:rPr>
          <w:color w:val="231F20"/>
          <w:spacing w:val="1"/>
          <w:vertAlign w:val="baseline"/>
        </w:rPr>
        <w:t> </w:t>
      </w:r>
      <w:r>
        <w:rPr>
          <w:color w:val="231F20"/>
          <w:spacing w:val="-2"/>
          <w:vertAlign w:val="baseline"/>
        </w:rPr>
        <w:t>psychiatric</w:t>
      </w:r>
      <w:r>
        <w:rPr>
          <w:color w:val="231F20"/>
          <w:spacing w:val="-9"/>
          <w:vertAlign w:val="baseline"/>
        </w:rPr>
        <w:t> </w:t>
      </w:r>
      <w:r>
        <w:rPr>
          <w:color w:val="231F20"/>
          <w:spacing w:val="-2"/>
          <w:vertAlign w:val="baseline"/>
        </w:rPr>
        <w:t>conditions.</w:t>
      </w:r>
      <w:r>
        <w:rPr>
          <w:color w:val="231F20"/>
          <w:spacing w:val="-10"/>
          <w:vertAlign w:val="baseline"/>
        </w:rPr>
        <w:t> </w:t>
      </w:r>
      <w:r>
        <w:rPr>
          <w:i/>
          <w:color w:val="231F20"/>
          <w:spacing w:val="-2"/>
          <w:vertAlign w:val="baseline"/>
        </w:rPr>
        <w:t>Current</w:t>
      </w:r>
      <w:r>
        <w:rPr>
          <w:i/>
          <w:color w:val="231F20"/>
          <w:spacing w:val="-9"/>
          <w:vertAlign w:val="baseline"/>
        </w:rPr>
        <w:t> </w:t>
      </w:r>
      <w:r>
        <w:rPr>
          <w:i/>
          <w:color w:val="231F20"/>
          <w:spacing w:val="-2"/>
          <w:vertAlign w:val="baseline"/>
        </w:rPr>
        <w:t>Psychiatry</w:t>
      </w:r>
      <w:r>
        <w:rPr>
          <w:i/>
          <w:color w:val="231F20"/>
          <w:spacing w:val="-9"/>
          <w:vertAlign w:val="baseline"/>
        </w:rPr>
        <w:t> </w:t>
      </w:r>
      <w:r>
        <w:rPr>
          <w:i/>
          <w:color w:val="231F20"/>
          <w:spacing w:val="-1"/>
          <w:vertAlign w:val="baseline"/>
        </w:rPr>
        <w:t>Reports,</w:t>
      </w:r>
      <w:r>
        <w:rPr>
          <w:i/>
          <w:color w:val="231F20"/>
          <w:spacing w:val="-52"/>
          <w:vertAlign w:val="baseline"/>
        </w:rPr>
        <w:t> </w:t>
      </w:r>
      <w:r>
        <w:rPr>
          <w:i/>
          <w:color w:val="231F20"/>
          <w:spacing w:val="-2"/>
          <w:vertAlign w:val="baseline"/>
        </w:rPr>
        <w:t>16</w:t>
      </w:r>
      <w:r>
        <w:rPr>
          <w:color w:val="231F20"/>
          <w:spacing w:val="-2"/>
          <w:vertAlign w:val="baseline"/>
        </w:rPr>
        <w:t>(11), 506. </w:t>
      </w:r>
      <w:hyperlink r:id="rId284">
        <w:r>
          <w:rPr>
            <w:color w:val="3953A4"/>
            <w:spacing w:val="-2"/>
            <w:u w:val="single" w:color="3953A4"/>
            <w:vertAlign w:val="baseline"/>
          </w:rPr>
          <w:t>https://doi.org/10.1007/s11920-014-</w:t>
        </w:r>
      </w:hyperlink>
      <w:r>
        <w:rPr>
          <w:color w:val="3953A4"/>
          <w:spacing w:val="-1"/>
          <w:vertAlign w:val="baseline"/>
        </w:rPr>
        <w:t> </w:t>
      </w:r>
      <w:hyperlink r:id="rId284">
        <w:r>
          <w:rPr>
            <w:color w:val="3953A4"/>
            <w:u w:val="single" w:color="3953A4"/>
            <w:vertAlign w:val="baseline"/>
          </w:rPr>
          <w:t>0506-4</w:t>
        </w:r>
      </w:hyperlink>
    </w:p>
    <w:p>
      <w:pPr>
        <w:pStyle w:val="BodyText"/>
        <w:tabs>
          <w:tab w:pos="519" w:val="left" w:leader="none"/>
        </w:tabs>
        <w:spacing w:line="228" w:lineRule="auto" w:before="88"/>
        <w:ind w:left="519" w:right="150" w:hanging="360"/>
      </w:pPr>
      <w:r>
        <w:rPr>
          <w:color w:val="231F20"/>
          <w:vertAlign w:val="superscript"/>
        </w:rPr>
        <w:t>23</w:t>
      </w:r>
      <w:r>
        <w:rPr>
          <w:color w:val="231F20"/>
          <w:vertAlign w:val="baseline"/>
        </w:rPr>
        <w:tab/>
        <w:t>National Institute of Mental Health. (2017,</w:t>
      </w:r>
      <w:r>
        <w:rPr>
          <w:color w:val="231F20"/>
          <w:spacing w:val="1"/>
          <w:vertAlign w:val="baseline"/>
        </w:rPr>
        <w:t> </w:t>
      </w:r>
      <w:r>
        <w:rPr>
          <w:color w:val="231F20"/>
          <w:vertAlign w:val="baseline"/>
        </w:rPr>
        <w:t>February). </w:t>
      </w:r>
      <w:r>
        <w:rPr>
          <w:i/>
          <w:color w:val="231F20"/>
          <w:vertAlign w:val="baseline"/>
        </w:rPr>
        <w:t>Integrated care</w:t>
      </w:r>
      <w:r>
        <w:rPr>
          <w:color w:val="231F20"/>
          <w:vertAlign w:val="baseline"/>
        </w:rPr>
        <w:t>. U.S. Department of</w:t>
      </w:r>
      <w:r>
        <w:rPr>
          <w:color w:val="231F20"/>
          <w:spacing w:val="1"/>
          <w:vertAlign w:val="baseline"/>
        </w:rPr>
        <w:t> </w:t>
      </w:r>
      <w:r>
        <w:rPr>
          <w:color w:val="231F20"/>
          <w:vertAlign w:val="baseline"/>
        </w:rPr>
        <w:t>Health</w:t>
      </w:r>
      <w:r>
        <w:rPr>
          <w:color w:val="231F20"/>
          <w:spacing w:val="-9"/>
          <w:vertAlign w:val="baseline"/>
        </w:rPr>
        <w:t> </w:t>
      </w:r>
      <w:r>
        <w:rPr>
          <w:color w:val="231F20"/>
          <w:vertAlign w:val="baseline"/>
        </w:rPr>
        <w:t>and</w:t>
      </w:r>
      <w:r>
        <w:rPr>
          <w:color w:val="231F20"/>
          <w:spacing w:val="-7"/>
          <w:vertAlign w:val="baseline"/>
        </w:rPr>
        <w:t> </w:t>
      </w:r>
      <w:r>
        <w:rPr>
          <w:color w:val="231F20"/>
          <w:vertAlign w:val="baseline"/>
        </w:rPr>
        <w:t>Human</w:t>
      </w:r>
      <w:r>
        <w:rPr>
          <w:color w:val="231F20"/>
          <w:spacing w:val="-8"/>
          <w:vertAlign w:val="baseline"/>
        </w:rPr>
        <w:t> </w:t>
      </w:r>
      <w:r>
        <w:rPr>
          <w:color w:val="231F20"/>
          <w:vertAlign w:val="baseline"/>
        </w:rPr>
        <w:t>Services.</w:t>
      </w:r>
      <w:r>
        <w:rPr>
          <w:color w:val="231F20"/>
          <w:spacing w:val="-7"/>
          <w:vertAlign w:val="baseline"/>
        </w:rPr>
        <w:t> </w:t>
      </w:r>
      <w:hyperlink r:id="rId285">
        <w:r>
          <w:rPr>
            <w:color w:val="3953A4"/>
            <w:u w:val="single" w:color="3953A4"/>
            <w:vertAlign w:val="baseline"/>
          </w:rPr>
          <w:t>https://www.nimh.nih.</w:t>
        </w:r>
      </w:hyperlink>
      <w:r>
        <w:rPr>
          <w:color w:val="3953A4"/>
          <w:spacing w:val="-52"/>
          <w:vertAlign w:val="baseline"/>
        </w:rPr>
        <w:t> </w:t>
      </w:r>
      <w:hyperlink r:id="rId285">
        <w:r>
          <w:rPr>
            <w:color w:val="3953A4"/>
            <w:u w:val="single" w:color="3953A4"/>
            <w:vertAlign w:val="baseline"/>
          </w:rPr>
          <w:t>gov/health/topics/integrated-care/index.shtml</w:t>
        </w:r>
      </w:hyperlink>
    </w:p>
    <w:p>
      <w:pPr>
        <w:pStyle w:val="BodyText"/>
        <w:tabs>
          <w:tab w:pos="519" w:val="left" w:leader="none"/>
        </w:tabs>
        <w:spacing w:line="228" w:lineRule="auto" w:before="101"/>
        <w:ind w:left="520" w:right="1000" w:hanging="360"/>
      </w:pPr>
      <w:r>
        <w:rPr/>
        <w:br w:type="column"/>
      </w:r>
      <w:r>
        <w:rPr>
          <w:color w:val="231F20"/>
          <w:vertAlign w:val="superscript"/>
        </w:rPr>
        <w:t>24</w:t>
      </w:r>
      <w:r>
        <w:rPr>
          <w:color w:val="231F20"/>
          <w:vertAlign w:val="baseline"/>
        </w:rPr>
        <w:tab/>
        <w:t>Chuah, F. L. H., Haldane, V. E., Cervero-Liceras,</w:t>
      </w:r>
      <w:r>
        <w:rPr>
          <w:color w:val="231F20"/>
          <w:spacing w:val="-52"/>
          <w:vertAlign w:val="baseline"/>
        </w:rPr>
        <w:t> </w:t>
      </w:r>
      <w:r>
        <w:rPr>
          <w:color w:val="231F20"/>
          <w:spacing w:val="-2"/>
          <w:vertAlign w:val="baseline"/>
        </w:rPr>
        <w:t>F., Ong, S. E., Sigfrid, L. A., Murphy, </w:t>
      </w:r>
      <w:r>
        <w:rPr>
          <w:color w:val="231F20"/>
          <w:spacing w:val="-1"/>
          <w:vertAlign w:val="baseline"/>
        </w:rPr>
        <w:t>G., Watt,</w:t>
      </w:r>
      <w:r>
        <w:rPr>
          <w:color w:val="231F20"/>
          <w:vertAlign w:val="baseline"/>
        </w:rPr>
        <w:t> N., Balabanova, D., Hogarth, S., Maimaris, W.,</w:t>
      </w:r>
      <w:r>
        <w:rPr>
          <w:color w:val="231F20"/>
          <w:spacing w:val="1"/>
          <w:vertAlign w:val="baseline"/>
        </w:rPr>
        <w:t> </w:t>
      </w:r>
      <w:r>
        <w:rPr>
          <w:color w:val="231F20"/>
          <w:vertAlign w:val="baseline"/>
        </w:rPr>
        <w:t>Otero,</w:t>
      </w:r>
      <w:r>
        <w:rPr>
          <w:color w:val="231F20"/>
          <w:spacing w:val="-9"/>
          <w:vertAlign w:val="baseline"/>
        </w:rPr>
        <w:t> </w:t>
      </w:r>
      <w:r>
        <w:rPr>
          <w:color w:val="231F20"/>
          <w:vertAlign w:val="baseline"/>
        </w:rPr>
        <w:t>L.,</w:t>
      </w:r>
      <w:r>
        <w:rPr>
          <w:color w:val="231F20"/>
          <w:spacing w:val="-8"/>
          <w:vertAlign w:val="baseline"/>
        </w:rPr>
        <w:t> </w:t>
      </w:r>
      <w:r>
        <w:rPr>
          <w:color w:val="231F20"/>
          <w:vertAlign w:val="baseline"/>
        </w:rPr>
        <w:t>Buse,</w:t>
      </w:r>
      <w:r>
        <w:rPr>
          <w:color w:val="231F20"/>
          <w:spacing w:val="-8"/>
          <w:vertAlign w:val="baseline"/>
        </w:rPr>
        <w:t> </w:t>
      </w:r>
      <w:r>
        <w:rPr>
          <w:color w:val="231F20"/>
          <w:vertAlign w:val="baseline"/>
        </w:rPr>
        <w:t>K.,</w:t>
      </w:r>
      <w:r>
        <w:rPr>
          <w:color w:val="231F20"/>
          <w:spacing w:val="-8"/>
          <w:vertAlign w:val="baseline"/>
        </w:rPr>
        <w:t> </w:t>
      </w:r>
      <w:r>
        <w:rPr>
          <w:color w:val="231F20"/>
          <w:vertAlign w:val="baseline"/>
        </w:rPr>
        <w:t>McKee,</w:t>
      </w:r>
      <w:r>
        <w:rPr>
          <w:color w:val="231F20"/>
          <w:spacing w:val="-9"/>
          <w:vertAlign w:val="baseline"/>
        </w:rPr>
        <w:t> </w:t>
      </w:r>
      <w:r>
        <w:rPr>
          <w:color w:val="231F20"/>
          <w:vertAlign w:val="baseline"/>
        </w:rPr>
        <w:t>M.,</w:t>
      </w:r>
      <w:r>
        <w:rPr>
          <w:color w:val="231F20"/>
          <w:spacing w:val="-8"/>
          <w:vertAlign w:val="baseline"/>
        </w:rPr>
        <w:t> </w:t>
      </w:r>
      <w:r>
        <w:rPr>
          <w:color w:val="231F20"/>
          <w:vertAlign w:val="baseline"/>
        </w:rPr>
        <w:t>Piot,</w:t>
      </w:r>
      <w:r>
        <w:rPr>
          <w:color w:val="231F20"/>
          <w:spacing w:val="-9"/>
          <w:vertAlign w:val="baseline"/>
        </w:rPr>
        <w:t> </w:t>
      </w:r>
      <w:r>
        <w:rPr>
          <w:color w:val="231F20"/>
          <w:vertAlign w:val="baseline"/>
        </w:rPr>
        <w:t>P.,</w:t>
      </w:r>
      <w:r>
        <w:rPr>
          <w:color w:val="231F20"/>
          <w:spacing w:val="-8"/>
          <w:vertAlign w:val="baseline"/>
        </w:rPr>
        <w:t> </w:t>
      </w:r>
      <w:r>
        <w:rPr>
          <w:color w:val="231F20"/>
          <w:vertAlign w:val="baseline"/>
        </w:rPr>
        <w:t>Perel,</w:t>
      </w:r>
      <w:r>
        <w:rPr>
          <w:color w:val="231F20"/>
          <w:spacing w:val="-8"/>
          <w:vertAlign w:val="baseline"/>
        </w:rPr>
        <w:t> </w:t>
      </w:r>
      <w:r>
        <w:rPr>
          <w:color w:val="231F20"/>
          <w:vertAlign w:val="baseline"/>
        </w:rPr>
        <w:t>P.,</w:t>
      </w:r>
      <w:r>
        <w:rPr>
          <w:color w:val="231F20"/>
          <w:spacing w:val="-52"/>
          <w:vertAlign w:val="baseline"/>
        </w:rPr>
        <w:t> </w:t>
      </w:r>
      <w:r>
        <w:rPr>
          <w:color w:val="231F20"/>
          <w:vertAlign w:val="baseline"/>
        </w:rPr>
        <w:t>&amp; Legido-Quigley, H. (2017). Interventions and</w:t>
      </w:r>
      <w:r>
        <w:rPr>
          <w:color w:val="231F20"/>
          <w:spacing w:val="1"/>
          <w:vertAlign w:val="baseline"/>
        </w:rPr>
        <w:t> </w:t>
      </w:r>
      <w:r>
        <w:rPr>
          <w:color w:val="231F20"/>
          <w:vertAlign w:val="baseline"/>
        </w:rPr>
        <w:t>approaches to integrating HIV and mental health</w:t>
      </w:r>
      <w:r>
        <w:rPr>
          <w:color w:val="231F20"/>
          <w:spacing w:val="1"/>
          <w:vertAlign w:val="baseline"/>
        </w:rPr>
        <w:t> </w:t>
      </w:r>
      <w:r>
        <w:rPr>
          <w:color w:val="231F20"/>
          <w:spacing w:val="-1"/>
          <w:vertAlign w:val="baseline"/>
        </w:rPr>
        <w:t>services: A systematic review. </w:t>
      </w:r>
      <w:r>
        <w:rPr>
          <w:i/>
          <w:color w:val="231F20"/>
          <w:spacing w:val="-1"/>
          <w:vertAlign w:val="baseline"/>
        </w:rPr>
        <w:t>Health Policy </w:t>
      </w:r>
      <w:r>
        <w:rPr>
          <w:i/>
          <w:color w:val="231F20"/>
          <w:vertAlign w:val="baseline"/>
        </w:rPr>
        <w:t>and</w:t>
      </w:r>
      <w:r>
        <w:rPr>
          <w:i/>
          <w:color w:val="231F20"/>
          <w:spacing w:val="1"/>
          <w:vertAlign w:val="baseline"/>
        </w:rPr>
        <w:t> </w:t>
      </w:r>
      <w:r>
        <w:rPr>
          <w:i/>
          <w:color w:val="231F20"/>
          <w:vertAlign w:val="baseline"/>
        </w:rPr>
        <w:t>Planning, 32</w:t>
      </w:r>
      <w:r>
        <w:rPr>
          <w:color w:val="231F20"/>
          <w:vertAlign w:val="baseline"/>
        </w:rPr>
        <w:t>(Suppl. 4), iv27-iv47. </w:t>
      </w:r>
      <w:hyperlink r:id="rId286">
        <w:r>
          <w:rPr>
            <w:color w:val="3953A4"/>
            <w:u w:val="single" w:color="3953A4"/>
            <w:vertAlign w:val="baseline"/>
          </w:rPr>
          <w:t>https://doi.</w:t>
        </w:r>
      </w:hyperlink>
      <w:r>
        <w:rPr>
          <w:color w:val="3953A4"/>
          <w:spacing w:val="1"/>
          <w:vertAlign w:val="baseline"/>
        </w:rPr>
        <w:t> </w:t>
      </w:r>
      <w:hyperlink r:id="rId286">
        <w:r>
          <w:rPr>
            <w:color w:val="3953A4"/>
            <w:u w:val="single" w:color="3953A4"/>
            <w:vertAlign w:val="baseline"/>
          </w:rPr>
          <w:t>org/10.1093/heapol/czw169</w:t>
        </w:r>
      </w:hyperlink>
    </w:p>
    <w:p>
      <w:pPr>
        <w:tabs>
          <w:tab w:pos="519" w:val="left" w:leader="none"/>
        </w:tabs>
        <w:spacing w:line="228" w:lineRule="auto" w:before="87"/>
        <w:ind w:left="520" w:right="957" w:hanging="360"/>
        <w:jc w:val="left"/>
        <w:rPr>
          <w:sz w:val="22"/>
        </w:rPr>
      </w:pPr>
      <w:r>
        <w:rPr>
          <w:color w:val="231F20"/>
          <w:sz w:val="22"/>
          <w:vertAlign w:val="superscript"/>
        </w:rPr>
        <w:t>25</w:t>
      </w:r>
      <w:r>
        <w:rPr>
          <w:color w:val="231F20"/>
          <w:sz w:val="22"/>
          <w:vertAlign w:val="baseline"/>
        </w:rPr>
        <w:tab/>
      </w:r>
      <w:r>
        <w:rPr>
          <w:color w:val="231F20"/>
          <w:spacing w:val="-1"/>
          <w:sz w:val="22"/>
          <w:vertAlign w:val="baseline"/>
        </w:rPr>
        <w:t>Kinman, C. R., Gilchrist, E. C., Payne-Murphy, </w:t>
      </w:r>
      <w:r>
        <w:rPr>
          <w:color w:val="231F20"/>
          <w:sz w:val="22"/>
          <w:vertAlign w:val="baseline"/>
        </w:rPr>
        <w:t>J.</w:t>
      </w:r>
      <w:r>
        <w:rPr>
          <w:color w:val="231F20"/>
          <w:spacing w:val="1"/>
          <w:sz w:val="22"/>
          <w:vertAlign w:val="baseline"/>
        </w:rPr>
        <w:t> </w:t>
      </w:r>
      <w:r>
        <w:rPr>
          <w:color w:val="231F20"/>
          <w:spacing w:val="-1"/>
          <w:sz w:val="22"/>
          <w:vertAlign w:val="baseline"/>
        </w:rPr>
        <w:t>C., &amp; Miller, B. F. (2015). </w:t>
      </w:r>
      <w:r>
        <w:rPr>
          <w:i/>
          <w:color w:val="231F20"/>
          <w:spacing w:val="-1"/>
          <w:sz w:val="22"/>
          <w:vertAlign w:val="baseline"/>
        </w:rPr>
        <w:t>Provider- </w:t>
      </w:r>
      <w:r>
        <w:rPr>
          <w:i/>
          <w:color w:val="231F20"/>
          <w:sz w:val="22"/>
          <w:vertAlign w:val="baseline"/>
        </w:rPr>
        <w:t>and practice-</w:t>
      </w:r>
      <w:r>
        <w:rPr>
          <w:i/>
          <w:color w:val="231F20"/>
          <w:spacing w:val="-52"/>
          <w:sz w:val="22"/>
          <w:vertAlign w:val="baseline"/>
        </w:rPr>
        <w:t> </w:t>
      </w:r>
      <w:r>
        <w:rPr>
          <w:i/>
          <w:color w:val="231F20"/>
          <w:spacing w:val="-2"/>
          <w:sz w:val="22"/>
          <w:vertAlign w:val="baseline"/>
        </w:rPr>
        <w:t>level</w:t>
      </w:r>
      <w:r>
        <w:rPr>
          <w:i/>
          <w:color w:val="231F20"/>
          <w:spacing w:val="-11"/>
          <w:sz w:val="22"/>
          <w:vertAlign w:val="baseline"/>
        </w:rPr>
        <w:t> </w:t>
      </w:r>
      <w:r>
        <w:rPr>
          <w:i/>
          <w:color w:val="231F20"/>
          <w:spacing w:val="-2"/>
          <w:sz w:val="22"/>
          <w:vertAlign w:val="baseline"/>
        </w:rPr>
        <w:t>competencies</w:t>
      </w:r>
      <w:r>
        <w:rPr>
          <w:i/>
          <w:color w:val="231F20"/>
          <w:spacing w:val="-10"/>
          <w:sz w:val="22"/>
          <w:vertAlign w:val="baseline"/>
        </w:rPr>
        <w:t> </w:t>
      </w:r>
      <w:r>
        <w:rPr>
          <w:i/>
          <w:color w:val="231F20"/>
          <w:spacing w:val="-1"/>
          <w:sz w:val="22"/>
          <w:vertAlign w:val="baseline"/>
        </w:rPr>
        <w:t>for</w:t>
      </w:r>
      <w:r>
        <w:rPr>
          <w:i/>
          <w:color w:val="231F20"/>
          <w:spacing w:val="-10"/>
          <w:sz w:val="22"/>
          <w:vertAlign w:val="baseline"/>
        </w:rPr>
        <w:t> </w:t>
      </w:r>
      <w:r>
        <w:rPr>
          <w:i/>
          <w:color w:val="231F20"/>
          <w:spacing w:val="-1"/>
          <w:sz w:val="22"/>
          <w:vertAlign w:val="baseline"/>
        </w:rPr>
        <w:t>integrated</w:t>
      </w:r>
      <w:r>
        <w:rPr>
          <w:i/>
          <w:color w:val="231F20"/>
          <w:spacing w:val="-10"/>
          <w:sz w:val="22"/>
          <w:vertAlign w:val="baseline"/>
        </w:rPr>
        <w:t> </w:t>
      </w:r>
      <w:r>
        <w:rPr>
          <w:i/>
          <w:color w:val="231F20"/>
          <w:spacing w:val="-1"/>
          <w:sz w:val="22"/>
          <w:vertAlign w:val="baseline"/>
        </w:rPr>
        <w:t>behavioral</w:t>
      </w:r>
      <w:r>
        <w:rPr>
          <w:i/>
          <w:color w:val="231F20"/>
          <w:spacing w:val="-10"/>
          <w:sz w:val="22"/>
          <w:vertAlign w:val="baseline"/>
        </w:rPr>
        <w:t> </w:t>
      </w:r>
      <w:r>
        <w:rPr>
          <w:i/>
          <w:color w:val="231F20"/>
          <w:spacing w:val="-1"/>
          <w:sz w:val="22"/>
          <w:vertAlign w:val="baseline"/>
        </w:rPr>
        <w:t>health</w:t>
      </w:r>
      <w:r>
        <w:rPr>
          <w:i/>
          <w:color w:val="231F20"/>
          <w:spacing w:val="-52"/>
          <w:sz w:val="22"/>
          <w:vertAlign w:val="baseline"/>
        </w:rPr>
        <w:t> </w:t>
      </w:r>
      <w:r>
        <w:rPr>
          <w:i/>
          <w:color w:val="231F20"/>
          <w:spacing w:val="-3"/>
          <w:sz w:val="22"/>
          <w:vertAlign w:val="baseline"/>
        </w:rPr>
        <w:t>in primary care: A literature </w:t>
      </w:r>
      <w:r>
        <w:rPr>
          <w:i/>
          <w:color w:val="231F20"/>
          <w:spacing w:val="-2"/>
          <w:sz w:val="22"/>
          <w:vertAlign w:val="baseline"/>
        </w:rPr>
        <w:t>review</w:t>
      </w:r>
      <w:r>
        <w:rPr>
          <w:color w:val="231F20"/>
          <w:spacing w:val="-2"/>
          <w:sz w:val="22"/>
          <w:vertAlign w:val="baseline"/>
        </w:rPr>
        <w:t>. Agency for</w:t>
      </w:r>
      <w:r>
        <w:rPr>
          <w:color w:val="231F20"/>
          <w:spacing w:val="-1"/>
          <w:sz w:val="22"/>
          <w:vertAlign w:val="baseline"/>
        </w:rPr>
        <w:t> Healthcare Research and Quality (AHRQ). </w:t>
      </w:r>
      <w:hyperlink r:id="rId287">
        <w:r>
          <w:rPr>
            <w:color w:val="3953A4"/>
            <w:sz w:val="22"/>
            <w:u w:val="single" w:color="3953A4"/>
            <w:vertAlign w:val="baseline"/>
          </w:rPr>
          <w:t>https://</w:t>
        </w:r>
      </w:hyperlink>
      <w:r>
        <w:rPr>
          <w:color w:val="3953A4"/>
          <w:spacing w:val="-52"/>
          <w:sz w:val="22"/>
          <w:vertAlign w:val="baseline"/>
        </w:rPr>
        <w:t> </w:t>
      </w:r>
      <w:hyperlink r:id="rId287">
        <w:r>
          <w:rPr>
            <w:color w:val="3953A4"/>
            <w:sz w:val="22"/>
            <w:u w:val="single" w:color="3953A4"/>
            <w:vertAlign w:val="baseline"/>
          </w:rPr>
          <w:t>integrationacademy.ahrq.gov/sites/default/files/</w:t>
        </w:r>
      </w:hyperlink>
      <w:r>
        <w:rPr>
          <w:color w:val="3953A4"/>
          <w:spacing w:val="1"/>
          <w:sz w:val="22"/>
          <w:vertAlign w:val="baseline"/>
        </w:rPr>
        <w:t> </w:t>
      </w:r>
      <w:hyperlink r:id="rId287">
        <w:r>
          <w:rPr>
            <w:color w:val="3953A4"/>
            <w:sz w:val="22"/>
            <w:u w:val="single" w:color="3953A4"/>
            <w:vertAlign w:val="baseline"/>
          </w:rPr>
          <w:t>AHRQ_AcadLitReview.pdf</w:t>
        </w:r>
      </w:hyperlink>
    </w:p>
    <w:p>
      <w:pPr>
        <w:pStyle w:val="BodyText"/>
        <w:tabs>
          <w:tab w:pos="519" w:val="left" w:leader="none"/>
        </w:tabs>
        <w:spacing w:line="228" w:lineRule="auto" w:before="88"/>
        <w:ind w:left="519" w:right="945" w:hanging="360"/>
      </w:pPr>
      <w:r>
        <w:rPr>
          <w:color w:val="231F20"/>
          <w:vertAlign w:val="superscript"/>
        </w:rPr>
        <w:t>26</w:t>
      </w:r>
      <w:r>
        <w:rPr>
          <w:color w:val="231F20"/>
          <w:vertAlign w:val="baseline"/>
        </w:rPr>
        <w:tab/>
        <w:t>Hoge</w:t>
      </w:r>
      <w:r>
        <w:rPr>
          <w:color w:val="231F20"/>
          <w:spacing w:val="7"/>
          <w:vertAlign w:val="baseline"/>
        </w:rPr>
        <w:t> </w:t>
      </w:r>
      <w:r>
        <w:rPr>
          <w:color w:val="231F20"/>
          <w:vertAlign w:val="baseline"/>
        </w:rPr>
        <w:t>M.A.,</w:t>
      </w:r>
      <w:r>
        <w:rPr>
          <w:color w:val="231F20"/>
          <w:spacing w:val="7"/>
          <w:vertAlign w:val="baseline"/>
        </w:rPr>
        <w:t> </w:t>
      </w:r>
      <w:r>
        <w:rPr>
          <w:color w:val="231F20"/>
          <w:vertAlign w:val="baseline"/>
        </w:rPr>
        <w:t>Morris</w:t>
      </w:r>
      <w:r>
        <w:rPr>
          <w:color w:val="231F20"/>
          <w:spacing w:val="7"/>
          <w:vertAlign w:val="baseline"/>
        </w:rPr>
        <w:t> </w:t>
      </w:r>
      <w:r>
        <w:rPr>
          <w:color w:val="231F20"/>
          <w:vertAlign w:val="baseline"/>
        </w:rPr>
        <w:t>J.A.,</w:t>
      </w:r>
      <w:r>
        <w:rPr>
          <w:color w:val="231F20"/>
          <w:spacing w:val="8"/>
          <w:vertAlign w:val="baseline"/>
        </w:rPr>
        <w:t> </w:t>
      </w:r>
      <w:r>
        <w:rPr>
          <w:color w:val="231F20"/>
          <w:vertAlign w:val="baseline"/>
        </w:rPr>
        <w:t>Laraia</w:t>
      </w:r>
      <w:r>
        <w:rPr>
          <w:color w:val="231F20"/>
          <w:spacing w:val="8"/>
          <w:vertAlign w:val="baseline"/>
        </w:rPr>
        <w:t> </w:t>
      </w:r>
      <w:r>
        <w:rPr>
          <w:color w:val="231F20"/>
          <w:vertAlign w:val="baseline"/>
        </w:rPr>
        <w:t>M.,</w:t>
      </w:r>
      <w:r>
        <w:rPr>
          <w:color w:val="231F20"/>
          <w:spacing w:val="7"/>
          <w:vertAlign w:val="baseline"/>
        </w:rPr>
        <w:t> </w:t>
      </w:r>
      <w:r>
        <w:rPr>
          <w:color w:val="231F20"/>
          <w:vertAlign w:val="baseline"/>
        </w:rPr>
        <w:t>Pomerantz</w:t>
      </w:r>
      <w:r>
        <w:rPr>
          <w:color w:val="231F20"/>
          <w:spacing w:val="1"/>
          <w:vertAlign w:val="baseline"/>
        </w:rPr>
        <w:t> </w:t>
      </w:r>
      <w:r>
        <w:rPr>
          <w:color w:val="231F20"/>
          <w:vertAlign w:val="baseline"/>
        </w:rPr>
        <w:t>A., &amp; Farley, T. (2014). </w:t>
      </w:r>
      <w:r>
        <w:rPr>
          <w:i/>
          <w:color w:val="231F20"/>
          <w:vertAlign w:val="baseline"/>
        </w:rPr>
        <w:t>Core competencies for</w:t>
      </w:r>
      <w:r>
        <w:rPr>
          <w:i/>
          <w:color w:val="231F20"/>
          <w:spacing w:val="1"/>
          <w:vertAlign w:val="baseline"/>
        </w:rPr>
        <w:t> </w:t>
      </w:r>
      <w:r>
        <w:rPr>
          <w:i/>
          <w:color w:val="231F20"/>
          <w:vertAlign w:val="baseline"/>
        </w:rPr>
        <w:t>integrated behavioral health and primary care.</w:t>
      </w:r>
      <w:r>
        <w:rPr>
          <w:i/>
          <w:color w:val="231F20"/>
          <w:spacing w:val="1"/>
          <w:vertAlign w:val="baseline"/>
        </w:rPr>
        <w:t> </w:t>
      </w:r>
      <w:r>
        <w:rPr>
          <w:color w:val="231F20"/>
          <w:spacing w:val="-1"/>
          <w:vertAlign w:val="baseline"/>
        </w:rPr>
        <w:t>Substance Abuse and Mental Health Services</w:t>
      </w:r>
      <w:r>
        <w:rPr>
          <w:color w:val="231F20"/>
          <w:vertAlign w:val="baseline"/>
        </w:rPr>
        <w:t> Administration – Health Services and Resources</w:t>
      </w:r>
      <w:r>
        <w:rPr>
          <w:color w:val="231F20"/>
          <w:spacing w:val="1"/>
          <w:vertAlign w:val="baseline"/>
        </w:rPr>
        <w:t> </w:t>
      </w:r>
      <w:r>
        <w:rPr>
          <w:color w:val="231F20"/>
          <w:vertAlign w:val="baseline"/>
        </w:rPr>
        <w:t>Administration Center for Integrated Health</w:t>
      </w:r>
      <w:r>
        <w:rPr>
          <w:color w:val="231F20"/>
          <w:spacing w:val="1"/>
          <w:vertAlign w:val="baseline"/>
        </w:rPr>
        <w:t> </w:t>
      </w:r>
      <w:r>
        <w:rPr>
          <w:color w:val="231F20"/>
          <w:vertAlign w:val="baseline"/>
        </w:rPr>
        <w:t>Solutions </w:t>
      </w:r>
      <w:hyperlink r:id="rId288">
        <w:r>
          <w:rPr>
            <w:color w:val="3953A4"/>
            <w:u w:val="single" w:color="3953A4"/>
            <w:vertAlign w:val="baseline"/>
          </w:rPr>
          <w:t>http://womenshealthcouncil.org/wp-</w:t>
        </w:r>
      </w:hyperlink>
      <w:r>
        <w:rPr>
          <w:color w:val="3953A4"/>
          <w:spacing w:val="1"/>
          <w:vertAlign w:val="baseline"/>
        </w:rPr>
        <w:t> </w:t>
      </w:r>
      <w:hyperlink r:id="rId288">
        <w:r>
          <w:rPr>
            <w:color w:val="3953A4"/>
            <w:spacing w:val="-1"/>
            <w:u w:val="single" w:color="3953A4"/>
            <w:vertAlign w:val="baseline"/>
          </w:rPr>
          <w:t>content/uploads/2016/11/WF-Core-Competencies-</w:t>
        </w:r>
      </w:hyperlink>
    </w:p>
    <w:p>
      <w:pPr>
        <w:pStyle w:val="BodyText"/>
        <w:spacing w:line="228" w:lineRule="auto"/>
        <w:ind w:left="519" w:right="762"/>
      </w:pPr>
      <w:hyperlink r:id="rId288">
        <w:r>
          <w:rPr>
            <w:color w:val="3953A4"/>
            <w:spacing w:val="-1"/>
            <w:u w:val="single" w:color="3953A4"/>
          </w:rPr>
          <w:t>for-Integrated-Behavioral-Health-and-Primary-Care.</w:t>
        </w:r>
      </w:hyperlink>
      <w:r>
        <w:rPr>
          <w:color w:val="3953A4"/>
          <w:spacing w:val="-52"/>
        </w:rPr>
        <w:t> </w:t>
      </w:r>
      <w:hyperlink r:id="rId288">
        <w:r>
          <w:rPr>
            <w:color w:val="3953A4"/>
            <w:u w:val="single" w:color="3953A4"/>
          </w:rPr>
          <w:t>pd</w:t>
        </w:r>
      </w:hyperlink>
      <w:r>
        <w:rPr>
          <w:color w:val="3953A4"/>
          <w:u w:val="single" w:color="3953A4"/>
        </w:rPr>
        <w:t>f </w:t>
      </w:r>
    </w:p>
    <w:p>
      <w:pPr>
        <w:pStyle w:val="BodyText"/>
        <w:tabs>
          <w:tab w:pos="519" w:val="left" w:leader="none"/>
        </w:tabs>
        <w:spacing w:line="228" w:lineRule="auto" w:before="86"/>
        <w:ind w:left="519" w:right="872" w:hanging="360"/>
      </w:pPr>
      <w:r>
        <w:rPr>
          <w:color w:val="231F20"/>
          <w:vertAlign w:val="superscript"/>
        </w:rPr>
        <w:t>27</w:t>
      </w:r>
      <w:r>
        <w:rPr>
          <w:color w:val="231F20"/>
          <w:vertAlign w:val="baseline"/>
        </w:rPr>
        <w:tab/>
      </w:r>
      <w:r>
        <w:rPr>
          <w:color w:val="231F20"/>
          <w:spacing w:val="-1"/>
          <w:vertAlign w:val="baseline"/>
        </w:rPr>
        <w:t>Substance Abuse and Mental Health Services</w:t>
      </w:r>
      <w:r>
        <w:rPr>
          <w:color w:val="231F20"/>
          <w:vertAlign w:val="baseline"/>
        </w:rPr>
        <w:t> Administration – Health Services and Resources</w:t>
      </w:r>
      <w:r>
        <w:rPr>
          <w:color w:val="231F20"/>
          <w:spacing w:val="1"/>
          <w:vertAlign w:val="baseline"/>
        </w:rPr>
        <w:t> </w:t>
      </w:r>
      <w:r>
        <w:rPr>
          <w:color w:val="231F20"/>
          <w:vertAlign w:val="baseline"/>
        </w:rPr>
        <w:t>Administration Center for Integrated Health</w:t>
      </w:r>
      <w:r>
        <w:rPr>
          <w:color w:val="231F20"/>
          <w:spacing w:val="1"/>
          <w:vertAlign w:val="baseline"/>
        </w:rPr>
        <w:t> </w:t>
      </w:r>
      <w:r>
        <w:rPr>
          <w:color w:val="231F20"/>
          <w:vertAlign w:val="baseline"/>
        </w:rPr>
        <w:t>Solutions.</w:t>
      </w:r>
      <w:r>
        <w:rPr>
          <w:color w:val="231F20"/>
          <w:spacing w:val="5"/>
          <w:vertAlign w:val="baseline"/>
        </w:rPr>
        <w:t> </w:t>
      </w:r>
      <w:r>
        <w:rPr>
          <w:color w:val="231F20"/>
          <w:vertAlign w:val="baseline"/>
        </w:rPr>
        <w:t>(2020,</w:t>
      </w:r>
      <w:r>
        <w:rPr>
          <w:color w:val="231F20"/>
          <w:spacing w:val="7"/>
          <w:vertAlign w:val="baseline"/>
        </w:rPr>
        <w:t> </w:t>
      </w:r>
      <w:r>
        <w:rPr>
          <w:color w:val="231F20"/>
          <w:vertAlign w:val="baseline"/>
        </w:rPr>
        <w:t>January).</w:t>
      </w:r>
      <w:r>
        <w:rPr>
          <w:color w:val="231F20"/>
          <w:spacing w:val="6"/>
          <w:vertAlign w:val="baseline"/>
        </w:rPr>
        <w:t> </w:t>
      </w:r>
      <w:r>
        <w:rPr>
          <w:i/>
          <w:color w:val="231F20"/>
          <w:vertAlign w:val="baseline"/>
        </w:rPr>
        <w:t>Standard</w:t>
      </w:r>
      <w:r>
        <w:rPr>
          <w:i/>
          <w:color w:val="231F20"/>
          <w:spacing w:val="7"/>
          <w:vertAlign w:val="baseline"/>
        </w:rPr>
        <w:t> </w:t>
      </w:r>
      <w:r>
        <w:rPr>
          <w:i/>
          <w:color w:val="231F20"/>
          <w:vertAlign w:val="baseline"/>
        </w:rPr>
        <w:t>framework</w:t>
      </w:r>
      <w:r>
        <w:rPr>
          <w:i/>
          <w:color w:val="231F20"/>
          <w:spacing w:val="1"/>
          <w:vertAlign w:val="baseline"/>
        </w:rPr>
        <w:t> </w:t>
      </w:r>
      <w:r>
        <w:rPr>
          <w:i/>
          <w:color w:val="231F20"/>
          <w:vertAlign w:val="baseline"/>
        </w:rPr>
        <w:t>for levels of integrated care. </w:t>
      </w:r>
      <w:r>
        <w:rPr>
          <w:color w:val="231F20"/>
          <w:vertAlign w:val="baseline"/>
        </w:rPr>
        <w:t>National Council for</w:t>
      </w:r>
      <w:r>
        <w:rPr>
          <w:color w:val="231F20"/>
          <w:spacing w:val="1"/>
          <w:vertAlign w:val="baseline"/>
        </w:rPr>
        <w:t> </w:t>
      </w:r>
      <w:r>
        <w:rPr>
          <w:color w:val="231F20"/>
          <w:vertAlign w:val="baseline"/>
        </w:rPr>
        <w:t>Behavioral</w:t>
      </w:r>
      <w:r>
        <w:rPr>
          <w:color w:val="231F20"/>
          <w:spacing w:val="-10"/>
          <w:vertAlign w:val="baseline"/>
        </w:rPr>
        <w:t> </w:t>
      </w:r>
      <w:r>
        <w:rPr>
          <w:color w:val="231F20"/>
          <w:vertAlign w:val="baseline"/>
        </w:rPr>
        <w:t>Health.</w:t>
      </w:r>
      <w:r>
        <w:rPr>
          <w:color w:val="231F20"/>
          <w:spacing w:val="-10"/>
          <w:vertAlign w:val="baseline"/>
        </w:rPr>
        <w:t> </w:t>
      </w:r>
      <w:hyperlink r:id="rId289">
        <w:r>
          <w:rPr>
            <w:color w:val="3953A4"/>
            <w:u w:val="single" w:color="3953A4"/>
            <w:vertAlign w:val="baseline"/>
          </w:rPr>
          <w:t>https://www.thenationalcouncil.</w:t>
        </w:r>
      </w:hyperlink>
    </w:p>
    <w:p>
      <w:pPr>
        <w:pStyle w:val="BodyText"/>
        <w:spacing w:line="228" w:lineRule="auto"/>
        <w:ind w:left="519"/>
      </w:pPr>
      <w:hyperlink r:id="rId289">
        <w:r>
          <w:rPr>
            <w:color w:val="3953A4"/>
            <w:spacing w:val="-1"/>
            <w:u w:val="single" w:color="3953A4"/>
          </w:rPr>
          <w:t>org/wp-content/uploads/2020/01/CIHS_Framework_</w:t>
        </w:r>
      </w:hyperlink>
      <w:r>
        <w:rPr>
          <w:color w:val="3953A4"/>
          <w:spacing w:val="-52"/>
        </w:rPr>
        <w:t> </w:t>
      </w:r>
      <w:hyperlink r:id="rId289">
        <w:r>
          <w:rPr>
            <w:color w:val="3953A4"/>
            <w:u w:val="single" w:color="3953A4"/>
          </w:rPr>
          <w:t>Final_charts.pdf?daf=375ateTbd56</w:t>
        </w:r>
      </w:hyperlink>
    </w:p>
    <w:p>
      <w:pPr>
        <w:tabs>
          <w:tab w:pos="519" w:val="left" w:leader="none"/>
        </w:tabs>
        <w:spacing w:line="228" w:lineRule="auto" w:before="88"/>
        <w:ind w:left="519" w:right="900" w:hanging="360"/>
        <w:jc w:val="left"/>
        <w:rPr>
          <w:sz w:val="22"/>
        </w:rPr>
      </w:pPr>
      <w:r>
        <w:rPr>
          <w:color w:val="231F20"/>
          <w:sz w:val="22"/>
          <w:vertAlign w:val="superscript"/>
        </w:rPr>
        <w:t>28</w:t>
      </w:r>
      <w:r>
        <w:rPr>
          <w:color w:val="231F20"/>
          <w:sz w:val="22"/>
          <w:vertAlign w:val="baseline"/>
        </w:rPr>
        <w:tab/>
        <w:t>Keuroghlian, A. (2017). </w:t>
      </w:r>
      <w:r>
        <w:rPr>
          <w:i/>
          <w:color w:val="231F20"/>
          <w:sz w:val="22"/>
          <w:vertAlign w:val="baseline"/>
        </w:rPr>
        <w:t>Expanding access to</w:t>
      </w:r>
      <w:r>
        <w:rPr>
          <w:i/>
          <w:color w:val="231F20"/>
          <w:spacing w:val="1"/>
          <w:sz w:val="22"/>
          <w:vertAlign w:val="baseline"/>
        </w:rPr>
        <w:t> </w:t>
      </w:r>
      <w:r>
        <w:rPr>
          <w:i/>
          <w:color w:val="231F20"/>
          <w:sz w:val="22"/>
          <w:vertAlign w:val="baseline"/>
        </w:rPr>
        <w:t>behavioral health care for people living with HIV/</w:t>
      </w:r>
      <w:r>
        <w:rPr>
          <w:i/>
          <w:color w:val="231F20"/>
          <w:spacing w:val="1"/>
          <w:sz w:val="22"/>
          <w:vertAlign w:val="baseline"/>
        </w:rPr>
        <w:t> </w:t>
      </w:r>
      <w:r>
        <w:rPr>
          <w:i/>
          <w:color w:val="231F20"/>
          <w:sz w:val="22"/>
          <w:vertAlign w:val="baseline"/>
        </w:rPr>
        <w:t>AIDS</w:t>
      </w:r>
      <w:r>
        <w:rPr>
          <w:color w:val="231F20"/>
          <w:sz w:val="22"/>
          <w:vertAlign w:val="baseline"/>
        </w:rPr>
        <w:t>.</w:t>
      </w:r>
      <w:r>
        <w:rPr>
          <w:color w:val="231F20"/>
          <w:spacing w:val="-2"/>
          <w:sz w:val="22"/>
          <w:vertAlign w:val="baseline"/>
        </w:rPr>
        <w:t> </w:t>
      </w:r>
      <w:r>
        <w:rPr>
          <w:color w:val="231F20"/>
          <w:sz w:val="22"/>
          <w:vertAlign w:val="baseline"/>
        </w:rPr>
        <w:t>National</w:t>
      </w:r>
      <w:r>
        <w:rPr>
          <w:color w:val="231F20"/>
          <w:spacing w:val="-2"/>
          <w:sz w:val="22"/>
          <w:vertAlign w:val="baseline"/>
        </w:rPr>
        <w:t> </w:t>
      </w:r>
      <w:r>
        <w:rPr>
          <w:color w:val="231F20"/>
          <w:sz w:val="22"/>
          <w:vertAlign w:val="baseline"/>
        </w:rPr>
        <w:t>Center</w:t>
      </w:r>
      <w:r>
        <w:rPr>
          <w:color w:val="231F20"/>
          <w:spacing w:val="-1"/>
          <w:sz w:val="22"/>
          <w:vertAlign w:val="baseline"/>
        </w:rPr>
        <w:t> </w:t>
      </w:r>
      <w:r>
        <w:rPr>
          <w:color w:val="231F20"/>
          <w:sz w:val="22"/>
          <w:vertAlign w:val="baseline"/>
        </w:rPr>
        <w:t>for</w:t>
      </w:r>
      <w:r>
        <w:rPr>
          <w:color w:val="231F20"/>
          <w:spacing w:val="-2"/>
          <w:sz w:val="22"/>
          <w:vertAlign w:val="baseline"/>
        </w:rPr>
        <w:t> </w:t>
      </w:r>
      <w:r>
        <w:rPr>
          <w:color w:val="231F20"/>
          <w:sz w:val="22"/>
          <w:vertAlign w:val="baseline"/>
        </w:rPr>
        <w:t>Innovation</w:t>
      </w:r>
      <w:r>
        <w:rPr>
          <w:color w:val="231F20"/>
          <w:spacing w:val="-1"/>
          <w:sz w:val="22"/>
          <w:vertAlign w:val="baseline"/>
        </w:rPr>
        <w:t> </w:t>
      </w:r>
      <w:r>
        <w:rPr>
          <w:color w:val="231F20"/>
          <w:sz w:val="22"/>
          <w:vertAlign w:val="baseline"/>
        </w:rPr>
        <w:t>in</w:t>
      </w:r>
      <w:r>
        <w:rPr>
          <w:color w:val="231F20"/>
          <w:spacing w:val="-1"/>
          <w:sz w:val="22"/>
          <w:vertAlign w:val="baseline"/>
        </w:rPr>
        <w:t> </w:t>
      </w:r>
      <w:r>
        <w:rPr>
          <w:color w:val="231F20"/>
          <w:sz w:val="22"/>
          <w:vertAlign w:val="baseline"/>
        </w:rPr>
        <w:t>HIV</w:t>
      </w:r>
      <w:r>
        <w:rPr>
          <w:color w:val="231F20"/>
          <w:spacing w:val="-6"/>
          <w:sz w:val="22"/>
          <w:vertAlign w:val="baseline"/>
        </w:rPr>
        <w:t> </w:t>
      </w:r>
      <w:r>
        <w:rPr>
          <w:color w:val="231F20"/>
          <w:sz w:val="22"/>
          <w:vertAlign w:val="baseline"/>
        </w:rPr>
        <w:t>Care.</w:t>
      </w:r>
      <w:r>
        <w:rPr>
          <w:color w:val="231F20"/>
          <w:spacing w:val="-52"/>
          <w:sz w:val="22"/>
          <w:vertAlign w:val="baseline"/>
        </w:rPr>
        <w:t> </w:t>
      </w:r>
      <w:hyperlink r:id="rId290">
        <w:r>
          <w:rPr>
            <w:color w:val="3953A4"/>
            <w:sz w:val="22"/>
            <w:u w:val="single" w:color="3953A4"/>
            <w:vertAlign w:val="baseline"/>
          </w:rPr>
          <w:t>https://targethiv.org/library/expanding-access-</w:t>
        </w:r>
      </w:hyperlink>
      <w:r>
        <w:rPr>
          <w:color w:val="3953A4"/>
          <w:spacing w:val="1"/>
          <w:sz w:val="22"/>
          <w:vertAlign w:val="baseline"/>
        </w:rPr>
        <w:t> </w:t>
      </w:r>
      <w:hyperlink r:id="rId290">
        <w:r>
          <w:rPr>
            <w:color w:val="3953A4"/>
            <w:sz w:val="22"/>
            <w:u w:val="single" w:color="3953A4"/>
            <w:vertAlign w:val="baseline"/>
          </w:rPr>
          <w:t>behavioral-health-care-people-living-hivaids</w:t>
        </w:r>
      </w:hyperlink>
    </w:p>
    <w:p>
      <w:pPr>
        <w:tabs>
          <w:tab w:pos="519" w:val="left" w:leader="none"/>
        </w:tabs>
        <w:spacing w:line="228" w:lineRule="auto" w:before="88"/>
        <w:ind w:left="519" w:right="740" w:hanging="360"/>
        <w:jc w:val="left"/>
        <w:rPr>
          <w:sz w:val="22"/>
        </w:rPr>
      </w:pPr>
      <w:r>
        <w:rPr>
          <w:color w:val="231F20"/>
          <w:sz w:val="22"/>
          <w:vertAlign w:val="superscript"/>
        </w:rPr>
        <w:t>29</w:t>
      </w:r>
      <w:r>
        <w:rPr>
          <w:color w:val="231F20"/>
          <w:sz w:val="22"/>
          <w:vertAlign w:val="baseline"/>
        </w:rPr>
        <w:tab/>
        <w:t>Shah, V. (2018). </w:t>
      </w:r>
      <w:r>
        <w:rPr>
          <w:i/>
          <w:color w:val="231F20"/>
          <w:sz w:val="22"/>
          <w:vertAlign w:val="baseline"/>
        </w:rPr>
        <w:t>Behavioral health integration</w:t>
      </w:r>
      <w:r>
        <w:rPr>
          <w:i/>
          <w:color w:val="231F20"/>
          <w:spacing w:val="1"/>
          <w:sz w:val="22"/>
          <w:vertAlign w:val="baseline"/>
        </w:rPr>
        <w:t> </w:t>
      </w:r>
      <w:r>
        <w:rPr>
          <w:i/>
          <w:color w:val="231F20"/>
          <w:spacing w:val="-1"/>
          <w:sz w:val="22"/>
          <w:vertAlign w:val="baseline"/>
        </w:rPr>
        <w:t>within the HIV continuum </w:t>
      </w:r>
      <w:r>
        <w:rPr>
          <w:i/>
          <w:color w:val="231F20"/>
          <w:sz w:val="22"/>
          <w:vertAlign w:val="baseline"/>
        </w:rPr>
        <w:t>of care</w:t>
      </w:r>
      <w:r>
        <w:rPr>
          <w:color w:val="231F20"/>
          <w:sz w:val="22"/>
          <w:vertAlign w:val="baseline"/>
        </w:rPr>
        <w:t>. National Alliance</w:t>
      </w:r>
      <w:r>
        <w:rPr>
          <w:color w:val="231F20"/>
          <w:spacing w:val="1"/>
          <w:sz w:val="22"/>
          <w:vertAlign w:val="baseline"/>
        </w:rPr>
        <w:t> </w:t>
      </w:r>
      <w:r>
        <w:rPr>
          <w:color w:val="231F20"/>
          <w:spacing w:val="-1"/>
          <w:sz w:val="22"/>
          <w:vertAlign w:val="baseline"/>
        </w:rPr>
        <w:t>of State and Territorial AIDS Directors. </w:t>
      </w:r>
      <w:hyperlink r:id="rId291">
        <w:r>
          <w:rPr>
            <w:color w:val="3953A4"/>
            <w:spacing w:val="-1"/>
            <w:sz w:val="22"/>
            <w:u w:val="single" w:color="3953A4"/>
            <w:vertAlign w:val="baseline"/>
          </w:rPr>
          <w:t>https://www.</w:t>
        </w:r>
      </w:hyperlink>
      <w:r>
        <w:rPr>
          <w:color w:val="3953A4"/>
          <w:spacing w:val="-52"/>
          <w:sz w:val="22"/>
          <w:vertAlign w:val="baseline"/>
        </w:rPr>
        <w:t> </w:t>
      </w:r>
      <w:hyperlink r:id="rId291">
        <w:r>
          <w:rPr>
            <w:color w:val="3953A4"/>
            <w:sz w:val="22"/>
            <w:u w:val="single" w:color="3953A4"/>
            <w:vertAlign w:val="baseline"/>
          </w:rPr>
          <w:t>nastad.org/sites/default/files/resources/docs/issue_</w:t>
        </w:r>
      </w:hyperlink>
      <w:r>
        <w:rPr>
          <w:color w:val="3953A4"/>
          <w:spacing w:val="1"/>
          <w:sz w:val="22"/>
          <w:vertAlign w:val="baseline"/>
        </w:rPr>
        <w:t> </w:t>
      </w:r>
      <w:hyperlink r:id="rId291">
        <w:r>
          <w:rPr>
            <w:color w:val="3953A4"/>
            <w:sz w:val="22"/>
            <w:u w:val="single" w:color="3953A4"/>
            <w:vertAlign w:val="baseline"/>
          </w:rPr>
          <w:t>brief_final.pdf</w:t>
        </w:r>
      </w:hyperlink>
    </w:p>
    <w:p>
      <w:pPr>
        <w:pStyle w:val="BodyText"/>
        <w:tabs>
          <w:tab w:pos="519" w:val="left" w:leader="none"/>
        </w:tabs>
        <w:spacing w:line="228" w:lineRule="auto" w:before="89"/>
        <w:ind w:left="519" w:right="1208" w:hanging="360"/>
      </w:pPr>
      <w:r>
        <w:rPr>
          <w:color w:val="231F20"/>
          <w:vertAlign w:val="superscript"/>
        </w:rPr>
        <w:t>30</w:t>
      </w:r>
      <w:r>
        <w:rPr>
          <w:color w:val="231F20"/>
          <w:vertAlign w:val="baseline"/>
        </w:rPr>
        <w:tab/>
        <w:t>Scharf, D. M., Eberhart, N. K., Hackbarth, N.</w:t>
      </w:r>
      <w:r>
        <w:rPr>
          <w:color w:val="231F20"/>
          <w:spacing w:val="1"/>
          <w:vertAlign w:val="baseline"/>
        </w:rPr>
        <w:t> </w:t>
      </w:r>
      <w:r>
        <w:rPr>
          <w:color w:val="231F20"/>
          <w:vertAlign w:val="baseline"/>
        </w:rPr>
        <w:t>S., Horvitz-Lennon, M., Beckman, R., Han, B.,</w:t>
      </w:r>
      <w:r>
        <w:rPr>
          <w:color w:val="231F20"/>
          <w:spacing w:val="-52"/>
          <w:vertAlign w:val="baseline"/>
        </w:rPr>
        <w:t> </w:t>
      </w:r>
      <w:r>
        <w:rPr>
          <w:color w:val="231F20"/>
          <w:spacing w:val="-1"/>
          <w:vertAlign w:val="baseline"/>
        </w:rPr>
        <w:t>Lovejoy, S.</w:t>
      </w:r>
      <w:r>
        <w:rPr>
          <w:color w:val="231F20"/>
          <w:spacing w:val="-2"/>
          <w:vertAlign w:val="baseline"/>
        </w:rPr>
        <w:t> </w:t>
      </w:r>
      <w:r>
        <w:rPr>
          <w:color w:val="231F20"/>
          <w:spacing w:val="-1"/>
          <w:vertAlign w:val="baseline"/>
        </w:rPr>
        <w:t>L., Pincus,</w:t>
      </w:r>
      <w:r>
        <w:rPr>
          <w:color w:val="231F20"/>
          <w:spacing w:val="-2"/>
          <w:vertAlign w:val="baseline"/>
        </w:rPr>
        <w:t> </w:t>
      </w:r>
      <w:r>
        <w:rPr>
          <w:color w:val="231F20"/>
          <w:vertAlign w:val="baseline"/>
        </w:rPr>
        <w:t>H.</w:t>
      </w:r>
      <w:r>
        <w:rPr>
          <w:color w:val="231F20"/>
          <w:spacing w:val="-14"/>
          <w:vertAlign w:val="baseline"/>
        </w:rPr>
        <w:t> </w:t>
      </w:r>
      <w:r>
        <w:rPr>
          <w:color w:val="231F20"/>
          <w:vertAlign w:val="baseline"/>
        </w:rPr>
        <w:t>A.,</w:t>
      </w:r>
      <w:r>
        <w:rPr>
          <w:color w:val="231F20"/>
          <w:spacing w:val="-2"/>
          <w:vertAlign w:val="baseline"/>
        </w:rPr>
        <w:t> </w:t>
      </w:r>
      <w:r>
        <w:rPr>
          <w:color w:val="231F20"/>
          <w:vertAlign w:val="baseline"/>
        </w:rPr>
        <w:t>&amp;</w:t>
      </w:r>
      <w:r>
        <w:rPr>
          <w:color w:val="231F20"/>
          <w:spacing w:val="-1"/>
          <w:vertAlign w:val="baseline"/>
        </w:rPr>
        <w:t> </w:t>
      </w:r>
      <w:r>
        <w:rPr>
          <w:color w:val="231F20"/>
          <w:vertAlign w:val="baseline"/>
        </w:rPr>
        <w:t>Burnam, M.</w:t>
      </w:r>
      <w:r>
        <w:rPr>
          <w:color w:val="231F20"/>
          <w:spacing w:val="-14"/>
          <w:vertAlign w:val="baseline"/>
        </w:rPr>
        <w:t> </w:t>
      </w:r>
      <w:r>
        <w:rPr>
          <w:color w:val="231F20"/>
          <w:vertAlign w:val="baseline"/>
        </w:rPr>
        <w:t>A.</w:t>
      </w:r>
    </w:p>
    <w:p>
      <w:pPr>
        <w:pStyle w:val="BodyText"/>
        <w:spacing w:line="228" w:lineRule="auto"/>
        <w:ind w:left="519" w:right="762"/>
      </w:pPr>
      <w:r>
        <w:rPr>
          <w:color w:val="231F20"/>
          <w:spacing w:val="-1"/>
        </w:rPr>
        <w:t>(2014). </w:t>
      </w:r>
      <w:r>
        <w:rPr>
          <w:color w:val="231F20"/>
        </w:rPr>
        <w:t>Evaluation of the SAMHSA Primary and</w:t>
      </w:r>
      <w:r>
        <w:rPr>
          <w:color w:val="231F20"/>
          <w:spacing w:val="1"/>
        </w:rPr>
        <w:t> </w:t>
      </w:r>
      <w:r>
        <w:rPr>
          <w:color w:val="231F20"/>
        </w:rPr>
        <w:t>Behavioral Health Care Integration (PBHCI) grant</w:t>
      </w:r>
      <w:r>
        <w:rPr>
          <w:color w:val="231F20"/>
          <w:spacing w:val="1"/>
        </w:rPr>
        <w:t> </w:t>
      </w:r>
      <w:r>
        <w:rPr>
          <w:color w:val="231F20"/>
        </w:rPr>
        <w:t>program:</w:t>
      </w:r>
      <w:r>
        <w:rPr>
          <w:color w:val="231F20"/>
          <w:spacing w:val="-3"/>
        </w:rPr>
        <w:t> </w:t>
      </w:r>
      <w:r>
        <w:rPr>
          <w:color w:val="231F20"/>
        </w:rPr>
        <w:t>Final</w:t>
      </w:r>
      <w:r>
        <w:rPr>
          <w:color w:val="231F20"/>
          <w:spacing w:val="-4"/>
        </w:rPr>
        <w:t> </w:t>
      </w:r>
      <w:r>
        <w:rPr>
          <w:color w:val="231F20"/>
        </w:rPr>
        <w:t>report.</w:t>
      </w:r>
      <w:r>
        <w:rPr>
          <w:color w:val="231F20"/>
          <w:spacing w:val="-2"/>
        </w:rPr>
        <w:t> </w:t>
      </w:r>
      <w:r>
        <w:rPr>
          <w:i/>
          <w:color w:val="231F20"/>
        </w:rPr>
        <w:t>Rand</w:t>
      </w:r>
      <w:r>
        <w:rPr>
          <w:i/>
          <w:color w:val="231F20"/>
          <w:spacing w:val="-3"/>
        </w:rPr>
        <w:t> </w:t>
      </w:r>
      <w:r>
        <w:rPr>
          <w:i/>
          <w:color w:val="231F20"/>
        </w:rPr>
        <w:t>Health</w:t>
      </w:r>
      <w:r>
        <w:rPr>
          <w:i/>
          <w:color w:val="231F20"/>
          <w:spacing w:val="-4"/>
        </w:rPr>
        <w:t> </w:t>
      </w:r>
      <w:r>
        <w:rPr>
          <w:i/>
          <w:color w:val="231F20"/>
        </w:rPr>
        <w:t>Quarterly</w:t>
      </w:r>
      <w:r>
        <w:rPr>
          <w:color w:val="231F20"/>
        </w:rPr>
        <w:t>,</w:t>
      </w:r>
      <w:r>
        <w:rPr>
          <w:color w:val="231F20"/>
          <w:spacing w:val="-2"/>
        </w:rPr>
        <w:t> </w:t>
      </w:r>
      <w:r>
        <w:rPr>
          <w:i/>
          <w:color w:val="231F20"/>
        </w:rPr>
        <w:t>4</w:t>
      </w:r>
      <w:r>
        <w:rPr>
          <w:color w:val="231F20"/>
        </w:rPr>
        <w:t>(3),</w:t>
      </w:r>
    </w:p>
    <w:p>
      <w:pPr>
        <w:pStyle w:val="BodyText"/>
        <w:spacing w:line="228" w:lineRule="auto"/>
        <w:ind w:left="519" w:right="910"/>
      </w:pPr>
      <w:r>
        <w:rPr>
          <w:color w:val="231F20"/>
        </w:rPr>
        <w:t>6.</w:t>
      </w:r>
      <w:r>
        <w:rPr>
          <w:color w:val="231F20"/>
          <w:spacing w:val="-5"/>
        </w:rPr>
        <w:t> </w:t>
      </w:r>
      <w:r>
        <w:rPr>
          <w:color w:val="231F20"/>
        </w:rPr>
        <w:t>Retrieved</w:t>
      </w:r>
      <w:r>
        <w:rPr>
          <w:color w:val="231F20"/>
          <w:spacing w:val="-5"/>
        </w:rPr>
        <w:t> </w:t>
      </w:r>
      <w:r>
        <w:rPr>
          <w:color w:val="231F20"/>
        </w:rPr>
        <w:t>July</w:t>
      </w:r>
      <w:r>
        <w:rPr>
          <w:color w:val="231F20"/>
          <w:spacing w:val="-6"/>
        </w:rPr>
        <w:t> </w:t>
      </w:r>
      <w:r>
        <w:rPr>
          <w:color w:val="231F20"/>
        </w:rPr>
        <w:t>17,</w:t>
      </w:r>
      <w:r>
        <w:rPr>
          <w:color w:val="231F20"/>
          <w:spacing w:val="-5"/>
        </w:rPr>
        <w:t> </w:t>
      </w:r>
      <w:r>
        <w:rPr>
          <w:color w:val="231F20"/>
        </w:rPr>
        <w:t>2020,</w:t>
      </w:r>
      <w:r>
        <w:rPr>
          <w:color w:val="231F20"/>
          <w:spacing w:val="-5"/>
        </w:rPr>
        <w:t> </w:t>
      </w:r>
      <w:r>
        <w:rPr>
          <w:color w:val="231F20"/>
        </w:rPr>
        <w:t>from</w:t>
      </w:r>
      <w:r>
        <w:rPr>
          <w:color w:val="3953A4"/>
          <w:spacing w:val="-5"/>
        </w:rPr>
        <w:t> </w:t>
      </w:r>
      <w:hyperlink r:id="rId292">
        <w:r>
          <w:rPr>
            <w:color w:val="3953A4"/>
            <w:u w:val="single" w:color="3953A4"/>
          </w:rPr>
          <w:t>https://www.rand.</w:t>
        </w:r>
      </w:hyperlink>
      <w:r>
        <w:rPr>
          <w:color w:val="3953A4"/>
          <w:spacing w:val="-52"/>
        </w:rPr>
        <w:t> </w:t>
      </w:r>
      <w:hyperlink r:id="rId292">
        <w:r>
          <w:rPr>
            <w:color w:val="3953A4"/>
            <w:u w:val="single" w:color="3953A4"/>
          </w:rPr>
          <w:t>org/pubs/periodicals/health-quarterly/issues/v4/</w:t>
        </w:r>
      </w:hyperlink>
      <w:r>
        <w:rPr>
          <w:color w:val="3953A4"/>
          <w:spacing w:val="1"/>
        </w:rPr>
        <w:t> </w:t>
      </w:r>
      <w:hyperlink r:id="rId292">
        <w:r>
          <w:rPr>
            <w:color w:val="3953A4"/>
            <w:u w:val="single" w:color="3953A4"/>
          </w:rPr>
          <w:t>n3/06.html</w:t>
        </w:r>
      </w:hyperlink>
    </w:p>
    <w:p>
      <w:pPr>
        <w:spacing w:after="0" w:line="228" w:lineRule="auto"/>
        <w:sectPr>
          <w:type w:val="continuous"/>
          <w:pgSz w:w="12240" w:h="15840"/>
          <w:pgMar w:header="0" w:footer="666" w:top="1500" w:bottom="0" w:left="560" w:right="0"/>
          <w:cols w:num="2" w:equalWidth="0">
            <w:col w:w="5216" w:space="544"/>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tabs>
          <w:tab w:pos="519" w:val="left" w:leader="none"/>
        </w:tabs>
        <w:spacing w:line="228" w:lineRule="auto" w:before="101"/>
        <w:ind w:left="520" w:right="163" w:hanging="360"/>
        <w:jc w:val="left"/>
        <w:rPr>
          <w:sz w:val="22"/>
        </w:rPr>
      </w:pPr>
      <w:r>
        <w:rPr>
          <w:color w:val="231F20"/>
          <w:sz w:val="22"/>
          <w:vertAlign w:val="superscript"/>
        </w:rPr>
        <w:t>31</w:t>
      </w:r>
      <w:r>
        <w:rPr>
          <w:color w:val="231F20"/>
          <w:sz w:val="22"/>
          <w:vertAlign w:val="baseline"/>
        </w:rPr>
        <w:tab/>
      </w:r>
      <w:r>
        <w:rPr>
          <w:color w:val="231F20"/>
          <w:spacing w:val="-1"/>
          <w:sz w:val="22"/>
          <w:vertAlign w:val="baseline"/>
        </w:rPr>
        <w:t>Substance Abuse and Mental Health Services</w:t>
      </w:r>
      <w:r>
        <w:rPr>
          <w:color w:val="231F20"/>
          <w:sz w:val="22"/>
          <w:vertAlign w:val="baseline"/>
        </w:rPr>
        <w:t> Administration. (2018, October 11). </w:t>
      </w:r>
      <w:r>
        <w:rPr>
          <w:i/>
          <w:color w:val="231F20"/>
          <w:sz w:val="22"/>
          <w:vertAlign w:val="baseline"/>
        </w:rPr>
        <w:t>Section 223</w:t>
      </w:r>
      <w:r>
        <w:rPr>
          <w:i/>
          <w:color w:val="231F20"/>
          <w:spacing w:val="1"/>
          <w:sz w:val="22"/>
          <w:vertAlign w:val="baseline"/>
        </w:rPr>
        <w:t> </w:t>
      </w:r>
      <w:r>
        <w:rPr>
          <w:i/>
          <w:color w:val="231F20"/>
          <w:sz w:val="22"/>
          <w:vertAlign w:val="baseline"/>
        </w:rPr>
        <w:t>demonstration program for certified community</w:t>
      </w:r>
      <w:r>
        <w:rPr>
          <w:i/>
          <w:color w:val="231F20"/>
          <w:spacing w:val="1"/>
          <w:sz w:val="22"/>
          <w:vertAlign w:val="baseline"/>
        </w:rPr>
        <w:t> </w:t>
      </w:r>
      <w:r>
        <w:rPr>
          <w:i/>
          <w:color w:val="231F20"/>
          <w:sz w:val="22"/>
          <w:vertAlign w:val="baseline"/>
        </w:rPr>
        <w:t>behavioral</w:t>
      </w:r>
      <w:r>
        <w:rPr>
          <w:i/>
          <w:color w:val="231F20"/>
          <w:spacing w:val="-10"/>
          <w:sz w:val="22"/>
          <w:vertAlign w:val="baseline"/>
        </w:rPr>
        <w:t> </w:t>
      </w:r>
      <w:r>
        <w:rPr>
          <w:i/>
          <w:color w:val="231F20"/>
          <w:sz w:val="22"/>
          <w:vertAlign w:val="baseline"/>
        </w:rPr>
        <w:t>health</w:t>
      </w:r>
      <w:r>
        <w:rPr>
          <w:i/>
          <w:color w:val="231F20"/>
          <w:spacing w:val="-9"/>
          <w:sz w:val="22"/>
          <w:vertAlign w:val="baseline"/>
        </w:rPr>
        <w:t> </w:t>
      </w:r>
      <w:r>
        <w:rPr>
          <w:i/>
          <w:color w:val="231F20"/>
          <w:sz w:val="22"/>
          <w:vertAlign w:val="baseline"/>
        </w:rPr>
        <w:t>clinics.</w:t>
      </w:r>
      <w:r>
        <w:rPr>
          <w:i/>
          <w:color w:val="231F20"/>
          <w:spacing w:val="-10"/>
          <w:sz w:val="22"/>
          <w:vertAlign w:val="baseline"/>
        </w:rPr>
        <w:t> </w:t>
      </w:r>
      <w:hyperlink r:id="rId293">
        <w:r>
          <w:rPr>
            <w:color w:val="3953A4"/>
            <w:sz w:val="22"/>
            <w:u w:val="single" w:color="3953A4"/>
            <w:vertAlign w:val="baseline"/>
          </w:rPr>
          <w:t>https://www.samhsa.gov/</w:t>
        </w:r>
      </w:hyperlink>
      <w:r>
        <w:rPr>
          <w:color w:val="3953A4"/>
          <w:spacing w:val="-52"/>
          <w:sz w:val="22"/>
          <w:vertAlign w:val="baseline"/>
        </w:rPr>
        <w:t> </w:t>
      </w:r>
      <w:hyperlink r:id="rId293">
        <w:r>
          <w:rPr>
            <w:color w:val="3953A4"/>
            <w:sz w:val="22"/>
            <w:u w:val="single" w:color="3953A4"/>
            <w:vertAlign w:val="baseline"/>
          </w:rPr>
          <w:t>section-223</w:t>
        </w:r>
      </w:hyperlink>
    </w:p>
    <w:p>
      <w:pPr>
        <w:pStyle w:val="BodyText"/>
        <w:tabs>
          <w:tab w:pos="519" w:val="left" w:leader="none"/>
        </w:tabs>
        <w:spacing w:line="228" w:lineRule="auto" w:before="88"/>
        <w:ind w:left="520" w:right="226" w:hanging="360"/>
      </w:pPr>
      <w:r>
        <w:rPr>
          <w:color w:val="231F20"/>
          <w:vertAlign w:val="superscript"/>
        </w:rPr>
        <w:t>32</w:t>
      </w:r>
      <w:r>
        <w:rPr>
          <w:color w:val="231F20"/>
          <w:vertAlign w:val="baseline"/>
        </w:rPr>
        <w:tab/>
        <w:t>Hoang, T., Goetz, M. B., Yano, E. M., Rossman,</w:t>
      </w:r>
      <w:r>
        <w:rPr>
          <w:color w:val="231F20"/>
          <w:spacing w:val="1"/>
          <w:vertAlign w:val="baseline"/>
        </w:rPr>
        <w:t> </w:t>
      </w:r>
      <w:r>
        <w:rPr>
          <w:color w:val="231F20"/>
          <w:spacing w:val="-2"/>
          <w:vertAlign w:val="baseline"/>
        </w:rPr>
        <w:t>B., Anaya, H. D., Knapp, H., Korthuis, </w:t>
      </w:r>
      <w:r>
        <w:rPr>
          <w:color w:val="231F20"/>
          <w:spacing w:val="-1"/>
          <w:vertAlign w:val="baseline"/>
        </w:rPr>
        <w:t>P. T.,</w:t>
      </w:r>
      <w:r>
        <w:rPr>
          <w:color w:val="231F20"/>
          <w:vertAlign w:val="baseline"/>
        </w:rPr>
        <w:t> </w:t>
      </w:r>
      <w:r>
        <w:rPr>
          <w:color w:val="231F20"/>
          <w:spacing w:val="-1"/>
          <w:vertAlign w:val="baseline"/>
        </w:rPr>
        <w:t>Henry, R., Bowman, C., &amp; </w:t>
      </w:r>
      <w:r>
        <w:rPr>
          <w:color w:val="231F20"/>
          <w:vertAlign w:val="baseline"/>
        </w:rPr>
        <w:t>Gifford,</w:t>
      </w:r>
      <w:r>
        <w:rPr>
          <w:color w:val="231F20"/>
          <w:spacing w:val="-14"/>
          <w:vertAlign w:val="baseline"/>
        </w:rPr>
        <w:t> </w:t>
      </w:r>
      <w:r>
        <w:rPr>
          <w:color w:val="231F20"/>
          <w:vertAlign w:val="baseline"/>
        </w:rPr>
        <w:t>A.</w:t>
      </w:r>
      <w:r>
        <w:rPr>
          <w:color w:val="231F20"/>
          <w:spacing w:val="-1"/>
          <w:vertAlign w:val="baseline"/>
        </w:rPr>
        <w:t> </w:t>
      </w:r>
      <w:r>
        <w:rPr>
          <w:color w:val="231F20"/>
          <w:vertAlign w:val="baseline"/>
        </w:rPr>
        <w:t>(2009).</w:t>
      </w:r>
      <w:r>
        <w:rPr>
          <w:color w:val="231F20"/>
          <w:spacing w:val="-5"/>
          <w:vertAlign w:val="baseline"/>
        </w:rPr>
        <w:t> </w:t>
      </w:r>
      <w:r>
        <w:rPr>
          <w:color w:val="231F20"/>
          <w:vertAlign w:val="baseline"/>
        </w:rPr>
        <w:t>The</w:t>
      </w:r>
      <w:r>
        <w:rPr>
          <w:color w:val="231F20"/>
          <w:spacing w:val="-52"/>
          <w:vertAlign w:val="baseline"/>
        </w:rPr>
        <w:t> </w:t>
      </w:r>
      <w:r>
        <w:rPr>
          <w:color w:val="231F20"/>
          <w:vertAlign w:val="baseline"/>
        </w:rPr>
        <w:t>impact</w:t>
      </w:r>
      <w:r>
        <w:rPr>
          <w:color w:val="231F20"/>
          <w:spacing w:val="-1"/>
          <w:vertAlign w:val="baseline"/>
        </w:rPr>
        <w:t> </w:t>
      </w:r>
      <w:r>
        <w:rPr>
          <w:color w:val="231F20"/>
          <w:vertAlign w:val="baseline"/>
        </w:rPr>
        <w:t>of integrated HIV</w:t>
      </w:r>
      <w:r>
        <w:rPr>
          <w:color w:val="231F20"/>
          <w:spacing w:val="-5"/>
          <w:vertAlign w:val="baseline"/>
        </w:rPr>
        <w:t> </w:t>
      </w:r>
      <w:r>
        <w:rPr>
          <w:color w:val="231F20"/>
          <w:vertAlign w:val="baseline"/>
        </w:rPr>
        <w:t>care on patient</w:t>
      </w:r>
      <w:r>
        <w:rPr>
          <w:color w:val="231F20"/>
          <w:spacing w:val="-1"/>
          <w:vertAlign w:val="baseline"/>
        </w:rPr>
        <w:t> </w:t>
      </w:r>
      <w:r>
        <w:rPr>
          <w:color w:val="231F20"/>
          <w:vertAlign w:val="baseline"/>
        </w:rPr>
        <w:t>health</w:t>
      </w:r>
    </w:p>
    <w:p>
      <w:pPr>
        <w:spacing w:line="235" w:lineRule="exact" w:before="0"/>
        <w:ind w:left="520" w:right="0" w:firstLine="0"/>
        <w:jc w:val="left"/>
        <w:rPr>
          <w:sz w:val="22"/>
        </w:rPr>
      </w:pPr>
      <w:r>
        <w:rPr>
          <w:color w:val="231F20"/>
          <w:sz w:val="22"/>
        </w:rPr>
        <w:t>outcomes.</w:t>
      </w:r>
      <w:r>
        <w:rPr>
          <w:color w:val="231F20"/>
          <w:spacing w:val="-2"/>
          <w:sz w:val="22"/>
        </w:rPr>
        <w:t> </w:t>
      </w:r>
      <w:r>
        <w:rPr>
          <w:i/>
          <w:color w:val="231F20"/>
          <w:sz w:val="22"/>
        </w:rPr>
        <w:t>Medical</w:t>
      </w:r>
      <w:r>
        <w:rPr>
          <w:i/>
          <w:color w:val="231F20"/>
          <w:spacing w:val="-1"/>
          <w:sz w:val="22"/>
        </w:rPr>
        <w:t> </w:t>
      </w:r>
      <w:r>
        <w:rPr>
          <w:i/>
          <w:color w:val="231F20"/>
          <w:sz w:val="22"/>
        </w:rPr>
        <w:t>care,</w:t>
      </w:r>
      <w:r>
        <w:rPr>
          <w:i/>
          <w:color w:val="231F20"/>
          <w:spacing w:val="-2"/>
          <w:sz w:val="22"/>
        </w:rPr>
        <w:t> </w:t>
      </w:r>
      <w:r>
        <w:rPr>
          <w:i/>
          <w:color w:val="231F20"/>
          <w:sz w:val="22"/>
        </w:rPr>
        <w:t>47</w:t>
      </w:r>
      <w:r>
        <w:rPr>
          <w:color w:val="231F20"/>
          <w:sz w:val="22"/>
        </w:rPr>
        <w:t>(5),</w:t>
      </w:r>
      <w:r>
        <w:rPr>
          <w:color w:val="231F20"/>
          <w:spacing w:val="-1"/>
          <w:sz w:val="22"/>
        </w:rPr>
        <w:t> </w:t>
      </w:r>
      <w:r>
        <w:rPr>
          <w:color w:val="231F20"/>
          <w:sz w:val="22"/>
        </w:rPr>
        <w:t>560-567.</w:t>
      </w:r>
      <w:r>
        <w:rPr>
          <w:color w:val="231F20"/>
          <w:spacing w:val="-2"/>
          <w:sz w:val="22"/>
        </w:rPr>
        <w:t> </w:t>
      </w:r>
      <w:hyperlink r:id="rId294">
        <w:r>
          <w:rPr>
            <w:color w:val="3953A4"/>
            <w:sz w:val="22"/>
            <w:u w:val="single" w:color="3953A4"/>
          </w:rPr>
          <w:t>https://doi.</w:t>
        </w:r>
      </w:hyperlink>
    </w:p>
    <w:p>
      <w:pPr>
        <w:pStyle w:val="BodyText"/>
        <w:spacing w:line="246" w:lineRule="exact"/>
        <w:ind w:left="520"/>
      </w:pPr>
      <w:hyperlink r:id="rId294">
        <w:r>
          <w:rPr>
            <w:color w:val="3953A4"/>
            <w:u w:val="single" w:color="3953A4"/>
          </w:rPr>
          <w:t>org/10.1097/MLR.0b013e31819432a0 </w:t>
        </w:r>
      </w:hyperlink>
    </w:p>
    <w:p>
      <w:pPr>
        <w:pStyle w:val="BodyText"/>
        <w:tabs>
          <w:tab w:pos="359" w:val="left" w:leader="none"/>
        </w:tabs>
        <w:spacing w:line="246" w:lineRule="exact" w:before="77"/>
        <w:ind w:right="414"/>
        <w:jc w:val="right"/>
      </w:pPr>
      <w:r>
        <w:rPr>
          <w:color w:val="231F20"/>
          <w:vertAlign w:val="superscript"/>
        </w:rPr>
        <w:t>33</w:t>
      </w:r>
      <w:r>
        <w:rPr>
          <w:color w:val="231F20"/>
          <w:vertAlign w:val="baseline"/>
        </w:rPr>
        <w:tab/>
      </w:r>
      <w:r>
        <w:rPr>
          <w:color w:val="231F20"/>
          <w:w w:val="95"/>
          <w:vertAlign w:val="baseline"/>
        </w:rPr>
        <w:t>Grau,</w:t>
      </w:r>
      <w:r>
        <w:rPr>
          <w:color w:val="231F20"/>
          <w:spacing w:val="7"/>
          <w:w w:val="95"/>
          <w:vertAlign w:val="baseline"/>
        </w:rPr>
        <w:t> </w:t>
      </w:r>
      <w:r>
        <w:rPr>
          <w:color w:val="231F20"/>
          <w:w w:val="95"/>
          <w:vertAlign w:val="baseline"/>
        </w:rPr>
        <w:t>L.</w:t>
      </w:r>
      <w:r>
        <w:rPr>
          <w:color w:val="231F20"/>
          <w:spacing w:val="8"/>
          <w:w w:val="95"/>
          <w:vertAlign w:val="baseline"/>
        </w:rPr>
        <w:t> </w:t>
      </w:r>
      <w:r>
        <w:rPr>
          <w:color w:val="231F20"/>
          <w:w w:val="95"/>
          <w:vertAlign w:val="baseline"/>
        </w:rPr>
        <w:t>E.,</w:t>
      </w:r>
      <w:r>
        <w:rPr>
          <w:color w:val="231F20"/>
          <w:spacing w:val="7"/>
          <w:w w:val="95"/>
          <w:vertAlign w:val="baseline"/>
        </w:rPr>
        <w:t> </w:t>
      </w:r>
      <w:r>
        <w:rPr>
          <w:color w:val="231F20"/>
          <w:w w:val="95"/>
          <w:vertAlign w:val="baseline"/>
        </w:rPr>
        <w:t>Griffiths-Kundishora,</w:t>
      </w:r>
      <w:r>
        <w:rPr>
          <w:color w:val="231F20"/>
          <w:spacing w:val="-7"/>
          <w:w w:val="95"/>
          <w:vertAlign w:val="baseline"/>
        </w:rPr>
        <w:t> </w:t>
      </w:r>
      <w:r>
        <w:rPr>
          <w:color w:val="231F20"/>
          <w:w w:val="95"/>
          <w:vertAlign w:val="baseline"/>
        </w:rPr>
        <w:t>A.,</w:t>
      </w:r>
      <w:r>
        <w:rPr>
          <w:color w:val="231F20"/>
          <w:spacing w:val="8"/>
          <w:w w:val="95"/>
          <w:vertAlign w:val="baseline"/>
        </w:rPr>
        <w:t> </w:t>
      </w:r>
      <w:r>
        <w:rPr>
          <w:color w:val="231F20"/>
          <w:w w:val="95"/>
          <w:vertAlign w:val="baseline"/>
        </w:rPr>
        <w:t>Heimer,</w:t>
      </w:r>
      <w:r>
        <w:rPr>
          <w:color w:val="231F20"/>
          <w:spacing w:val="8"/>
          <w:w w:val="95"/>
          <w:vertAlign w:val="baseline"/>
        </w:rPr>
        <w:t> </w:t>
      </w:r>
      <w:r>
        <w:rPr>
          <w:color w:val="231F20"/>
          <w:w w:val="95"/>
          <w:vertAlign w:val="baseline"/>
        </w:rPr>
        <w:t>R.,</w:t>
      </w:r>
    </w:p>
    <w:p>
      <w:pPr>
        <w:pStyle w:val="BodyText"/>
        <w:spacing w:line="240" w:lineRule="exact"/>
        <w:ind w:right="350"/>
        <w:jc w:val="right"/>
      </w:pPr>
      <w:r>
        <w:rPr>
          <w:color w:val="231F20"/>
          <w:spacing w:val="-4"/>
        </w:rPr>
        <w:t>Hutcheson,</w:t>
      </w:r>
      <w:r>
        <w:rPr>
          <w:color w:val="231F20"/>
          <w:spacing w:val="-5"/>
        </w:rPr>
        <w:t> </w:t>
      </w:r>
      <w:r>
        <w:rPr>
          <w:color w:val="231F20"/>
          <w:spacing w:val="-4"/>
        </w:rPr>
        <w:t>M.,</w:t>
      </w:r>
      <w:r>
        <w:rPr>
          <w:color w:val="231F20"/>
          <w:spacing w:val="-5"/>
        </w:rPr>
        <w:t> </w:t>
      </w:r>
      <w:r>
        <w:rPr>
          <w:color w:val="231F20"/>
          <w:spacing w:val="-4"/>
        </w:rPr>
        <w:t>Nunn,</w:t>
      </w:r>
      <w:r>
        <w:rPr>
          <w:color w:val="231F20"/>
          <w:spacing w:val="-17"/>
        </w:rPr>
        <w:t> </w:t>
      </w:r>
      <w:r>
        <w:rPr>
          <w:color w:val="231F20"/>
          <w:spacing w:val="-4"/>
        </w:rPr>
        <w:t>A.,</w:t>
      </w:r>
      <w:r>
        <w:rPr>
          <w:color w:val="231F20"/>
          <w:spacing w:val="-8"/>
        </w:rPr>
        <w:t> </w:t>
      </w:r>
      <w:r>
        <w:rPr>
          <w:color w:val="231F20"/>
          <w:spacing w:val="-3"/>
        </w:rPr>
        <w:t>Towey,</w:t>
      </w:r>
      <w:r>
        <w:rPr>
          <w:color w:val="231F20"/>
          <w:spacing w:val="-5"/>
        </w:rPr>
        <w:t> </w:t>
      </w:r>
      <w:r>
        <w:rPr>
          <w:color w:val="231F20"/>
          <w:spacing w:val="-3"/>
        </w:rPr>
        <w:t>C.,</w:t>
      </w:r>
      <w:r>
        <w:rPr>
          <w:color w:val="231F20"/>
          <w:spacing w:val="-5"/>
        </w:rPr>
        <w:t> </w:t>
      </w:r>
      <w:r>
        <w:rPr>
          <w:color w:val="231F20"/>
          <w:spacing w:val="-3"/>
        </w:rPr>
        <w:t>&amp;</w:t>
      </w:r>
      <w:r>
        <w:rPr>
          <w:color w:val="231F20"/>
          <w:spacing w:val="-4"/>
        </w:rPr>
        <w:t> </w:t>
      </w:r>
      <w:r>
        <w:rPr>
          <w:color w:val="231F20"/>
          <w:spacing w:val="-3"/>
        </w:rPr>
        <w:t>Stopka,</w:t>
      </w:r>
      <w:r>
        <w:rPr>
          <w:color w:val="231F20"/>
          <w:spacing w:val="-9"/>
        </w:rPr>
        <w:t> </w:t>
      </w:r>
      <w:r>
        <w:rPr>
          <w:color w:val="231F20"/>
          <w:spacing w:val="-3"/>
        </w:rPr>
        <w:t>T.</w:t>
      </w:r>
    </w:p>
    <w:p>
      <w:pPr>
        <w:pStyle w:val="BodyText"/>
        <w:spacing w:line="228" w:lineRule="auto" w:before="4"/>
        <w:ind w:left="519"/>
      </w:pPr>
      <w:r>
        <w:rPr>
          <w:color w:val="231F20"/>
          <w:spacing w:val="-1"/>
        </w:rPr>
        <w:t>J. (2017). Barriers and facilitators </w:t>
      </w:r>
      <w:r>
        <w:rPr>
          <w:color w:val="231F20"/>
        </w:rPr>
        <w:t>of the HIV care</w:t>
      </w:r>
      <w:r>
        <w:rPr>
          <w:color w:val="231F20"/>
          <w:spacing w:val="1"/>
        </w:rPr>
        <w:t> </w:t>
      </w:r>
      <w:r>
        <w:rPr>
          <w:color w:val="231F20"/>
          <w:spacing w:val="-1"/>
        </w:rPr>
        <w:t>continuum in southern new </w:t>
      </w:r>
      <w:r>
        <w:rPr>
          <w:color w:val="231F20"/>
        </w:rPr>
        <w:t>england for people with</w:t>
      </w:r>
      <w:r>
        <w:rPr>
          <w:color w:val="231F20"/>
          <w:spacing w:val="1"/>
        </w:rPr>
        <w:t> </w:t>
      </w:r>
      <w:r>
        <w:rPr>
          <w:color w:val="231F20"/>
        </w:rPr>
        <w:t>drug or alcohol use and living with HIV/AIDS:</w:t>
      </w:r>
      <w:r>
        <w:rPr>
          <w:color w:val="231F20"/>
          <w:spacing w:val="1"/>
        </w:rPr>
        <w:t> </w:t>
      </w:r>
      <w:r>
        <w:rPr>
          <w:color w:val="231F20"/>
          <w:spacing w:val="-3"/>
        </w:rPr>
        <w:t>Perspectives </w:t>
      </w:r>
      <w:r>
        <w:rPr>
          <w:color w:val="231F20"/>
          <w:spacing w:val="-2"/>
        </w:rPr>
        <w:t>of HIV surveillance experts and service</w:t>
      </w:r>
      <w:r>
        <w:rPr>
          <w:color w:val="231F20"/>
          <w:spacing w:val="-1"/>
        </w:rPr>
        <w:t> providers. </w:t>
      </w:r>
      <w:r>
        <w:rPr>
          <w:i/>
          <w:color w:val="231F20"/>
          <w:spacing w:val="-1"/>
        </w:rPr>
        <w:t>Addiction Science </w:t>
      </w:r>
      <w:r>
        <w:rPr>
          <w:i/>
          <w:color w:val="231F20"/>
        </w:rPr>
        <w:t>&amp; Clinical Practice,</w:t>
      </w:r>
      <w:r>
        <w:rPr>
          <w:i/>
          <w:color w:val="231F20"/>
          <w:spacing w:val="1"/>
        </w:rPr>
        <w:t> </w:t>
      </w:r>
      <w:r>
        <w:rPr>
          <w:i/>
          <w:color w:val="231F20"/>
          <w:spacing w:val="-3"/>
        </w:rPr>
        <w:t>12</w:t>
      </w:r>
      <w:r>
        <w:rPr>
          <w:color w:val="231F20"/>
          <w:spacing w:val="-3"/>
        </w:rPr>
        <w:t>(1),</w:t>
      </w:r>
      <w:r>
        <w:rPr>
          <w:color w:val="231F20"/>
          <w:spacing w:val="-8"/>
        </w:rPr>
        <w:t> </w:t>
      </w:r>
      <w:r>
        <w:rPr>
          <w:color w:val="231F20"/>
          <w:spacing w:val="-3"/>
        </w:rPr>
        <w:t>24.</w:t>
      </w:r>
      <w:r>
        <w:rPr>
          <w:color w:val="3953A4"/>
          <w:spacing w:val="-7"/>
        </w:rPr>
        <w:t> </w:t>
      </w:r>
      <w:hyperlink r:id="rId295">
        <w:r>
          <w:rPr>
            <w:color w:val="3953A4"/>
            <w:spacing w:val="-3"/>
            <w:u w:val="single" w:color="3953A4"/>
          </w:rPr>
          <w:t>https://doi.org/10.1186/s13722-017-0088-7</w:t>
        </w:r>
      </w:hyperlink>
    </w:p>
    <w:p>
      <w:pPr>
        <w:pStyle w:val="BodyText"/>
        <w:tabs>
          <w:tab w:pos="519" w:val="left" w:leader="none"/>
        </w:tabs>
        <w:spacing w:line="228" w:lineRule="auto" w:before="88"/>
        <w:ind w:left="520" w:right="425" w:hanging="360"/>
      </w:pPr>
      <w:r>
        <w:rPr>
          <w:color w:val="231F20"/>
          <w:vertAlign w:val="superscript"/>
        </w:rPr>
        <w:t>34</w:t>
      </w:r>
      <w:r>
        <w:rPr>
          <w:color w:val="231F20"/>
          <w:vertAlign w:val="baseline"/>
        </w:rPr>
        <w:tab/>
        <w:t>Integrated Behavioral Health Partners. (n.d.).</w:t>
      </w:r>
      <w:r>
        <w:rPr>
          <w:color w:val="231F20"/>
          <w:spacing w:val="1"/>
          <w:vertAlign w:val="baseline"/>
        </w:rPr>
        <w:t> </w:t>
      </w:r>
      <w:r>
        <w:rPr>
          <w:i/>
          <w:color w:val="231F20"/>
          <w:vertAlign w:val="baseline"/>
        </w:rPr>
        <w:t>Confidentiality. </w:t>
      </w:r>
      <w:r>
        <w:rPr>
          <w:color w:val="231F20"/>
          <w:vertAlign w:val="baseline"/>
        </w:rPr>
        <w:t>Integrated Behavioral Health</w:t>
      </w:r>
      <w:r>
        <w:rPr>
          <w:color w:val="231F20"/>
          <w:spacing w:val="1"/>
          <w:vertAlign w:val="baseline"/>
        </w:rPr>
        <w:t> </w:t>
      </w:r>
      <w:r>
        <w:rPr>
          <w:color w:val="231F20"/>
          <w:spacing w:val="-1"/>
          <w:vertAlign w:val="baseline"/>
        </w:rPr>
        <w:t>Partners.</w:t>
      </w:r>
      <w:r>
        <w:rPr>
          <w:color w:val="231F20"/>
          <w:spacing w:val="15"/>
          <w:vertAlign w:val="baseline"/>
        </w:rPr>
        <w:t> </w:t>
      </w:r>
      <w:hyperlink r:id="rId296">
        <w:r>
          <w:rPr>
            <w:color w:val="3953A4"/>
            <w:spacing w:val="-1"/>
            <w:u w:val="single" w:color="3953A4"/>
            <w:vertAlign w:val="baseline"/>
          </w:rPr>
          <w:t>http://www.ibhpartners.org/get-started/</w:t>
        </w:r>
      </w:hyperlink>
      <w:r>
        <w:rPr>
          <w:color w:val="3953A4"/>
          <w:spacing w:val="-52"/>
          <w:vertAlign w:val="baseline"/>
        </w:rPr>
        <w:t> </w:t>
      </w:r>
      <w:hyperlink r:id="rId296">
        <w:r>
          <w:rPr>
            <w:color w:val="3953A4"/>
            <w:u w:val="single" w:color="3953A4"/>
            <w:vertAlign w:val="baseline"/>
          </w:rPr>
          <w:t>procedures/confidentiality/</w:t>
        </w:r>
      </w:hyperlink>
    </w:p>
    <w:p>
      <w:pPr>
        <w:pStyle w:val="BodyText"/>
        <w:tabs>
          <w:tab w:pos="519" w:val="left" w:leader="none"/>
        </w:tabs>
        <w:spacing w:line="228" w:lineRule="auto" w:before="89"/>
        <w:ind w:left="520" w:right="116" w:hanging="360"/>
      </w:pPr>
      <w:r>
        <w:rPr>
          <w:color w:val="231F20"/>
          <w:vertAlign w:val="superscript"/>
        </w:rPr>
        <w:t>35</w:t>
      </w:r>
      <w:r>
        <w:rPr>
          <w:color w:val="231F20"/>
          <w:vertAlign w:val="baseline"/>
        </w:rPr>
        <w:tab/>
        <w:t>Seeman, M. V. (2015). The role of mental health</w:t>
      </w:r>
      <w:r>
        <w:rPr>
          <w:color w:val="231F20"/>
          <w:spacing w:val="1"/>
          <w:vertAlign w:val="baseline"/>
        </w:rPr>
        <w:t> </w:t>
      </w:r>
      <w:r>
        <w:rPr>
          <w:color w:val="231F20"/>
          <w:vertAlign w:val="baseline"/>
        </w:rPr>
        <w:t>services</w:t>
      </w:r>
      <w:r>
        <w:rPr>
          <w:color w:val="231F20"/>
          <w:spacing w:val="-4"/>
          <w:vertAlign w:val="baseline"/>
        </w:rPr>
        <w:t> </w:t>
      </w:r>
      <w:r>
        <w:rPr>
          <w:color w:val="231F20"/>
          <w:vertAlign w:val="baseline"/>
        </w:rPr>
        <w:t>in</w:t>
      </w:r>
      <w:r>
        <w:rPr>
          <w:color w:val="231F20"/>
          <w:spacing w:val="-2"/>
          <w:vertAlign w:val="baseline"/>
        </w:rPr>
        <w:t> </w:t>
      </w:r>
      <w:r>
        <w:rPr>
          <w:color w:val="231F20"/>
          <w:vertAlign w:val="baseline"/>
        </w:rPr>
        <w:t>addressing</w:t>
      </w:r>
      <w:r>
        <w:rPr>
          <w:color w:val="231F20"/>
          <w:spacing w:val="-2"/>
          <w:vertAlign w:val="baseline"/>
        </w:rPr>
        <w:t> </w:t>
      </w:r>
      <w:r>
        <w:rPr>
          <w:color w:val="231F20"/>
          <w:vertAlign w:val="baseline"/>
        </w:rPr>
        <w:t>HIV</w:t>
      </w:r>
      <w:r>
        <w:rPr>
          <w:color w:val="231F20"/>
          <w:spacing w:val="-6"/>
          <w:vertAlign w:val="baseline"/>
        </w:rPr>
        <w:t> </w:t>
      </w:r>
      <w:r>
        <w:rPr>
          <w:color w:val="231F20"/>
          <w:vertAlign w:val="baseline"/>
        </w:rPr>
        <w:t>infection</w:t>
      </w:r>
      <w:r>
        <w:rPr>
          <w:color w:val="231F20"/>
          <w:spacing w:val="-2"/>
          <w:vertAlign w:val="baseline"/>
        </w:rPr>
        <w:t> </w:t>
      </w:r>
      <w:r>
        <w:rPr>
          <w:color w:val="231F20"/>
          <w:vertAlign w:val="baseline"/>
        </w:rPr>
        <w:t>among</w:t>
      </w:r>
      <w:r>
        <w:rPr>
          <w:color w:val="231F20"/>
          <w:spacing w:val="-3"/>
          <w:vertAlign w:val="baseline"/>
        </w:rPr>
        <w:t> </w:t>
      </w:r>
      <w:r>
        <w:rPr>
          <w:color w:val="231F20"/>
          <w:vertAlign w:val="baseline"/>
        </w:rPr>
        <w:t>women</w:t>
      </w:r>
      <w:r>
        <w:rPr>
          <w:color w:val="231F20"/>
          <w:spacing w:val="-52"/>
          <w:vertAlign w:val="baseline"/>
        </w:rPr>
        <w:t> </w:t>
      </w:r>
      <w:r>
        <w:rPr>
          <w:color w:val="231F20"/>
          <w:vertAlign w:val="baseline"/>
        </w:rPr>
        <w:t>with serious mental illness. </w:t>
      </w:r>
      <w:r>
        <w:rPr>
          <w:i/>
          <w:color w:val="231F20"/>
          <w:vertAlign w:val="baseline"/>
        </w:rPr>
        <w:t>Psychiatric Services,</w:t>
      </w:r>
      <w:r>
        <w:rPr>
          <w:i/>
          <w:color w:val="231F20"/>
          <w:spacing w:val="1"/>
          <w:vertAlign w:val="baseline"/>
        </w:rPr>
        <w:t> </w:t>
      </w:r>
      <w:r>
        <w:rPr>
          <w:i/>
          <w:color w:val="231F20"/>
          <w:vertAlign w:val="baseline"/>
        </w:rPr>
        <w:t>66</w:t>
      </w:r>
      <w:r>
        <w:rPr>
          <w:color w:val="231F20"/>
          <w:vertAlign w:val="baseline"/>
        </w:rPr>
        <w:t>(9), 966-974. </w:t>
      </w:r>
      <w:hyperlink r:id="rId118">
        <w:r>
          <w:rPr>
            <w:color w:val="3953A4"/>
            <w:u w:val="single" w:color="3953A4"/>
            <w:vertAlign w:val="baseline"/>
          </w:rPr>
          <w:t>https://doi.org/10.1176/appi.</w:t>
        </w:r>
      </w:hyperlink>
      <w:r>
        <w:rPr>
          <w:color w:val="3953A4"/>
          <w:spacing w:val="1"/>
          <w:vertAlign w:val="baseline"/>
        </w:rPr>
        <w:t> </w:t>
      </w:r>
      <w:hyperlink r:id="rId118">
        <w:r>
          <w:rPr>
            <w:color w:val="3953A4"/>
            <w:u w:val="single" w:color="3953A4"/>
            <w:vertAlign w:val="baseline"/>
          </w:rPr>
          <w:t>ps.201400411</w:t>
        </w:r>
      </w:hyperlink>
    </w:p>
    <w:p>
      <w:pPr>
        <w:pStyle w:val="BodyText"/>
        <w:tabs>
          <w:tab w:pos="519" w:val="left" w:leader="none"/>
        </w:tabs>
        <w:spacing w:line="228" w:lineRule="auto" w:before="88"/>
        <w:ind w:left="520" w:right="329" w:hanging="360"/>
      </w:pPr>
      <w:r>
        <w:rPr>
          <w:color w:val="231F20"/>
          <w:vertAlign w:val="superscript"/>
        </w:rPr>
        <w:t>36</w:t>
      </w:r>
      <w:r>
        <w:rPr>
          <w:color w:val="231F20"/>
          <w:vertAlign w:val="baseline"/>
        </w:rPr>
        <w:tab/>
      </w:r>
      <w:r>
        <w:rPr>
          <w:color w:val="231F20"/>
          <w:spacing w:val="-2"/>
          <w:vertAlign w:val="baseline"/>
        </w:rPr>
        <w:t>Geter, A., Herron, A. R., </w:t>
      </w:r>
      <w:r>
        <w:rPr>
          <w:color w:val="231F20"/>
          <w:spacing w:val="-1"/>
          <w:vertAlign w:val="baseline"/>
        </w:rPr>
        <w:t>&amp; Sutton, M. Y. (2018).</w:t>
      </w:r>
      <w:r>
        <w:rPr>
          <w:color w:val="231F20"/>
          <w:vertAlign w:val="baseline"/>
        </w:rPr>
        <w:t> HIV-related</w:t>
      </w:r>
      <w:r>
        <w:rPr>
          <w:color w:val="231F20"/>
          <w:spacing w:val="-5"/>
          <w:vertAlign w:val="baseline"/>
        </w:rPr>
        <w:t> </w:t>
      </w:r>
      <w:r>
        <w:rPr>
          <w:color w:val="231F20"/>
          <w:vertAlign w:val="baseline"/>
        </w:rPr>
        <w:t>stigma</w:t>
      </w:r>
      <w:r>
        <w:rPr>
          <w:color w:val="231F20"/>
          <w:spacing w:val="-5"/>
          <w:vertAlign w:val="baseline"/>
        </w:rPr>
        <w:t> </w:t>
      </w:r>
      <w:r>
        <w:rPr>
          <w:color w:val="231F20"/>
          <w:vertAlign w:val="baseline"/>
        </w:rPr>
        <w:t>by</w:t>
      </w:r>
      <w:r>
        <w:rPr>
          <w:color w:val="231F20"/>
          <w:spacing w:val="-5"/>
          <w:vertAlign w:val="baseline"/>
        </w:rPr>
        <w:t> </w:t>
      </w:r>
      <w:r>
        <w:rPr>
          <w:color w:val="231F20"/>
          <w:vertAlign w:val="baseline"/>
        </w:rPr>
        <w:t>healthcare</w:t>
      </w:r>
      <w:r>
        <w:rPr>
          <w:color w:val="231F20"/>
          <w:spacing w:val="-4"/>
          <w:vertAlign w:val="baseline"/>
        </w:rPr>
        <w:t> </w:t>
      </w:r>
      <w:r>
        <w:rPr>
          <w:color w:val="231F20"/>
          <w:vertAlign w:val="baseline"/>
        </w:rPr>
        <w:t>providers</w:t>
      </w:r>
      <w:r>
        <w:rPr>
          <w:color w:val="231F20"/>
          <w:spacing w:val="-5"/>
          <w:vertAlign w:val="baseline"/>
        </w:rPr>
        <w:t> </w:t>
      </w:r>
      <w:r>
        <w:rPr>
          <w:color w:val="231F20"/>
          <w:vertAlign w:val="baseline"/>
        </w:rPr>
        <w:t>in</w:t>
      </w:r>
      <w:r>
        <w:rPr>
          <w:color w:val="231F20"/>
          <w:spacing w:val="-4"/>
          <w:vertAlign w:val="baseline"/>
        </w:rPr>
        <w:t> </w:t>
      </w:r>
      <w:r>
        <w:rPr>
          <w:color w:val="231F20"/>
          <w:vertAlign w:val="baseline"/>
        </w:rPr>
        <w:t>the</w:t>
      </w:r>
      <w:r>
        <w:rPr>
          <w:color w:val="231F20"/>
          <w:spacing w:val="-52"/>
          <w:vertAlign w:val="baseline"/>
        </w:rPr>
        <w:t> </w:t>
      </w:r>
      <w:r>
        <w:rPr>
          <w:color w:val="231F20"/>
          <w:spacing w:val="-1"/>
          <w:vertAlign w:val="baseline"/>
        </w:rPr>
        <w:t>United States: A systematic review. </w:t>
      </w:r>
      <w:r>
        <w:rPr>
          <w:i/>
          <w:color w:val="231F20"/>
          <w:spacing w:val="-1"/>
          <w:vertAlign w:val="baseline"/>
        </w:rPr>
        <w:t>AIDS </w:t>
      </w:r>
      <w:r>
        <w:rPr>
          <w:i/>
          <w:color w:val="231F20"/>
          <w:vertAlign w:val="baseline"/>
        </w:rPr>
        <w:t>Patient</w:t>
      </w:r>
      <w:r>
        <w:rPr>
          <w:i/>
          <w:color w:val="231F20"/>
          <w:spacing w:val="-52"/>
          <w:vertAlign w:val="baseline"/>
        </w:rPr>
        <w:t> </w:t>
      </w:r>
      <w:r>
        <w:rPr>
          <w:i/>
          <w:color w:val="231F20"/>
          <w:vertAlign w:val="baseline"/>
        </w:rPr>
        <w:t>Care and STDs, 32</w:t>
      </w:r>
      <w:r>
        <w:rPr>
          <w:color w:val="231F20"/>
          <w:vertAlign w:val="baseline"/>
        </w:rPr>
        <w:t>(10), 418-424. </w:t>
      </w:r>
      <w:hyperlink r:id="rId297">
        <w:r>
          <w:rPr>
            <w:color w:val="3953A4"/>
            <w:u w:val="single" w:color="3953A4"/>
            <w:vertAlign w:val="baseline"/>
          </w:rPr>
          <w:t>https://doi.</w:t>
        </w:r>
      </w:hyperlink>
      <w:r>
        <w:rPr>
          <w:color w:val="3953A4"/>
          <w:spacing w:val="1"/>
          <w:vertAlign w:val="baseline"/>
        </w:rPr>
        <w:t> </w:t>
      </w:r>
      <w:hyperlink r:id="rId297">
        <w:r>
          <w:rPr>
            <w:color w:val="3953A4"/>
            <w:u w:val="single" w:color="3953A4"/>
            <w:vertAlign w:val="baseline"/>
          </w:rPr>
          <w:t>org/10.1089/apc.2018.0114</w:t>
        </w:r>
      </w:hyperlink>
    </w:p>
    <w:p>
      <w:pPr>
        <w:pStyle w:val="BodyText"/>
        <w:tabs>
          <w:tab w:pos="519" w:val="left" w:leader="none"/>
        </w:tabs>
        <w:spacing w:line="228" w:lineRule="auto" w:before="89"/>
        <w:ind w:left="520" w:right="83" w:hanging="360"/>
      </w:pPr>
      <w:r>
        <w:rPr>
          <w:color w:val="231F20"/>
          <w:vertAlign w:val="superscript"/>
        </w:rPr>
        <w:t>37</w:t>
      </w:r>
      <w:r>
        <w:rPr>
          <w:color w:val="231F20"/>
          <w:vertAlign w:val="baseline"/>
        </w:rPr>
        <w:tab/>
        <w:t>Stringer, K. L., Turan, B., McCormick, L.,</w:t>
      </w:r>
      <w:r>
        <w:rPr>
          <w:color w:val="231F20"/>
          <w:spacing w:val="1"/>
          <w:vertAlign w:val="baseline"/>
        </w:rPr>
        <w:t> </w:t>
      </w:r>
      <w:r>
        <w:rPr>
          <w:color w:val="231F20"/>
          <w:vertAlign w:val="baseline"/>
        </w:rPr>
        <w:t>Durojaiye, M., Nyblade, L., Kempf, M.,</w:t>
      </w:r>
      <w:r>
        <w:rPr>
          <w:color w:val="231F20"/>
          <w:spacing w:val="1"/>
          <w:vertAlign w:val="baseline"/>
        </w:rPr>
        <w:t> </w:t>
      </w:r>
      <w:r>
        <w:rPr>
          <w:color w:val="231F20"/>
          <w:vertAlign w:val="baseline"/>
        </w:rPr>
        <w:t>Lichtenstein,</w:t>
      </w:r>
      <w:r>
        <w:rPr>
          <w:color w:val="231F20"/>
          <w:spacing w:val="-5"/>
          <w:vertAlign w:val="baseline"/>
        </w:rPr>
        <w:t> </w:t>
      </w:r>
      <w:r>
        <w:rPr>
          <w:color w:val="231F20"/>
          <w:vertAlign w:val="baseline"/>
        </w:rPr>
        <w:t>B.,</w:t>
      </w:r>
      <w:r>
        <w:rPr>
          <w:color w:val="231F20"/>
          <w:spacing w:val="-5"/>
          <w:vertAlign w:val="baseline"/>
        </w:rPr>
        <w:t> </w:t>
      </w:r>
      <w:r>
        <w:rPr>
          <w:color w:val="231F20"/>
          <w:vertAlign w:val="baseline"/>
        </w:rPr>
        <w:t>&amp;</w:t>
      </w:r>
      <w:r>
        <w:rPr>
          <w:color w:val="231F20"/>
          <w:spacing w:val="-9"/>
          <w:vertAlign w:val="baseline"/>
        </w:rPr>
        <w:t> </w:t>
      </w:r>
      <w:r>
        <w:rPr>
          <w:color w:val="231F20"/>
          <w:vertAlign w:val="baseline"/>
        </w:rPr>
        <w:t>Turan,</w:t>
      </w:r>
      <w:r>
        <w:rPr>
          <w:color w:val="231F20"/>
          <w:spacing w:val="-5"/>
          <w:vertAlign w:val="baseline"/>
        </w:rPr>
        <w:t> </w:t>
      </w:r>
      <w:r>
        <w:rPr>
          <w:color w:val="231F20"/>
          <w:vertAlign w:val="baseline"/>
        </w:rPr>
        <w:t>J.</w:t>
      </w:r>
      <w:r>
        <w:rPr>
          <w:color w:val="231F20"/>
          <w:spacing w:val="-5"/>
          <w:vertAlign w:val="baseline"/>
        </w:rPr>
        <w:t> </w:t>
      </w:r>
      <w:r>
        <w:rPr>
          <w:color w:val="231F20"/>
          <w:vertAlign w:val="baseline"/>
        </w:rPr>
        <w:t>M.</w:t>
      </w:r>
      <w:r>
        <w:rPr>
          <w:color w:val="231F20"/>
          <w:spacing w:val="-6"/>
          <w:vertAlign w:val="baseline"/>
        </w:rPr>
        <w:t> </w:t>
      </w:r>
      <w:r>
        <w:rPr>
          <w:color w:val="231F20"/>
          <w:vertAlign w:val="baseline"/>
        </w:rPr>
        <w:t>(2016).</w:t>
      </w:r>
      <w:r>
        <w:rPr>
          <w:color w:val="231F20"/>
          <w:spacing w:val="-4"/>
          <w:vertAlign w:val="baseline"/>
        </w:rPr>
        <w:t> </w:t>
      </w:r>
      <w:r>
        <w:rPr>
          <w:color w:val="231F20"/>
          <w:vertAlign w:val="baseline"/>
        </w:rPr>
        <w:t>HIV-related</w:t>
      </w:r>
      <w:r>
        <w:rPr>
          <w:color w:val="231F20"/>
          <w:spacing w:val="-52"/>
          <w:vertAlign w:val="baseline"/>
        </w:rPr>
        <w:t> </w:t>
      </w:r>
      <w:r>
        <w:rPr>
          <w:color w:val="231F20"/>
          <w:vertAlign w:val="baseline"/>
        </w:rPr>
        <w:t>stigma among healthcare providers in the deep</w:t>
      </w:r>
      <w:r>
        <w:rPr>
          <w:color w:val="231F20"/>
          <w:spacing w:val="1"/>
          <w:vertAlign w:val="baseline"/>
        </w:rPr>
        <w:t> </w:t>
      </w:r>
      <w:r>
        <w:rPr>
          <w:color w:val="231F20"/>
          <w:vertAlign w:val="baseline"/>
        </w:rPr>
        <w:t>south. </w:t>
      </w:r>
      <w:r>
        <w:rPr>
          <w:i/>
          <w:color w:val="231F20"/>
          <w:vertAlign w:val="baseline"/>
        </w:rPr>
        <w:t>AIDS and Behavior, 20</w:t>
      </w:r>
      <w:r>
        <w:rPr>
          <w:color w:val="231F20"/>
          <w:vertAlign w:val="baseline"/>
        </w:rPr>
        <w:t>(1), 115-125. </w:t>
      </w:r>
      <w:hyperlink r:id="rId298">
        <w:r>
          <w:rPr>
            <w:color w:val="3953A4"/>
            <w:u w:val="single" w:color="3953A4"/>
            <w:vertAlign w:val="baseline"/>
          </w:rPr>
          <w:t>https://</w:t>
        </w:r>
      </w:hyperlink>
      <w:r>
        <w:rPr>
          <w:color w:val="3953A4"/>
          <w:spacing w:val="1"/>
          <w:vertAlign w:val="baseline"/>
        </w:rPr>
        <w:t> </w:t>
      </w:r>
      <w:hyperlink r:id="rId298">
        <w:r>
          <w:rPr>
            <w:color w:val="3953A4"/>
            <w:u w:val="single" w:color="3953A4"/>
            <w:vertAlign w:val="baseline"/>
          </w:rPr>
          <w:t>doi.org/10.1007/s10461-015-1256-</w:t>
        </w:r>
      </w:hyperlink>
      <w:r>
        <w:rPr>
          <w:color w:val="3953A4"/>
          <w:u w:val="single" w:color="3953A4"/>
          <w:vertAlign w:val="baseline"/>
        </w:rPr>
        <w:t>y </w:t>
      </w:r>
    </w:p>
    <w:p>
      <w:pPr>
        <w:pStyle w:val="BodyText"/>
        <w:tabs>
          <w:tab w:pos="519" w:val="left" w:leader="none"/>
        </w:tabs>
        <w:spacing w:line="246" w:lineRule="exact" w:before="77"/>
        <w:ind w:left="160"/>
      </w:pPr>
      <w:r>
        <w:rPr>
          <w:color w:val="231F20"/>
          <w:vertAlign w:val="superscript"/>
        </w:rPr>
        <w:t>38</w:t>
      </w:r>
      <w:r>
        <w:rPr>
          <w:color w:val="231F20"/>
          <w:vertAlign w:val="baseline"/>
        </w:rPr>
        <w:tab/>
      </w:r>
      <w:r>
        <w:rPr>
          <w:color w:val="231F20"/>
          <w:spacing w:val="-3"/>
          <w:vertAlign w:val="baseline"/>
        </w:rPr>
        <w:t>Yehia,</w:t>
      </w:r>
      <w:r>
        <w:rPr>
          <w:color w:val="231F20"/>
          <w:vertAlign w:val="baseline"/>
        </w:rPr>
        <w:t> </w:t>
      </w:r>
      <w:r>
        <w:rPr>
          <w:color w:val="231F20"/>
          <w:spacing w:val="-2"/>
          <w:vertAlign w:val="baseline"/>
        </w:rPr>
        <w:t>B.</w:t>
      </w:r>
      <w:r>
        <w:rPr>
          <w:color w:val="231F20"/>
          <w:spacing w:val="1"/>
          <w:vertAlign w:val="baseline"/>
        </w:rPr>
        <w:t> </w:t>
      </w:r>
      <w:r>
        <w:rPr>
          <w:color w:val="231F20"/>
          <w:spacing w:val="-2"/>
          <w:vertAlign w:val="baseline"/>
        </w:rPr>
        <w:t>R.,</w:t>
      </w:r>
      <w:r>
        <w:rPr>
          <w:color w:val="231F20"/>
          <w:vertAlign w:val="baseline"/>
        </w:rPr>
        <w:t> </w:t>
      </w:r>
      <w:r>
        <w:rPr>
          <w:color w:val="231F20"/>
          <w:spacing w:val="-2"/>
          <w:vertAlign w:val="baseline"/>
        </w:rPr>
        <w:t>Stewart,</w:t>
      </w:r>
      <w:r>
        <w:rPr>
          <w:color w:val="231F20"/>
          <w:vertAlign w:val="baseline"/>
        </w:rPr>
        <w:t> </w:t>
      </w:r>
      <w:r>
        <w:rPr>
          <w:color w:val="231F20"/>
          <w:spacing w:val="-2"/>
          <w:vertAlign w:val="baseline"/>
        </w:rPr>
        <w:t>L.,</w:t>
      </w:r>
      <w:r>
        <w:rPr>
          <w:color w:val="231F20"/>
          <w:spacing w:val="1"/>
          <w:vertAlign w:val="baseline"/>
        </w:rPr>
        <w:t> </w:t>
      </w:r>
      <w:r>
        <w:rPr>
          <w:color w:val="231F20"/>
          <w:spacing w:val="-2"/>
          <w:vertAlign w:val="baseline"/>
        </w:rPr>
        <w:t>Momplaisir,</w:t>
      </w:r>
      <w:r>
        <w:rPr>
          <w:color w:val="231F20"/>
          <w:vertAlign w:val="baseline"/>
        </w:rPr>
        <w:t> </w:t>
      </w:r>
      <w:r>
        <w:rPr>
          <w:color w:val="231F20"/>
          <w:spacing w:val="-2"/>
          <w:vertAlign w:val="baseline"/>
        </w:rPr>
        <w:t>F.,</w:t>
      </w:r>
      <w:r>
        <w:rPr>
          <w:color w:val="231F20"/>
          <w:spacing w:val="1"/>
          <w:vertAlign w:val="baseline"/>
        </w:rPr>
        <w:t> </w:t>
      </w:r>
      <w:r>
        <w:rPr>
          <w:color w:val="231F20"/>
          <w:spacing w:val="-2"/>
          <w:vertAlign w:val="baseline"/>
        </w:rPr>
        <w:t>Mody,</w:t>
      </w:r>
      <w:r>
        <w:rPr>
          <w:color w:val="231F20"/>
          <w:spacing w:val="-12"/>
          <w:vertAlign w:val="baseline"/>
        </w:rPr>
        <w:t> </w:t>
      </w:r>
      <w:r>
        <w:rPr>
          <w:color w:val="231F20"/>
          <w:spacing w:val="-2"/>
          <w:vertAlign w:val="baseline"/>
        </w:rPr>
        <w:t>A.,</w:t>
      </w:r>
    </w:p>
    <w:p>
      <w:pPr>
        <w:pStyle w:val="BodyText"/>
        <w:spacing w:line="240" w:lineRule="exact"/>
        <w:ind w:left="520"/>
      </w:pPr>
      <w:r>
        <w:rPr>
          <w:color w:val="231F20"/>
        </w:rPr>
        <w:t>Holtzman,</w:t>
      </w:r>
      <w:r>
        <w:rPr>
          <w:color w:val="231F20"/>
          <w:spacing w:val="-8"/>
        </w:rPr>
        <w:t> </w:t>
      </w:r>
      <w:r>
        <w:rPr>
          <w:color w:val="231F20"/>
        </w:rPr>
        <w:t>C.</w:t>
      </w:r>
      <w:r>
        <w:rPr>
          <w:color w:val="231F20"/>
          <w:spacing w:val="-11"/>
        </w:rPr>
        <w:t> </w:t>
      </w:r>
      <w:r>
        <w:rPr>
          <w:color w:val="231F20"/>
        </w:rPr>
        <w:t>W.,</w:t>
      </w:r>
      <w:r>
        <w:rPr>
          <w:color w:val="231F20"/>
          <w:spacing w:val="-6"/>
        </w:rPr>
        <w:t> </w:t>
      </w:r>
      <w:r>
        <w:rPr>
          <w:color w:val="231F20"/>
        </w:rPr>
        <w:t>Jacobs,</w:t>
      </w:r>
      <w:r>
        <w:rPr>
          <w:color w:val="231F20"/>
          <w:spacing w:val="-7"/>
        </w:rPr>
        <w:t> </w:t>
      </w:r>
      <w:r>
        <w:rPr>
          <w:color w:val="231F20"/>
        </w:rPr>
        <w:t>L.</w:t>
      </w:r>
      <w:r>
        <w:rPr>
          <w:color w:val="231F20"/>
          <w:spacing w:val="-7"/>
        </w:rPr>
        <w:t> </w:t>
      </w:r>
      <w:r>
        <w:rPr>
          <w:color w:val="231F20"/>
        </w:rPr>
        <w:t>M.,</w:t>
      </w:r>
      <w:r>
        <w:rPr>
          <w:color w:val="231F20"/>
          <w:spacing w:val="-7"/>
        </w:rPr>
        <w:t> </w:t>
      </w:r>
      <w:r>
        <w:rPr>
          <w:color w:val="231F20"/>
        </w:rPr>
        <w:t>Hines,</w:t>
      </w:r>
      <w:r>
        <w:rPr>
          <w:color w:val="231F20"/>
          <w:spacing w:val="-8"/>
        </w:rPr>
        <w:t> </w:t>
      </w:r>
      <w:r>
        <w:rPr>
          <w:color w:val="231F20"/>
        </w:rPr>
        <w:t>J.,</w:t>
      </w:r>
      <w:r>
        <w:rPr>
          <w:color w:val="231F20"/>
          <w:spacing w:val="-7"/>
        </w:rPr>
        <w:t> </w:t>
      </w:r>
      <w:r>
        <w:rPr>
          <w:color w:val="231F20"/>
        </w:rPr>
        <w:t>Mounzer,</w:t>
      </w:r>
    </w:p>
    <w:p>
      <w:pPr>
        <w:pStyle w:val="BodyText"/>
        <w:spacing w:line="228" w:lineRule="auto" w:before="4"/>
        <w:ind w:left="520" w:right="367"/>
      </w:pPr>
      <w:r>
        <w:rPr>
          <w:color w:val="231F20"/>
        </w:rPr>
        <w:t>K., Glanz, K., &amp; Metlay, J. P. (2015). Barriers</w:t>
      </w:r>
      <w:r>
        <w:rPr>
          <w:color w:val="231F20"/>
          <w:spacing w:val="1"/>
        </w:rPr>
        <w:t> </w:t>
      </w:r>
      <w:r>
        <w:rPr>
          <w:color w:val="231F20"/>
        </w:rPr>
        <w:t>and facilitators to patient retention in HIV care.</w:t>
      </w:r>
      <w:r>
        <w:rPr>
          <w:color w:val="231F20"/>
          <w:spacing w:val="1"/>
        </w:rPr>
        <w:t> </w:t>
      </w:r>
      <w:r>
        <w:rPr>
          <w:i/>
          <w:color w:val="231F20"/>
        </w:rPr>
        <w:t>BMC</w:t>
      </w:r>
      <w:r>
        <w:rPr>
          <w:i/>
          <w:color w:val="231F20"/>
          <w:spacing w:val="-2"/>
        </w:rPr>
        <w:t> </w:t>
      </w:r>
      <w:r>
        <w:rPr>
          <w:i/>
          <w:color w:val="231F20"/>
        </w:rPr>
        <w:t>Infectious</w:t>
      </w:r>
      <w:r>
        <w:rPr>
          <w:i/>
          <w:color w:val="231F20"/>
          <w:spacing w:val="-2"/>
        </w:rPr>
        <w:t> </w:t>
      </w:r>
      <w:r>
        <w:rPr>
          <w:i/>
          <w:color w:val="231F20"/>
        </w:rPr>
        <w:t>Diseases,</w:t>
      </w:r>
      <w:r>
        <w:rPr>
          <w:i/>
          <w:color w:val="231F20"/>
          <w:spacing w:val="-2"/>
        </w:rPr>
        <w:t> </w:t>
      </w:r>
      <w:r>
        <w:rPr>
          <w:i/>
          <w:color w:val="231F20"/>
        </w:rPr>
        <w:t>15</w:t>
      </w:r>
      <w:r>
        <w:rPr>
          <w:color w:val="231F20"/>
        </w:rPr>
        <w:t>(1),</w:t>
      </w:r>
      <w:r>
        <w:rPr>
          <w:color w:val="231F20"/>
          <w:spacing w:val="-2"/>
        </w:rPr>
        <w:t> </w:t>
      </w:r>
      <w:r>
        <w:rPr>
          <w:color w:val="231F20"/>
        </w:rPr>
        <w:t>246.</w:t>
      </w:r>
      <w:r>
        <w:rPr>
          <w:color w:val="3953A4"/>
          <w:spacing w:val="-1"/>
        </w:rPr>
        <w:t> </w:t>
      </w:r>
      <w:hyperlink r:id="rId88">
        <w:r>
          <w:rPr>
            <w:color w:val="3953A4"/>
            <w:u w:val="single" w:color="3953A4"/>
          </w:rPr>
          <w:t>https://doi.</w:t>
        </w:r>
      </w:hyperlink>
    </w:p>
    <w:p>
      <w:pPr>
        <w:pStyle w:val="BodyText"/>
        <w:spacing w:line="242" w:lineRule="exact"/>
        <w:ind w:left="520"/>
      </w:pPr>
      <w:hyperlink r:id="rId88">
        <w:r>
          <w:rPr>
            <w:color w:val="3953A4"/>
            <w:u w:val="single" w:color="3953A4"/>
          </w:rPr>
          <w:t>org/10.1186/s12879-015-0990-</w:t>
        </w:r>
      </w:hyperlink>
      <w:r>
        <w:rPr>
          <w:color w:val="3953A4"/>
          <w:u w:val="single" w:color="3953A4"/>
        </w:rPr>
        <w:t>0 </w:t>
      </w:r>
    </w:p>
    <w:p>
      <w:pPr>
        <w:pStyle w:val="BodyText"/>
        <w:tabs>
          <w:tab w:pos="519" w:val="left" w:leader="none"/>
        </w:tabs>
        <w:spacing w:line="228" w:lineRule="auto" w:before="87"/>
        <w:ind w:left="520" w:right="38" w:hanging="360"/>
      </w:pPr>
      <w:r>
        <w:rPr>
          <w:color w:val="231F20"/>
          <w:vertAlign w:val="superscript"/>
        </w:rPr>
        <w:t>39</w:t>
      </w:r>
      <w:r>
        <w:rPr>
          <w:color w:val="231F20"/>
          <w:vertAlign w:val="baseline"/>
        </w:rPr>
        <w:tab/>
      </w:r>
      <w:r>
        <w:rPr>
          <w:color w:val="231F20"/>
          <w:spacing w:val="-1"/>
          <w:vertAlign w:val="baseline"/>
        </w:rPr>
        <w:t>Kempf, M., McLeod, J., Boehme, A. K., Walcott, </w:t>
      </w:r>
      <w:r>
        <w:rPr>
          <w:color w:val="231F20"/>
          <w:vertAlign w:val="baseline"/>
        </w:rPr>
        <w:t>M.</w:t>
      </w:r>
      <w:r>
        <w:rPr>
          <w:color w:val="231F20"/>
          <w:spacing w:val="-52"/>
          <w:vertAlign w:val="baseline"/>
        </w:rPr>
        <w:t> </w:t>
      </w:r>
      <w:r>
        <w:rPr>
          <w:color w:val="231F20"/>
          <w:spacing w:val="-1"/>
          <w:vertAlign w:val="baseline"/>
        </w:rPr>
        <w:t>W.,</w:t>
      </w:r>
      <w:r>
        <w:rPr>
          <w:color w:val="231F20"/>
          <w:spacing w:val="-13"/>
          <w:vertAlign w:val="baseline"/>
        </w:rPr>
        <w:t> </w:t>
      </w:r>
      <w:r>
        <w:rPr>
          <w:color w:val="231F20"/>
          <w:spacing w:val="-1"/>
          <w:vertAlign w:val="baseline"/>
        </w:rPr>
        <w:t>Wright,</w:t>
      </w:r>
      <w:r>
        <w:rPr>
          <w:color w:val="231F20"/>
          <w:spacing w:val="-9"/>
          <w:vertAlign w:val="baseline"/>
        </w:rPr>
        <w:t> </w:t>
      </w:r>
      <w:r>
        <w:rPr>
          <w:color w:val="231F20"/>
          <w:spacing w:val="-1"/>
          <w:vertAlign w:val="baseline"/>
        </w:rPr>
        <w:t>L.,</w:t>
      </w:r>
      <w:r>
        <w:rPr>
          <w:color w:val="231F20"/>
          <w:spacing w:val="-9"/>
          <w:vertAlign w:val="baseline"/>
        </w:rPr>
        <w:t> </w:t>
      </w:r>
      <w:r>
        <w:rPr>
          <w:color w:val="231F20"/>
          <w:spacing w:val="-1"/>
          <w:vertAlign w:val="baseline"/>
        </w:rPr>
        <w:t>Seal,</w:t>
      </w:r>
      <w:r>
        <w:rPr>
          <w:color w:val="231F20"/>
          <w:spacing w:val="-10"/>
          <w:vertAlign w:val="baseline"/>
        </w:rPr>
        <w:t> </w:t>
      </w:r>
      <w:r>
        <w:rPr>
          <w:color w:val="231F20"/>
          <w:vertAlign w:val="baseline"/>
        </w:rPr>
        <w:t>P.,</w:t>
      </w:r>
      <w:r>
        <w:rPr>
          <w:color w:val="231F20"/>
          <w:spacing w:val="-9"/>
          <w:vertAlign w:val="baseline"/>
        </w:rPr>
        <w:t> </w:t>
      </w:r>
      <w:r>
        <w:rPr>
          <w:color w:val="231F20"/>
          <w:vertAlign w:val="baseline"/>
        </w:rPr>
        <w:t>Norton,</w:t>
      </w:r>
      <w:r>
        <w:rPr>
          <w:color w:val="231F20"/>
          <w:spacing w:val="-14"/>
          <w:vertAlign w:val="baseline"/>
        </w:rPr>
        <w:t> </w:t>
      </w:r>
      <w:r>
        <w:rPr>
          <w:color w:val="231F20"/>
          <w:vertAlign w:val="baseline"/>
        </w:rPr>
        <w:t>W.</w:t>
      </w:r>
      <w:r>
        <w:rPr>
          <w:color w:val="231F20"/>
          <w:spacing w:val="-9"/>
          <w:vertAlign w:val="baseline"/>
        </w:rPr>
        <w:t> </w:t>
      </w:r>
      <w:r>
        <w:rPr>
          <w:color w:val="231F20"/>
          <w:vertAlign w:val="baseline"/>
        </w:rPr>
        <w:t>E.,</w:t>
      </w:r>
      <w:r>
        <w:rPr>
          <w:color w:val="231F20"/>
          <w:spacing w:val="-9"/>
          <w:vertAlign w:val="baseline"/>
        </w:rPr>
        <w:t> </w:t>
      </w:r>
      <w:r>
        <w:rPr>
          <w:color w:val="231F20"/>
          <w:vertAlign w:val="baseline"/>
        </w:rPr>
        <w:t>Schumacher,</w:t>
      </w:r>
    </w:p>
    <w:p>
      <w:pPr>
        <w:pStyle w:val="BodyText"/>
        <w:spacing w:line="228" w:lineRule="auto"/>
        <w:ind w:left="519" w:right="314"/>
      </w:pPr>
      <w:r>
        <w:rPr>
          <w:color w:val="231F20"/>
          <w:spacing w:val="-1"/>
        </w:rPr>
        <w:t>J. E., Mugavero, </w:t>
      </w:r>
      <w:r>
        <w:rPr>
          <w:color w:val="231F20"/>
        </w:rPr>
        <w:t>M., &amp; Moneyham, L. (2010). A</w:t>
      </w:r>
      <w:r>
        <w:rPr>
          <w:color w:val="231F20"/>
          <w:spacing w:val="1"/>
        </w:rPr>
        <w:t> </w:t>
      </w:r>
      <w:r>
        <w:rPr>
          <w:color w:val="231F20"/>
        </w:rPr>
        <w:t>qualitative study of the barriers and facilitators to</w:t>
      </w:r>
      <w:r>
        <w:rPr>
          <w:color w:val="231F20"/>
          <w:spacing w:val="-52"/>
        </w:rPr>
        <w:t> </w:t>
      </w:r>
      <w:r>
        <w:rPr>
          <w:color w:val="231F20"/>
        </w:rPr>
        <w:t>retention-in-care among HIV-positive women in</w:t>
      </w:r>
      <w:r>
        <w:rPr>
          <w:color w:val="231F20"/>
          <w:spacing w:val="1"/>
        </w:rPr>
        <w:t> </w:t>
      </w:r>
      <w:r>
        <w:rPr>
          <w:color w:val="231F20"/>
        </w:rPr>
        <w:t>the rural southeastern United States: Implications</w:t>
      </w:r>
      <w:r>
        <w:rPr>
          <w:color w:val="231F20"/>
          <w:spacing w:val="-52"/>
        </w:rPr>
        <w:t> </w:t>
      </w:r>
      <w:r>
        <w:rPr>
          <w:color w:val="231F20"/>
        </w:rPr>
        <w:t>for</w:t>
      </w:r>
      <w:r>
        <w:rPr>
          <w:color w:val="231F20"/>
          <w:spacing w:val="-5"/>
        </w:rPr>
        <w:t> </w:t>
      </w:r>
      <w:r>
        <w:rPr>
          <w:color w:val="231F20"/>
        </w:rPr>
        <w:t>targeted</w:t>
      </w:r>
      <w:r>
        <w:rPr>
          <w:color w:val="231F20"/>
          <w:spacing w:val="-4"/>
        </w:rPr>
        <w:t> </w:t>
      </w:r>
      <w:r>
        <w:rPr>
          <w:color w:val="231F20"/>
        </w:rPr>
        <w:t>interventions.</w:t>
      </w:r>
      <w:r>
        <w:rPr>
          <w:color w:val="231F20"/>
          <w:spacing w:val="-6"/>
        </w:rPr>
        <w:t> </w:t>
      </w:r>
      <w:r>
        <w:rPr>
          <w:i/>
          <w:color w:val="231F20"/>
        </w:rPr>
        <w:t>AIDS</w:t>
      </w:r>
      <w:r>
        <w:rPr>
          <w:i/>
          <w:color w:val="231F20"/>
          <w:spacing w:val="-4"/>
        </w:rPr>
        <w:t> </w:t>
      </w:r>
      <w:r>
        <w:rPr>
          <w:i/>
          <w:color w:val="231F20"/>
        </w:rPr>
        <w:t>Patient</w:t>
      </w:r>
      <w:r>
        <w:rPr>
          <w:i/>
          <w:color w:val="231F20"/>
          <w:spacing w:val="-4"/>
        </w:rPr>
        <w:t> </w:t>
      </w:r>
      <w:r>
        <w:rPr>
          <w:i/>
          <w:color w:val="231F20"/>
        </w:rPr>
        <w:t>Care</w:t>
      </w:r>
      <w:r>
        <w:rPr>
          <w:i/>
          <w:color w:val="231F20"/>
          <w:spacing w:val="-4"/>
        </w:rPr>
        <w:t> </w:t>
      </w:r>
      <w:r>
        <w:rPr>
          <w:i/>
          <w:color w:val="231F20"/>
        </w:rPr>
        <w:t>and</w:t>
      </w:r>
      <w:r>
        <w:rPr>
          <w:i/>
          <w:color w:val="231F20"/>
          <w:spacing w:val="-52"/>
        </w:rPr>
        <w:t> </w:t>
      </w:r>
      <w:r>
        <w:rPr>
          <w:i/>
          <w:color w:val="231F20"/>
        </w:rPr>
        <w:t>STDs, 24</w:t>
      </w:r>
      <w:r>
        <w:rPr>
          <w:color w:val="231F20"/>
        </w:rPr>
        <w:t>(8), 515-520.</w:t>
      </w:r>
      <w:r>
        <w:rPr>
          <w:color w:val="3953A4"/>
        </w:rPr>
        <w:t> </w:t>
      </w:r>
      <w:hyperlink r:id="rId299">
        <w:r>
          <w:rPr>
            <w:color w:val="3953A4"/>
            <w:u w:val="single" w:color="3953A4"/>
          </w:rPr>
          <w:t>https://doi.org/10.1089/</w:t>
        </w:r>
      </w:hyperlink>
      <w:r>
        <w:rPr>
          <w:color w:val="3953A4"/>
          <w:spacing w:val="1"/>
        </w:rPr>
        <w:t> </w:t>
      </w:r>
      <w:hyperlink r:id="rId299">
        <w:r>
          <w:rPr>
            <w:color w:val="3953A4"/>
            <w:u w:val="single" w:color="3953A4"/>
          </w:rPr>
          <w:t>apc.2010.0065</w:t>
        </w:r>
      </w:hyperlink>
    </w:p>
    <w:p>
      <w:pPr>
        <w:pStyle w:val="BodyText"/>
        <w:tabs>
          <w:tab w:pos="519" w:val="left" w:leader="none"/>
        </w:tabs>
        <w:spacing w:line="228" w:lineRule="auto" w:before="101"/>
        <w:ind w:left="520" w:right="747" w:hanging="360"/>
      </w:pPr>
      <w:r>
        <w:rPr/>
        <w:br w:type="column"/>
      </w:r>
      <w:r>
        <w:rPr>
          <w:color w:val="231F20"/>
          <w:vertAlign w:val="superscript"/>
        </w:rPr>
        <w:t>40</w:t>
      </w:r>
      <w:r>
        <w:rPr>
          <w:color w:val="231F20"/>
          <w:vertAlign w:val="baseline"/>
        </w:rPr>
        <w:tab/>
      </w:r>
      <w:r>
        <w:rPr>
          <w:color w:val="231F20"/>
          <w:spacing w:val="-1"/>
          <w:vertAlign w:val="baseline"/>
        </w:rPr>
        <w:t>D’Ippolito, </w:t>
      </w:r>
      <w:r>
        <w:rPr>
          <w:color w:val="231F20"/>
          <w:vertAlign w:val="baseline"/>
        </w:rPr>
        <w:t>M., Lundgren, L., Amodeo, M.,</w:t>
      </w:r>
      <w:r>
        <w:rPr>
          <w:color w:val="231F20"/>
          <w:spacing w:val="1"/>
          <w:vertAlign w:val="baseline"/>
        </w:rPr>
        <w:t> </w:t>
      </w:r>
      <w:r>
        <w:rPr>
          <w:color w:val="231F20"/>
          <w:vertAlign w:val="baseline"/>
        </w:rPr>
        <w:t>Beltrame, C., Lim, L., &amp; Chassler, D. (2015).</w:t>
      </w:r>
      <w:r>
        <w:rPr>
          <w:color w:val="231F20"/>
          <w:spacing w:val="1"/>
          <w:vertAlign w:val="baseline"/>
        </w:rPr>
        <w:t> </w:t>
      </w:r>
      <w:r>
        <w:rPr>
          <w:color w:val="231F20"/>
          <w:vertAlign w:val="baseline"/>
        </w:rPr>
        <w:t>Addiction treatment staff perceptions of training as a</w:t>
      </w:r>
      <w:r>
        <w:rPr>
          <w:color w:val="231F20"/>
          <w:spacing w:val="-52"/>
          <w:vertAlign w:val="baseline"/>
        </w:rPr>
        <w:t> </w:t>
      </w:r>
      <w:r>
        <w:rPr>
          <w:color w:val="231F20"/>
          <w:vertAlign w:val="baseline"/>
        </w:rPr>
        <w:t>facilitator or barrier to implementing evidence-based</w:t>
      </w:r>
      <w:r>
        <w:rPr>
          <w:color w:val="231F20"/>
          <w:spacing w:val="-52"/>
          <w:vertAlign w:val="baseline"/>
        </w:rPr>
        <w:t> </w:t>
      </w:r>
      <w:r>
        <w:rPr>
          <w:color w:val="231F20"/>
          <w:spacing w:val="-1"/>
          <w:vertAlign w:val="baseline"/>
        </w:rPr>
        <w:t>practices: A national qualitative </w:t>
      </w:r>
      <w:r>
        <w:rPr>
          <w:color w:val="231F20"/>
          <w:vertAlign w:val="baseline"/>
        </w:rPr>
        <w:t>research study.</w:t>
      </w:r>
      <w:r>
        <w:rPr>
          <w:color w:val="231F20"/>
          <w:spacing w:val="1"/>
          <w:vertAlign w:val="baseline"/>
        </w:rPr>
        <w:t> </w:t>
      </w:r>
      <w:r>
        <w:rPr>
          <w:i/>
          <w:color w:val="231F20"/>
          <w:vertAlign w:val="baseline"/>
        </w:rPr>
        <w:t>Substance Abuse, 36</w:t>
      </w:r>
      <w:r>
        <w:rPr>
          <w:color w:val="231F20"/>
          <w:vertAlign w:val="baseline"/>
        </w:rPr>
        <w:t>(1), 42-50. </w:t>
      </w:r>
      <w:hyperlink r:id="rId300">
        <w:r>
          <w:rPr>
            <w:color w:val="3953A4"/>
            <w:u w:val="single" w:color="3953A4"/>
            <w:vertAlign w:val="baseline"/>
          </w:rPr>
          <w:t>https://doi.org/10.10</w:t>
        </w:r>
      </w:hyperlink>
      <w:r>
        <w:rPr>
          <w:color w:val="3953A4"/>
          <w:spacing w:val="-52"/>
          <w:vertAlign w:val="baseline"/>
        </w:rPr>
        <w:t> </w:t>
      </w:r>
      <w:hyperlink r:id="rId300">
        <w:r>
          <w:rPr>
            <w:color w:val="3953A4"/>
            <w:u w:val="single" w:color="3953A4"/>
            <w:vertAlign w:val="baseline"/>
          </w:rPr>
          <w:t>80/08897077.2013.849646</w:t>
        </w:r>
      </w:hyperlink>
    </w:p>
    <w:p>
      <w:pPr>
        <w:pStyle w:val="BodyText"/>
        <w:tabs>
          <w:tab w:pos="519" w:val="left" w:leader="none"/>
        </w:tabs>
        <w:spacing w:line="228" w:lineRule="auto" w:before="88"/>
        <w:ind w:left="520" w:right="872" w:hanging="360"/>
      </w:pPr>
      <w:r>
        <w:rPr>
          <w:color w:val="231F20"/>
          <w:vertAlign w:val="superscript"/>
        </w:rPr>
        <w:t>41</w:t>
      </w:r>
      <w:r>
        <w:rPr>
          <w:color w:val="231F20"/>
          <w:vertAlign w:val="baseline"/>
        </w:rPr>
        <w:tab/>
      </w:r>
      <w:r>
        <w:rPr>
          <w:color w:val="231F20"/>
          <w:spacing w:val="-1"/>
          <w:vertAlign w:val="baseline"/>
        </w:rPr>
        <w:t>Hoge, M. A., Morris, J. A., Laraia, </w:t>
      </w:r>
      <w:r>
        <w:rPr>
          <w:color w:val="231F20"/>
          <w:vertAlign w:val="baseline"/>
        </w:rPr>
        <w:t>M., Pomerantz,</w:t>
      </w:r>
      <w:r>
        <w:rPr>
          <w:color w:val="231F20"/>
          <w:spacing w:val="1"/>
          <w:vertAlign w:val="baseline"/>
        </w:rPr>
        <w:t> </w:t>
      </w:r>
      <w:r>
        <w:rPr>
          <w:color w:val="231F20"/>
          <w:vertAlign w:val="baseline"/>
        </w:rPr>
        <w:t>A., &amp; Farely, T. (2014). </w:t>
      </w:r>
      <w:r>
        <w:rPr>
          <w:i/>
          <w:color w:val="231F20"/>
          <w:vertAlign w:val="baseline"/>
        </w:rPr>
        <w:t>Core competencies for</w:t>
      </w:r>
      <w:r>
        <w:rPr>
          <w:i/>
          <w:color w:val="231F20"/>
          <w:spacing w:val="1"/>
          <w:vertAlign w:val="baseline"/>
        </w:rPr>
        <w:t> </w:t>
      </w:r>
      <w:r>
        <w:rPr>
          <w:i/>
          <w:color w:val="231F20"/>
          <w:vertAlign w:val="baseline"/>
        </w:rPr>
        <w:t>integrated behavioral health and primary care</w:t>
      </w:r>
      <w:r>
        <w:rPr>
          <w:color w:val="231F20"/>
          <w:vertAlign w:val="baseline"/>
        </w:rPr>
        <w:t>.</w:t>
      </w:r>
      <w:r>
        <w:rPr>
          <w:color w:val="231F20"/>
          <w:spacing w:val="1"/>
          <w:vertAlign w:val="baseline"/>
        </w:rPr>
        <w:t> </w:t>
      </w:r>
      <w:r>
        <w:rPr>
          <w:color w:val="231F20"/>
          <w:spacing w:val="-1"/>
          <w:vertAlign w:val="baseline"/>
        </w:rPr>
        <w:t>Substance Abuse and Mental Health Services</w:t>
      </w:r>
      <w:r>
        <w:rPr>
          <w:color w:val="231F20"/>
          <w:vertAlign w:val="baseline"/>
        </w:rPr>
        <w:t> Administration, &amp; Health Resources and Services</w:t>
      </w:r>
      <w:r>
        <w:rPr>
          <w:color w:val="231F20"/>
          <w:spacing w:val="1"/>
          <w:vertAlign w:val="baseline"/>
        </w:rPr>
        <w:t> </w:t>
      </w:r>
      <w:r>
        <w:rPr>
          <w:color w:val="231F20"/>
          <w:vertAlign w:val="baseline"/>
        </w:rPr>
        <w:t>Administration Center of Excellence for Integrated</w:t>
      </w:r>
      <w:r>
        <w:rPr>
          <w:color w:val="231F20"/>
          <w:spacing w:val="-52"/>
          <w:vertAlign w:val="baseline"/>
        </w:rPr>
        <w:t> </w:t>
      </w:r>
      <w:r>
        <w:rPr>
          <w:color w:val="231F20"/>
          <w:vertAlign w:val="baseline"/>
        </w:rPr>
        <w:t>Health</w:t>
      </w:r>
      <w:r>
        <w:rPr>
          <w:color w:val="231F20"/>
          <w:spacing w:val="-14"/>
          <w:vertAlign w:val="baseline"/>
        </w:rPr>
        <w:t> </w:t>
      </w:r>
      <w:r>
        <w:rPr>
          <w:color w:val="231F20"/>
          <w:vertAlign w:val="baseline"/>
        </w:rPr>
        <w:t>Solutions.</w:t>
      </w:r>
      <w:r>
        <w:rPr>
          <w:color w:val="231F20"/>
          <w:spacing w:val="-12"/>
          <w:vertAlign w:val="baseline"/>
        </w:rPr>
        <w:t> </w:t>
      </w:r>
      <w:hyperlink r:id="rId301">
        <w:r>
          <w:rPr>
            <w:color w:val="3953A4"/>
            <w:u w:val="single" w:color="3953A4"/>
            <w:vertAlign w:val="baseline"/>
          </w:rPr>
          <w:t>https://www.hrsa.gov/behavioral-</w:t>
        </w:r>
      </w:hyperlink>
      <w:r>
        <w:rPr>
          <w:color w:val="3953A4"/>
          <w:spacing w:val="-52"/>
          <w:vertAlign w:val="baseline"/>
        </w:rPr>
        <w:t> </w:t>
      </w:r>
      <w:hyperlink r:id="rId301">
        <w:r>
          <w:rPr>
            <w:color w:val="3953A4"/>
            <w:u w:val="single" w:color="3953A4"/>
            <w:vertAlign w:val="baseline"/>
          </w:rPr>
          <w:t>health/core-competencies-integrated-behavioral-</w:t>
        </w:r>
      </w:hyperlink>
      <w:r>
        <w:rPr>
          <w:color w:val="3953A4"/>
          <w:spacing w:val="1"/>
          <w:vertAlign w:val="baseline"/>
        </w:rPr>
        <w:t> </w:t>
      </w:r>
      <w:hyperlink r:id="rId301">
        <w:r>
          <w:rPr>
            <w:color w:val="3953A4"/>
            <w:u w:val="single" w:color="3953A4"/>
            <w:vertAlign w:val="baseline"/>
          </w:rPr>
          <w:t>health-and-primary-care</w:t>
        </w:r>
      </w:hyperlink>
    </w:p>
    <w:p>
      <w:pPr>
        <w:pStyle w:val="BodyText"/>
        <w:tabs>
          <w:tab w:pos="519" w:val="left" w:leader="none"/>
        </w:tabs>
        <w:spacing w:line="228" w:lineRule="auto" w:before="87"/>
        <w:ind w:left="520" w:right="793" w:hanging="360"/>
      </w:pPr>
      <w:r>
        <w:rPr>
          <w:color w:val="231F20"/>
          <w:vertAlign w:val="superscript"/>
        </w:rPr>
        <w:t>42</w:t>
      </w:r>
      <w:r>
        <w:rPr>
          <w:color w:val="231F20"/>
          <w:vertAlign w:val="baseline"/>
        </w:rPr>
        <w:tab/>
        <w:t>Office for Victims of Crime. </w:t>
      </w:r>
      <w:r>
        <w:rPr>
          <w:i/>
          <w:color w:val="231F20"/>
          <w:vertAlign w:val="baseline"/>
        </w:rPr>
        <w:t>The vicarious trauma</w:t>
      </w:r>
      <w:r>
        <w:rPr>
          <w:i/>
          <w:color w:val="231F20"/>
          <w:spacing w:val="1"/>
          <w:vertAlign w:val="baseline"/>
        </w:rPr>
        <w:t> </w:t>
      </w:r>
      <w:r>
        <w:rPr>
          <w:i/>
          <w:color w:val="231F20"/>
          <w:vertAlign w:val="baseline"/>
        </w:rPr>
        <w:t>toolkit</w:t>
      </w:r>
      <w:r>
        <w:rPr>
          <w:color w:val="231F20"/>
          <w:vertAlign w:val="baseline"/>
        </w:rPr>
        <w:t>.</w:t>
      </w:r>
      <w:r>
        <w:rPr>
          <w:color w:val="231F20"/>
          <w:spacing w:val="-7"/>
          <w:vertAlign w:val="baseline"/>
        </w:rPr>
        <w:t> </w:t>
      </w:r>
      <w:r>
        <w:rPr>
          <w:color w:val="231F20"/>
          <w:vertAlign w:val="baseline"/>
        </w:rPr>
        <w:t>Office</w:t>
      </w:r>
      <w:r>
        <w:rPr>
          <w:color w:val="231F20"/>
          <w:spacing w:val="-8"/>
          <w:vertAlign w:val="baseline"/>
        </w:rPr>
        <w:t> </w:t>
      </w:r>
      <w:r>
        <w:rPr>
          <w:color w:val="231F20"/>
          <w:vertAlign w:val="baseline"/>
        </w:rPr>
        <w:t>of</w:t>
      </w:r>
      <w:r>
        <w:rPr>
          <w:color w:val="231F20"/>
          <w:spacing w:val="-7"/>
          <w:vertAlign w:val="baseline"/>
        </w:rPr>
        <w:t> </w:t>
      </w:r>
      <w:r>
        <w:rPr>
          <w:color w:val="231F20"/>
          <w:vertAlign w:val="baseline"/>
        </w:rPr>
        <w:t>Justice</w:t>
      </w:r>
      <w:r>
        <w:rPr>
          <w:color w:val="231F20"/>
          <w:spacing w:val="-8"/>
          <w:vertAlign w:val="baseline"/>
        </w:rPr>
        <w:t> </w:t>
      </w:r>
      <w:r>
        <w:rPr>
          <w:color w:val="231F20"/>
          <w:vertAlign w:val="baseline"/>
        </w:rPr>
        <w:t>Programs,</w:t>
      </w:r>
      <w:r>
        <w:rPr>
          <w:color w:val="231F20"/>
          <w:spacing w:val="-7"/>
          <w:vertAlign w:val="baseline"/>
        </w:rPr>
        <w:t> </w:t>
      </w:r>
      <w:r>
        <w:rPr>
          <w:color w:val="231F20"/>
          <w:vertAlign w:val="baseline"/>
        </w:rPr>
        <w:t>U.S.</w:t>
      </w:r>
      <w:r>
        <w:rPr>
          <w:color w:val="231F20"/>
          <w:spacing w:val="-8"/>
          <w:vertAlign w:val="baseline"/>
        </w:rPr>
        <w:t> </w:t>
      </w:r>
      <w:r>
        <w:rPr>
          <w:color w:val="231F20"/>
          <w:vertAlign w:val="baseline"/>
        </w:rPr>
        <w:t>Department</w:t>
      </w:r>
      <w:r>
        <w:rPr>
          <w:color w:val="231F20"/>
          <w:spacing w:val="-52"/>
          <w:vertAlign w:val="baseline"/>
        </w:rPr>
        <w:t> </w:t>
      </w:r>
      <w:r>
        <w:rPr>
          <w:color w:val="231F20"/>
          <w:vertAlign w:val="baseline"/>
        </w:rPr>
        <w:t>of Justice. </w:t>
      </w:r>
      <w:hyperlink r:id="rId302">
        <w:r>
          <w:rPr>
            <w:color w:val="3953A4"/>
            <w:u w:val="single" w:color="3953A4"/>
            <w:vertAlign w:val="baseline"/>
          </w:rPr>
          <w:t>https://ovc.ojp.gov/program/vtt/</w:t>
        </w:r>
      </w:hyperlink>
      <w:r>
        <w:rPr>
          <w:color w:val="3953A4"/>
          <w:spacing w:val="1"/>
          <w:vertAlign w:val="baseline"/>
        </w:rPr>
        <w:t> </w:t>
      </w:r>
      <w:hyperlink r:id="rId302">
        <w:r>
          <w:rPr>
            <w:color w:val="3953A4"/>
            <w:u w:val="single" w:color="3953A4"/>
            <w:vertAlign w:val="baseline"/>
          </w:rPr>
          <w:t>introduction</w:t>
        </w:r>
      </w:hyperlink>
    </w:p>
    <w:p>
      <w:pPr>
        <w:pStyle w:val="BodyText"/>
        <w:tabs>
          <w:tab w:pos="519" w:val="left" w:leader="none"/>
        </w:tabs>
        <w:spacing w:line="228" w:lineRule="auto" w:before="88"/>
        <w:ind w:left="520" w:right="824" w:hanging="360"/>
      </w:pPr>
      <w:r>
        <w:rPr>
          <w:color w:val="231F20"/>
          <w:vertAlign w:val="superscript"/>
        </w:rPr>
        <w:t>43</w:t>
      </w:r>
      <w:r>
        <w:rPr>
          <w:color w:val="231F20"/>
          <w:vertAlign w:val="baseline"/>
        </w:rPr>
        <w:tab/>
        <w:t>Georgia</w:t>
      </w:r>
      <w:r>
        <w:rPr>
          <w:color w:val="231F20"/>
          <w:spacing w:val="-8"/>
          <w:vertAlign w:val="baseline"/>
        </w:rPr>
        <w:t> </w:t>
      </w:r>
      <w:r>
        <w:rPr>
          <w:color w:val="231F20"/>
          <w:vertAlign w:val="baseline"/>
        </w:rPr>
        <w:t>Mental</w:t>
      </w:r>
      <w:r>
        <w:rPr>
          <w:color w:val="231F20"/>
          <w:spacing w:val="-9"/>
          <w:vertAlign w:val="baseline"/>
        </w:rPr>
        <w:t> </w:t>
      </w:r>
      <w:r>
        <w:rPr>
          <w:color w:val="231F20"/>
          <w:vertAlign w:val="baseline"/>
        </w:rPr>
        <w:t>Health</w:t>
      </w:r>
      <w:r>
        <w:rPr>
          <w:color w:val="231F20"/>
          <w:spacing w:val="-8"/>
          <w:vertAlign w:val="baseline"/>
        </w:rPr>
        <w:t> </w:t>
      </w:r>
      <w:r>
        <w:rPr>
          <w:color w:val="231F20"/>
          <w:vertAlign w:val="baseline"/>
        </w:rPr>
        <w:t>Consumer</w:t>
      </w:r>
      <w:r>
        <w:rPr>
          <w:color w:val="231F20"/>
          <w:spacing w:val="-8"/>
          <w:vertAlign w:val="baseline"/>
        </w:rPr>
        <w:t> </w:t>
      </w:r>
      <w:r>
        <w:rPr>
          <w:color w:val="231F20"/>
          <w:vertAlign w:val="baseline"/>
        </w:rPr>
        <w:t>Network,</w:t>
      </w:r>
      <w:r>
        <w:rPr>
          <w:color w:val="231F20"/>
          <w:spacing w:val="-12"/>
          <w:vertAlign w:val="baseline"/>
        </w:rPr>
        <w:t> </w:t>
      </w:r>
      <w:r>
        <w:rPr>
          <w:color w:val="231F20"/>
          <w:vertAlign w:val="baseline"/>
        </w:rPr>
        <w:t>Tucker,</w:t>
      </w:r>
      <w:r>
        <w:rPr>
          <w:color w:val="231F20"/>
          <w:spacing w:val="-52"/>
          <w:vertAlign w:val="baseline"/>
        </w:rPr>
        <w:t> </w:t>
      </w:r>
      <w:r>
        <w:rPr>
          <w:color w:val="231F20"/>
          <w:vertAlign w:val="baseline"/>
        </w:rPr>
        <w:t>S.,</w:t>
      </w:r>
      <w:r>
        <w:rPr>
          <w:color w:val="231F20"/>
          <w:spacing w:val="-11"/>
          <w:vertAlign w:val="baseline"/>
        </w:rPr>
        <w:t> </w:t>
      </w:r>
      <w:r>
        <w:rPr>
          <w:color w:val="231F20"/>
          <w:vertAlign w:val="baseline"/>
        </w:rPr>
        <w:t>Tiegreen,</w:t>
      </w:r>
      <w:r>
        <w:rPr>
          <w:color w:val="231F20"/>
          <w:spacing w:val="-10"/>
          <w:vertAlign w:val="baseline"/>
        </w:rPr>
        <w:t> </w:t>
      </w:r>
      <w:r>
        <w:rPr>
          <w:color w:val="231F20"/>
          <w:vertAlign w:val="baseline"/>
        </w:rPr>
        <w:t>W.,</w:t>
      </w:r>
      <w:r>
        <w:rPr>
          <w:color w:val="231F20"/>
          <w:spacing w:val="-9"/>
          <w:vertAlign w:val="baseline"/>
        </w:rPr>
        <w:t> </w:t>
      </w:r>
      <w:r>
        <w:rPr>
          <w:color w:val="231F20"/>
          <w:vertAlign w:val="baseline"/>
        </w:rPr>
        <w:t>Toole,</w:t>
      </w:r>
      <w:r>
        <w:rPr>
          <w:color w:val="231F20"/>
          <w:spacing w:val="-6"/>
          <w:vertAlign w:val="baseline"/>
        </w:rPr>
        <w:t> </w:t>
      </w:r>
      <w:r>
        <w:rPr>
          <w:color w:val="231F20"/>
          <w:vertAlign w:val="baseline"/>
        </w:rPr>
        <w:t>J.,</w:t>
      </w:r>
      <w:r>
        <w:rPr>
          <w:color w:val="231F20"/>
          <w:spacing w:val="-7"/>
          <w:vertAlign w:val="baseline"/>
        </w:rPr>
        <w:t> </w:t>
      </w:r>
      <w:r>
        <w:rPr>
          <w:color w:val="231F20"/>
          <w:vertAlign w:val="baseline"/>
        </w:rPr>
        <w:t>Banathy,</w:t>
      </w:r>
      <w:r>
        <w:rPr>
          <w:color w:val="231F20"/>
          <w:spacing w:val="-5"/>
          <w:vertAlign w:val="baseline"/>
        </w:rPr>
        <w:t> </w:t>
      </w:r>
      <w:r>
        <w:rPr>
          <w:color w:val="231F20"/>
          <w:vertAlign w:val="baseline"/>
        </w:rPr>
        <w:t>J.,</w:t>
      </w:r>
      <w:r>
        <w:rPr>
          <w:color w:val="231F20"/>
          <w:spacing w:val="-7"/>
          <w:vertAlign w:val="baseline"/>
        </w:rPr>
        <w:t> </w:t>
      </w:r>
      <w:r>
        <w:rPr>
          <w:color w:val="231F20"/>
          <w:vertAlign w:val="baseline"/>
        </w:rPr>
        <w:t>Mulloy,</w:t>
      </w:r>
    </w:p>
    <w:p>
      <w:pPr>
        <w:spacing w:line="228" w:lineRule="auto" w:before="0"/>
        <w:ind w:left="520" w:right="1183" w:firstLine="0"/>
        <w:jc w:val="left"/>
        <w:rPr>
          <w:sz w:val="22"/>
        </w:rPr>
      </w:pPr>
      <w:r>
        <w:rPr>
          <w:color w:val="231F20"/>
          <w:sz w:val="22"/>
        </w:rPr>
        <w:t>D., &amp; Swarbrick, M. (2013). </w:t>
      </w:r>
      <w:r>
        <w:rPr>
          <w:i/>
          <w:color w:val="231F20"/>
          <w:sz w:val="22"/>
        </w:rPr>
        <w:t>Supervisor guide:</w:t>
      </w:r>
      <w:r>
        <w:rPr>
          <w:i/>
          <w:color w:val="231F20"/>
          <w:spacing w:val="1"/>
          <w:sz w:val="22"/>
        </w:rPr>
        <w:t> </w:t>
      </w:r>
      <w:r>
        <w:rPr>
          <w:i/>
          <w:color w:val="231F20"/>
          <w:sz w:val="22"/>
        </w:rPr>
        <w:t>Peer</w:t>
      </w:r>
      <w:r>
        <w:rPr>
          <w:i/>
          <w:color w:val="231F20"/>
          <w:spacing w:val="-2"/>
          <w:sz w:val="22"/>
        </w:rPr>
        <w:t> </w:t>
      </w:r>
      <w:r>
        <w:rPr>
          <w:i/>
          <w:color w:val="231F20"/>
          <w:sz w:val="22"/>
        </w:rPr>
        <w:t>support</w:t>
      </w:r>
      <w:r>
        <w:rPr>
          <w:i/>
          <w:color w:val="231F20"/>
          <w:spacing w:val="-3"/>
          <w:sz w:val="22"/>
        </w:rPr>
        <w:t> </w:t>
      </w:r>
      <w:r>
        <w:rPr>
          <w:i/>
          <w:color w:val="231F20"/>
          <w:sz w:val="22"/>
        </w:rPr>
        <w:t>whole</w:t>
      </w:r>
      <w:r>
        <w:rPr>
          <w:i/>
          <w:color w:val="231F20"/>
          <w:spacing w:val="-2"/>
          <w:sz w:val="22"/>
        </w:rPr>
        <w:t> </w:t>
      </w:r>
      <w:r>
        <w:rPr>
          <w:i/>
          <w:color w:val="231F20"/>
          <w:sz w:val="22"/>
        </w:rPr>
        <w:t>health</w:t>
      </w:r>
      <w:r>
        <w:rPr>
          <w:i/>
          <w:color w:val="231F20"/>
          <w:spacing w:val="-2"/>
          <w:sz w:val="22"/>
        </w:rPr>
        <w:t> </w:t>
      </w:r>
      <w:r>
        <w:rPr>
          <w:i/>
          <w:color w:val="231F20"/>
          <w:sz w:val="22"/>
        </w:rPr>
        <w:t>and</w:t>
      </w:r>
      <w:r>
        <w:rPr>
          <w:i/>
          <w:color w:val="231F20"/>
          <w:spacing w:val="-2"/>
          <w:sz w:val="22"/>
        </w:rPr>
        <w:t> </w:t>
      </w:r>
      <w:r>
        <w:rPr>
          <w:i/>
          <w:color w:val="231F20"/>
          <w:sz w:val="22"/>
        </w:rPr>
        <w:t>wellness</w:t>
      </w:r>
      <w:r>
        <w:rPr>
          <w:color w:val="231F20"/>
          <w:sz w:val="22"/>
        </w:rPr>
        <w:t>.</w:t>
      </w:r>
      <w:r>
        <w:rPr>
          <w:color w:val="231F20"/>
          <w:spacing w:val="-2"/>
          <w:sz w:val="22"/>
        </w:rPr>
        <w:t> </w:t>
      </w:r>
      <w:r>
        <w:rPr>
          <w:color w:val="231F20"/>
          <w:sz w:val="22"/>
        </w:rPr>
        <w:t>Health</w:t>
      </w:r>
    </w:p>
    <w:p>
      <w:pPr>
        <w:pStyle w:val="BodyText"/>
        <w:spacing w:line="228" w:lineRule="auto"/>
        <w:ind w:left="520" w:right="790"/>
      </w:pPr>
      <w:r>
        <w:rPr>
          <w:color w:val="231F20"/>
          <w:spacing w:val="-1"/>
        </w:rPr>
        <w:t>Resources</w:t>
      </w:r>
      <w:r>
        <w:rPr>
          <w:color w:val="231F20"/>
          <w:spacing w:val="3"/>
        </w:rPr>
        <w:t> </w:t>
      </w:r>
      <w:r>
        <w:rPr>
          <w:color w:val="231F20"/>
          <w:spacing w:val="-1"/>
        </w:rPr>
        <w:t>and</w:t>
      </w:r>
      <w:r>
        <w:rPr>
          <w:color w:val="231F20"/>
          <w:spacing w:val="3"/>
        </w:rPr>
        <w:t> </w:t>
      </w:r>
      <w:r>
        <w:rPr>
          <w:color w:val="231F20"/>
          <w:spacing w:val="-1"/>
        </w:rPr>
        <w:t>Services</w:t>
      </w:r>
      <w:r>
        <w:rPr>
          <w:color w:val="231F20"/>
          <w:spacing w:val="-10"/>
        </w:rPr>
        <w:t> </w:t>
      </w:r>
      <w:r>
        <w:rPr>
          <w:color w:val="231F20"/>
          <w:spacing w:val="-1"/>
        </w:rPr>
        <w:t>Administration.</w:t>
      </w:r>
      <w:r>
        <w:rPr>
          <w:color w:val="231F20"/>
          <w:spacing w:val="4"/>
        </w:rPr>
        <w:t> </w:t>
      </w:r>
      <w:hyperlink r:id="rId303">
        <w:r>
          <w:rPr>
            <w:color w:val="3953A4"/>
            <w:u w:val="single" w:color="3953A4"/>
          </w:rPr>
          <w:t>https://bhta.</w:t>
        </w:r>
      </w:hyperlink>
      <w:r>
        <w:rPr>
          <w:color w:val="3953A4"/>
          <w:spacing w:val="-52"/>
        </w:rPr>
        <w:t> </w:t>
      </w:r>
      <w:hyperlink r:id="rId303">
        <w:r>
          <w:rPr>
            <w:color w:val="3953A4"/>
            <w:u w:val="single" w:color="3953A4"/>
          </w:rPr>
          <w:t>hrsa.gov/resources/supervisor-guide-peer-support-</w:t>
        </w:r>
      </w:hyperlink>
      <w:r>
        <w:rPr>
          <w:color w:val="3953A4"/>
          <w:spacing w:val="1"/>
        </w:rPr>
        <w:t> </w:t>
      </w:r>
      <w:hyperlink r:id="rId303">
        <w:r>
          <w:rPr>
            <w:color w:val="3953A4"/>
            <w:u w:val="single" w:color="3953A4"/>
          </w:rPr>
          <w:t>whole-health-and-wellness</w:t>
        </w:r>
      </w:hyperlink>
    </w:p>
    <w:p>
      <w:pPr>
        <w:pStyle w:val="BodyText"/>
        <w:tabs>
          <w:tab w:pos="519" w:val="left" w:leader="none"/>
        </w:tabs>
        <w:spacing w:line="228" w:lineRule="auto" w:before="88"/>
        <w:ind w:left="520" w:right="868" w:hanging="360"/>
      </w:pPr>
      <w:r>
        <w:rPr>
          <w:color w:val="231F20"/>
          <w:vertAlign w:val="superscript"/>
        </w:rPr>
        <w:t>44</w:t>
      </w:r>
      <w:r>
        <w:rPr>
          <w:color w:val="231F20"/>
          <w:vertAlign w:val="baseline"/>
        </w:rPr>
        <w:tab/>
        <w:t>Recovery</w:t>
      </w:r>
      <w:r>
        <w:rPr>
          <w:color w:val="231F20"/>
          <w:spacing w:val="10"/>
          <w:vertAlign w:val="baseline"/>
        </w:rPr>
        <w:t> </w:t>
      </w:r>
      <w:r>
        <w:rPr>
          <w:color w:val="231F20"/>
          <w:vertAlign w:val="baseline"/>
        </w:rPr>
        <w:t>Research</w:t>
      </w:r>
      <w:r>
        <w:rPr>
          <w:color w:val="231F20"/>
          <w:spacing w:val="10"/>
          <w:vertAlign w:val="baseline"/>
        </w:rPr>
        <w:t> </w:t>
      </w:r>
      <w:r>
        <w:rPr>
          <w:color w:val="231F20"/>
          <w:vertAlign w:val="baseline"/>
        </w:rPr>
        <w:t>Institute.</w:t>
      </w:r>
      <w:r>
        <w:rPr>
          <w:color w:val="231F20"/>
          <w:spacing w:val="10"/>
          <w:vertAlign w:val="baseline"/>
        </w:rPr>
        <w:t> </w:t>
      </w:r>
      <w:r>
        <w:rPr>
          <w:i/>
          <w:color w:val="231F20"/>
          <w:vertAlign w:val="baseline"/>
        </w:rPr>
        <w:t>Addictionary®</w:t>
      </w:r>
      <w:r>
        <w:rPr>
          <w:color w:val="231F20"/>
          <w:vertAlign w:val="baseline"/>
        </w:rPr>
        <w:t>.</w:t>
      </w:r>
      <w:r>
        <w:rPr>
          <w:color w:val="231F20"/>
          <w:spacing w:val="1"/>
          <w:vertAlign w:val="baseline"/>
        </w:rPr>
        <w:t> </w:t>
      </w:r>
      <w:r>
        <w:rPr>
          <w:color w:val="231F20"/>
          <w:vertAlign w:val="baseline"/>
        </w:rPr>
        <w:t>Massachusetts</w:t>
      </w:r>
      <w:r>
        <w:rPr>
          <w:color w:val="231F20"/>
          <w:spacing w:val="19"/>
          <w:vertAlign w:val="baseline"/>
        </w:rPr>
        <w:t> </w:t>
      </w:r>
      <w:r>
        <w:rPr>
          <w:color w:val="231F20"/>
          <w:vertAlign w:val="baseline"/>
        </w:rPr>
        <w:t>General</w:t>
      </w:r>
      <w:r>
        <w:rPr>
          <w:color w:val="231F20"/>
          <w:spacing w:val="19"/>
          <w:vertAlign w:val="baseline"/>
        </w:rPr>
        <w:t> </w:t>
      </w:r>
      <w:r>
        <w:rPr>
          <w:color w:val="231F20"/>
          <w:vertAlign w:val="baseline"/>
        </w:rPr>
        <w:t>Hospital,</w:t>
      </w:r>
      <w:r>
        <w:rPr>
          <w:color w:val="231F20"/>
          <w:spacing w:val="20"/>
          <w:vertAlign w:val="baseline"/>
        </w:rPr>
        <w:t> </w:t>
      </w:r>
      <w:r>
        <w:rPr>
          <w:color w:val="231F20"/>
          <w:vertAlign w:val="baseline"/>
        </w:rPr>
        <w:t>Harvard</w:t>
      </w:r>
      <w:r>
        <w:rPr>
          <w:color w:val="231F20"/>
          <w:spacing w:val="19"/>
          <w:vertAlign w:val="baseline"/>
        </w:rPr>
        <w:t> </w:t>
      </w:r>
      <w:r>
        <w:rPr>
          <w:color w:val="231F20"/>
          <w:vertAlign w:val="baseline"/>
        </w:rPr>
        <w:t>Medical</w:t>
      </w:r>
      <w:r>
        <w:rPr>
          <w:color w:val="231F20"/>
          <w:spacing w:val="-52"/>
          <w:vertAlign w:val="baseline"/>
        </w:rPr>
        <w:t> </w:t>
      </w:r>
      <w:r>
        <w:rPr>
          <w:color w:val="231F20"/>
          <w:vertAlign w:val="baseline"/>
        </w:rPr>
        <w:t>School.</w:t>
      </w:r>
      <w:r>
        <w:rPr>
          <w:color w:val="231F20"/>
          <w:spacing w:val="8"/>
          <w:vertAlign w:val="baseline"/>
        </w:rPr>
        <w:t> </w:t>
      </w:r>
      <w:hyperlink r:id="rId304">
        <w:r>
          <w:rPr>
            <w:color w:val="3953A4"/>
            <w:u w:val="single" w:color="3953A4"/>
            <w:vertAlign w:val="baseline"/>
          </w:rPr>
          <w:t>https://www.recoveryanswers.org/</w:t>
        </w:r>
      </w:hyperlink>
      <w:r>
        <w:rPr>
          <w:color w:val="3953A4"/>
          <w:spacing w:val="1"/>
          <w:vertAlign w:val="baseline"/>
        </w:rPr>
        <w:t> </w:t>
      </w:r>
      <w:hyperlink r:id="rId304">
        <w:r>
          <w:rPr>
            <w:color w:val="3953A4"/>
            <w:u w:val="single" w:color="3953A4"/>
            <w:vertAlign w:val="baseline"/>
          </w:rPr>
          <w:t>addiction-ary/</w:t>
        </w:r>
      </w:hyperlink>
    </w:p>
    <w:p>
      <w:pPr>
        <w:pStyle w:val="BodyText"/>
        <w:tabs>
          <w:tab w:pos="519" w:val="left" w:leader="none"/>
        </w:tabs>
        <w:spacing w:line="228" w:lineRule="auto" w:before="89"/>
        <w:ind w:left="520" w:right="739" w:hanging="360"/>
      </w:pPr>
      <w:r>
        <w:rPr>
          <w:color w:val="231F20"/>
          <w:vertAlign w:val="superscript"/>
        </w:rPr>
        <w:t>45</w:t>
      </w:r>
      <w:r>
        <w:rPr>
          <w:color w:val="231F20"/>
          <w:vertAlign w:val="baseline"/>
        </w:rPr>
        <w:tab/>
      </w:r>
      <w:r>
        <w:rPr>
          <w:color w:val="231F20"/>
          <w:spacing w:val="-1"/>
          <w:vertAlign w:val="baseline"/>
        </w:rPr>
        <w:t>Substance Abuse and Mental Health Services</w:t>
      </w:r>
      <w:r>
        <w:rPr>
          <w:color w:val="231F20"/>
          <w:vertAlign w:val="baseline"/>
        </w:rPr>
        <w:t> Administration, &amp; Health Resources and Services</w:t>
      </w:r>
      <w:r>
        <w:rPr>
          <w:color w:val="231F20"/>
          <w:spacing w:val="1"/>
          <w:vertAlign w:val="baseline"/>
        </w:rPr>
        <w:t> </w:t>
      </w:r>
      <w:r>
        <w:rPr>
          <w:color w:val="231F20"/>
          <w:vertAlign w:val="baseline"/>
        </w:rPr>
        <w:t>Administration Center for Integrated Health</w:t>
      </w:r>
      <w:r>
        <w:rPr>
          <w:color w:val="231F20"/>
          <w:spacing w:val="1"/>
          <w:vertAlign w:val="baseline"/>
        </w:rPr>
        <w:t> </w:t>
      </w:r>
      <w:r>
        <w:rPr>
          <w:color w:val="231F20"/>
          <w:vertAlign w:val="baseline"/>
        </w:rPr>
        <w:t>Solutions.</w:t>
      </w:r>
      <w:r>
        <w:rPr>
          <w:color w:val="231F20"/>
          <w:spacing w:val="-7"/>
          <w:vertAlign w:val="baseline"/>
        </w:rPr>
        <w:t> </w:t>
      </w:r>
      <w:r>
        <w:rPr>
          <w:color w:val="231F20"/>
          <w:vertAlign w:val="baseline"/>
        </w:rPr>
        <w:t>(2015).</w:t>
      </w:r>
      <w:r>
        <w:rPr>
          <w:color w:val="231F20"/>
          <w:spacing w:val="-5"/>
          <w:vertAlign w:val="baseline"/>
        </w:rPr>
        <w:t> </w:t>
      </w:r>
      <w:r>
        <w:rPr>
          <w:i/>
          <w:color w:val="231F20"/>
          <w:vertAlign w:val="baseline"/>
        </w:rPr>
        <w:t>Improving</w:t>
      </w:r>
      <w:r>
        <w:rPr>
          <w:i/>
          <w:color w:val="231F20"/>
          <w:spacing w:val="-5"/>
          <w:vertAlign w:val="baseline"/>
        </w:rPr>
        <w:t> </w:t>
      </w:r>
      <w:r>
        <w:rPr>
          <w:i/>
          <w:color w:val="231F20"/>
          <w:vertAlign w:val="baseline"/>
        </w:rPr>
        <w:t>health</w:t>
      </w:r>
      <w:r>
        <w:rPr>
          <w:i/>
          <w:color w:val="231F20"/>
          <w:spacing w:val="-5"/>
          <w:vertAlign w:val="baseline"/>
        </w:rPr>
        <w:t> </w:t>
      </w:r>
      <w:r>
        <w:rPr>
          <w:i/>
          <w:color w:val="231F20"/>
          <w:vertAlign w:val="baseline"/>
        </w:rPr>
        <w:t>through</w:t>
      </w:r>
      <w:r>
        <w:rPr>
          <w:i/>
          <w:color w:val="231F20"/>
          <w:spacing w:val="-5"/>
          <w:vertAlign w:val="baseline"/>
        </w:rPr>
        <w:t> </w:t>
      </w:r>
      <w:r>
        <w:rPr>
          <w:i/>
          <w:color w:val="231F20"/>
          <w:vertAlign w:val="baseline"/>
        </w:rPr>
        <w:t>trauma-</w:t>
      </w:r>
      <w:r>
        <w:rPr>
          <w:i/>
          <w:color w:val="231F20"/>
          <w:spacing w:val="-52"/>
          <w:vertAlign w:val="baseline"/>
        </w:rPr>
        <w:t> </w:t>
      </w:r>
      <w:r>
        <w:rPr>
          <w:i/>
          <w:color w:val="231F20"/>
          <w:vertAlign w:val="baseline"/>
        </w:rPr>
        <w:t>informed care</w:t>
      </w:r>
      <w:r>
        <w:rPr>
          <w:color w:val="231F20"/>
          <w:vertAlign w:val="baseline"/>
        </w:rPr>
        <w:t>. </w:t>
      </w:r>
      <w:hyperlink r:id="rId305">
        <w:r>
          <w:rPr>
            <w:color w:val="3953A4"/>
            <w:u w:val="single" w:color="3953A4"/>
            <w:vertAlign w:val="baseline"/>
          </w:rPr>
          <w:t>https://bhta.hrsa.gov/resources/</w:t>
        </w:r>
      </w:hyperlink>
      <w:r>
        <w:rPr>
          <w:color w:val="3953A4"/>
          <w:spacing w:val="1"/>
          <w:vertAlign w:val="baseline"/>
        </w:rPr>
        <w:t> </w:t>
      </w:r>
      <w:hyperlink r:id="rId305">
        <w:r>
          <w:rPr>
            <w:color w:val="3953A4"/>
            <w:u w:val="single" w:color="3953A4"/>
            <w:vertAlign w:val="baseline"/>
          </w:rPr>
          <w:t>improving-health-through-trauma-informed-care</w:t>
        </w:r>
      </w:hyperlink>
    </w:p>
    <w:p>
      <w:pPr>
        <w:tabs>
          <w:tab w:pos="519" w:val="left" w:leader="none"/>
        </w:tabs>
        <w:spacing w:line="228" w:lineRule="auto" w:before="88"/>
        <w:ind w:left="520" w:right="868" w:hanging="360"/>
        <w:jc w:val="left"/>
        <w:rPr>
          <w:sz w:val="22"/>
        </w:rPr>
      </w:pPr>
      <w:r>
        <w:rPr>
          <w:color w:val="231F20"/>
          <w:sz w:val="22"/>
          <w:vertAlign w:val="superscript"/>
        </w:rPr>
        <w:t>46</w:t>
      </w:r>
      <w:r>
        <w:rPr>
          <w:color w:val="231F20"/>
          <w:sz w:val="22"/>
          <w:vertAlign w:val="baseline"/>
        </w:rPr>
        <w:tab/>
      </w:r>
      <w:r>
        <w:rPr>
          <w:color w:val="231F20"/>
          <w:spacing w:val="-1"/>
          <w:sz w:val="22"/>
          <w:vertAlign w:val="baseline"/>
        </w:rPr>
        <w:t>Substance Abuse and Mental Health Services</w:t>
      </w:r>
      <w:r>
        <w:rPr>
          <w:color w:val="231F20"/>
          <w:sz w:val="22"/>
          <w:vertAlign w:val="baseline"/>
        </w:rPr>
        <w:t> Administration. (2014). </w:t>
      </w:r>
      <w:r>
        <w:rPr>
          <w:i/>
          <w:color w:val="231F20"/>
          <w:sz w:val="22"/>
          <w:vertAlign w:val="baseline"/>
        </w:rPr>
        <w:t>Trauma-informed care in</w:t>
      </w:r>
      <w:r>
        <w:rPr>
          <w:i/>
          <w:color w:val="231F20"/>
          <w:spacing w:val="1"/>
          <w:sz w:val="22"/>
          <w:vertAlign w:val="baseline"/>
        </w:rPr>
        <w:t> </w:t>
      </w:r>
      <w:r>
        <w:rPr>
          <w:i/>
          <w:color w:val="231F20"/>
          <w:sz w:val="22"/>
          <w:vertAlign w:val="baseline"/>
        </w:rPr>
        <w:t>behavioral</w:t>
      </w:r>
      <w:r>
        <w:rPr>
          <w:i/>
          <w:color w:val="231F20"/>
          <w:spacing w:val="-9"/>
          <w:sz w:val="22"/>
          <w:vertAlign w:val="baseline"/>
        </w:rPr>
        <w:t> </w:t>
      </w:r>
      <w:r>
        <w:rPr>
          <w:i/>
          <w:color w:val="231F20"/>
          <w:sz w:val="22"/>
          <w:vertAlign w:val="baseline"/>
        </w:rPr>
        <w:t>health</w:t>
      </w:r>
      <w:r>
        <w:rPr>
          <w:i/>
          <w:color w:val="231F20"/>
          <w:spacing w:val="-9"/>
          <w:sz w:val="22"/>
          <w:vertAlign w:val="baseline"/>
        </w:rPr>
        <w:t> </w:t>
      </w:r>
      <w:r>
        <w:rPr>
          <w:i/>
          <w:color w:val="231F20"/>
          <w:sz w:val="22"/>
          <w:vertAlign w:val="baseline"/>
        </w:rPr>
        <w:t>services.</w:t>
      </w:r>
      <w:r>
        <w:rPr>
          <w:i/>
          <w:color w:val="231F20"/>
          <w:spacing w:val="-9"/>
          <w:sz w:val="22"/>
          <w:vertAlign w:val="baseline"/>
        </w:rPr>
        <w:t> </w:t>
      </w:r>
      <w:r>
        <w:rPr>
          <w:i/>
          <w:color w:val="231F20"/>
          <w:sz w:val="22"/>
          <w:vertAlign w:val="baseline"/>
        </w:rPr>
        <w:t>Treatment</w:t>
      </w:r>
      <w:r>
        <w:rPr>
          <w:i/>
          <w:color w:val="231F20"/>
          <w:spacing w:val="-9"/>
          <w:sz w:val="22"/>
          <w:vertAlign w:val="baseline"/>
        </w:rPr>
        <w:t> </w:t>
      </w:r>
      <w:r>
        <w:rPr>
          <w:i/>
          <w:color w:val="231F20"/>
          <w:sz w:val="22"/>
          <w:vertAlign w:val="baseline"/>
        </w:rPr>
        <w:t>Improvement</w:t>
      </w:r>
      <w:r>
        <w:rPr>
          <w:i/>
          <w:color w:val="231F20"/>
          <w:spacing w:val="-52"/>
          <w:sz w:val="22"/>
          <w:vertAlign w:val="baseline"/>
        </w:rPr>
        <w:t> </w:t>
      </w:r>
      <w:r>
        <w:rPr>
          <w:i/>
          <w:color w:val="231F20"/>
          <w:sz w:val="22"/>
          <w:vertAlign w:val="baseline"/>
        </w:rPr>
        <w:t>Protocol</w:t>
      </w:r>
      <w:r>
        <w:rPr>
          <w:i/>
          <w:color w:val="231F20"/>
          <w:spacing w:val="5"/>
          <w:sz w:val="22"/>
          <w:vertAlign w:val="baseline"/>
        </w:rPr>
        <w:t> </w:t>
      </w:r>
      <w:r>
        <w:rPr>
          <w:i/>
          <w:color w:val="231F20"/>
          <w:sz w:val="22"/>
          <w:vertAlign w:val="baseline"/>
        </w:rPr>
        <w:t>(TIP)</w:t>
      </w:r>
      <w:r>
        <w:rPr>
          <w:i/>
          <w:color w:val="231F20"/>
          <w:spacing w:val="5"/>
          <w:sz w:val="22"/>
          <w:vertAlign w:val="baseline"/>
        </w:rPr>
        <w:t> </w:t>
      </w:r>
      <w:r>
        <w:rPr>
          <w:i/>
          <w:color w:val="231F20"/>
          <w:sz w:val="22"/>
          <w:vertAlign w:val="baseline"/>
        </w:rPr>
        <w:t>series</w:t>
      </w:r>
      <w:r>
        <w:rPr>
          <w:i/>
          <w:color w:val="231F20"/>
          <w:spacing w:val="4"/>
          <w:sz w:val="22"/>
          <w:vertAlign w:val="baseline"/>
        </w:rPr>
        <w:t> </w:t>
      </w:r>
      <w:r>
        <w:rPr>
          <w:i/>
          <w:color w:val="231F20"/>
          <w:sz w:val="22"/>
          <w:vertAlign w:val="baseline"/>
        </w:rPr>
        <w:t>57.</w:t>
      </w:r>
      <w:r>
        <w:rPr>
          <w:color w:val="231F20"/>
          <w:sz w:val="22"/>
          <w:vertAlign w:val="baseline"/>
        </w:rPr>
        <w:t>U.S.</w:t>
      </w:r>
      <w:r>
        <w:rPr>
          <w:color w:val="231F20"/>
          <w:spacing w:val="4"/>
          <w:sz w:val="22"/>
          <w:vertAlign w:val="baseline"/>
        </w:rPr>
        <w:t> </w:t>
      </w:r>
      <w:r>
        <w:rPr>
          <w:color w:val="231F20"/>
          <w:sz w:val="22"/>
          <w:vertAlign w:val="baseline"/>
        </w:rPr>
        <w:t>Department</w:t>
      </w:r>
      <w:r>
        <w:rPr>
          <w:color w:val="231F20"/>
          <w:spacing w:val="4"/>
          <w:sz w:val="22"/>
          <w:vertAlign w:val="baseline"/>
        </w:rPr>
        <w:t> </w:t>
      </w:r>
      <w:r>
        <w:rPr>
          <w:color w:val="231F20"/>
          <w:sz w:val="22"/>
          <w:vertAlign w:val="baseline"/>
        </w:rPr>
        <w:t>of</w:t>
      </w:r>
      <w:r>
        <w:rPr>
          <w:color w:val="231F20"/>
          <w:spacing w:val="1"/>
          <w:sz w:val="22"/>
          <w:vertAlign w:val="baseline"/>
        </w:rPr>
        <w:t> </w:t>
      </w:r>
      <w:r>
        <w:rPr>
          <w:color w:val="231F20"/>
          <w:sz w:val="22"/>
          <w:vertAlign w:val="baseline"/>
        </w:rPr>
        <w:t>Health and Human Services. </w:t>
      </w:r>
      <w:hyperlink r:id="rId306">
        <w:r>
          <w:rPr>
            <w:color w:val="3953A4"/>
            <w:sz w:val="22"/>
            <w:u w:val="single" w:color="3953A4"/>
            <w:vertAlign w:val="baseline"/>
          </w:rPr>
          <w:t>https://store.samhsa.</w:t>
        </w:r>
      </w:hyperlink>
      <w:r>
        <w:rPr>
          <w:color w:val="3953A4"/>
          <w:spacing w:val="1"/>
          <w:sz w:val="22"/>
          <w:vertAlign w:val="baseline"/>
        </w:rPr>
        <w:t> </w:t>
      </w:r>
      <w:hyperlink r:id="rId306">
        <w:r>
          <w:rPr>
            <w:color w:val="3953A4"/>
            <w:sz w:val="22"/>
            <w:u w:val="single" w:color="3953A4"/>
            <w:vertAlign w:val="baseline"/>
          </w:rPr>
          <w:t>gov/product/TIP-57-Trauma-Informed-Care-in-</w:t>
        </w:r>
      </w:hyperlink>
      <w:r>
        <w:rPr>
          <w:color w:val="3953A4"/>
          <w:spacing w:val="1"/>
          <w:sz w:val="22"/>
          <w:vertAlign w:val="baseline"/>
        </w:rPr>
        <w:t> </w:t>
      </w:r>
      <w:hyperlink r:id="rId306">
        <w:r>
          <w:rPr>
            <w:color w:val="3953A4"/>
            <w:sz w:val="22"/>
            <w:u w:val="single" w:color="3953A4"/>
            <w:vertAlign w:val="baseline"/>
          </w:rPr>
          <w:t>Behavioral-Health-Services/SMA14-481</w:t>
        </w:r>
      </w:hyperlink>
      <w:r>
        <w:rPr>
          <w:color w:val="3953A4"/>
          <w:sz w:val="22"/>
          <w:u w:val="single" w:color="3953A4"/>
          <w:vertAlign w:val="baseline"/>
        </w:rPr>
        <w:t>6</w:t>
      </w:r>
      <w:r>
        <w:rPr>
          <w:color w:val="3953A4"/>
          <w:spacing w:val="-1"/>
          <w:sz w:val="22"/>
          <w:u w:val="single" w:color="3953A4"/>
          <w:vertAlign w:val="baseline"/>
        </w:rPr>
        <w:t> </w:t>
      </w:r>
    </w:p>
    <w:p>
      <w:pPr>
        <w:tabs>
          <w:tab w:pos="519" w:val="left" w:leader="none"/>
        </w:tabs>
        <w:spacing w:line="228" w:lineRule="auto" w:before="88"/>
        <w:ind w:left="520" w:right="752" w:hanging="360"/>
        <w:jc w:val="left"/>
        <w:rPr>
          <w:sz w:val="22"/>
        </w:rPr>
      </w:pPr>
      <w:r>
        <w:rPr>
          <w:color w:val="231F20"/>
          <w:sz w:val="22"/>
          <w:vertAlign w:val="superscript"/>
        </w:rPr>
        <w:t>47</w:t>
      </w:r>
      <w:r>
        <w:rPr>
          <w:color w:val="231F20"/>
          <w:sz w:val="22"/>
          <w:vertAlign w:val="baseline"/>
        </w:rPr>
        <w:tab/>
        <w:t>Pellowski, J. A. (2013). Barriers to care for rural</w:t>
      </w:r>
      <w:r>
        <w:rPr>
          <w:color w:val="231F20"/>
          <w:spacing w:val="1"/>
          <w:sz w:val="22"/>
          <w:vertAlign w:val="baseline"/>
        </w:rPr>
        <w:t> </w:t>
      </w:r>
      <w:r>
        <w:rPr>
          <w:color w:val="231F20"/>
          <w:spacing w:val="-1"/>
          <w:sz w:val="22"/>
          <w:vertAlign w:val="baseline"/>
        </w:rPr>
        <w:t>people </w:t>
      </w:r>
      <w:r>
        <w:rPr>
          <w:color w:val="231F20"/>
          <w:sz w:val="22"/>
          <w:vertAlign w:val="baseline"/>
        </w:rPr>
        <w:t>living with HIV: A review of domestic</w:t>
      </w:r>
      <w:r>
        <w:rPr>
          <w:color w:val="231F20"/>
          <w:spacing w:val="1"/>
          <w:sz w:val="22"/>
          <w:vertAlign w:val="baseline"/>
        </w:rPr>
        <w:t> </w:t>
      </w:r>
      <w:r>
        <w:rPr>
          <w:color w:val="231F20"/>
          <w:sz w:val="22"/>
          <w:vertAlign w:val="baseline"/>
        </w:rPr>
        <w:t>research and health care models. </w:t>
      </w:r>
      <w:r>
        <w:rPr>
          <w:i/>
          <w:color w:val="231F20"/>
          <w:sz w:val="22"/>
          <w:vertAlign w:val="baseline"/>
        </w:rPr>
        <w:t>Journal of the</w:t>
      </w:r>
      <w:r>
        <w:rPr>
          <w:i/>
          <w:color w:val="231F20"/>
          <w:spacing w:val="1"/>
          <w:sz w:val="22"/>
          <w:vertAlign w:val="baseline"/>
        </w:rPr>
        <w:t> </w:t>
      </w:r>
      <w:r>
        <w:rPr>
          <w:i/>
          <w:color w:val="231F20"/>
          <w:sz w:val="22"/>
          <w:vertAlign w:val="baseline"/>
        </w:rPr>
        <w:t>Association</w:t>
      </w:r>
      <w:r>
        <w:rPr>
          <w:i/>
          <w:color w:val="231F20"/>
          <w:spacing w:val="-4"/>
          <w:sz w:val="22"/>
          <w:vertAlign w:val="baseline"/>
        </w:rPr>
        <w:t> </w:t>
      </w:r>
      <w:r>
        <w:rPr>
          <w:i/>
          <w:color w:val="231F20"/>
          <w:sz w:val="22"/>
          <w:vertAlign w:val="baseline"/>
        </w:rPr>
        <w:t>of</w:t>
      </w:r>
      <w:r>
        <w:rPr>
          <w:i/>
          <w:color w:val="231F20"/>
          <w:spacing w:val="-3"/>
          <w:sz w:val="22"/>
          <w:vertAlign w:val="baseline"/>
        </w:rPr>
        <w:t> </w:t>
      </w:r>
      <w:r>
        <w:rPr>
          <w:i/>
          <w:color w:val="231F20"/>
          <w:sz w:val="22"/>
          <w:vertAlign w:val="baseline"/>
        </w:rPr>
        <w:t>Nurses</w:t>
      </w:r>
      <w:r>
        <w:rPr>
          <w:i/>
          <w:color w:val="231F20"/>
          <w:spacing w:val="-3"/>
          <w:sz w:val="22"/>
          <w:vertAlign w:val="baseline"/>
        </w:rPr>
        <w:t> </w:t>
      </w:r>
      <w:r>
        <w:rPr>
          <w:i/>
          <w:color w:val="231F20"/>
          <w:sz w:val="22"/>
          <w:vertAlign w:val="baseline"/>
        </w:rPr>
        <w:t>in</w:t>
      </w:r>
      <w:r>
        <w:rPr>
          <w:i/>
          <w:color w:val="231F20"/>
          <w:spacing w:val="-8"/>
          <w:sz w:val="22"/>
          <w:vertAlign w:val="baseline"/>
        </w:rPr>
        <w:t> </w:t>
      </w:r>
      <w:r>
        <w:rPr>
          <w:i/>
          <w:color w:val="231F20"/>
          <w:sz w:val="22"/>
          <w:vertAlign w:val="baseline"/>
        </w:rPr>
        <w:t>AIDS</w:t>
      </w:r>
      <w:r>
        <w:rPr>
          <w:i/>
          <w:color w:val="231F20"/>
          <w:spacing w:val="-3"/>
          <w:sz w:val="22"/>
          <w:vertAlign w:val="baseline"/>
        </w:rPr>
        <w:t> </w:t>
      </w:r>
      <w:r>
        <w:rPr>
          <w:i/>
          <w:color w:val="231F20"/>
          <w:sz w:val="22"/>
          <w:vertAlign w:val="baseline"/>
        </w:rPr>
        <w:t>Care,</w:t>
      </w:r>
      <w:r>
        <w:rPr>
          <w:i/>
          <w:color w:val="231F20"/>
          <w:spacing w:val="-4"/>
          <w:sz w:val="22"/>
          <w:vertAlign w:val="baseline"/>
        </w:rPr>
        <w:t> </w:t>
      </w:r>
      <w:r>
        <w:rPr>
          <w:i/>
          <w:color w:val="231F20"/>
          <w:sz w:val="22"/>
          <w:vertAlign w:val="baseline"/>
        </w:rPr>
        <w:t>24</w:t>
      </w:r>
      <w:r>
        <w:rPr>
          <w:color w:val="231F20"/>
          <w:sz w:val="22"/>
          <w:vertAlign w:val="baseline"/>
        </w:rPr>
        <w:t>(5),</w:t>
      </w:r>
      <w:r>
        <w:rPr>
          <w:color w:val="231F20"/>
          <w:spacing w:val="-3"/>
          <w:sz w:val="22"/>
          <w:vertAlign w:val="baseline"/>
        </w:rPr>
        <w:t> </w:t>
      </w:r>
      <w:r>
        <w:rPr>
          <w:color w:val="231F20"/>
          <w:sz w:val="22"/>
          <w:vertAlign w:val="baseline"/>
        </w:rPr>
        <w:t>422-437.</w:t>
      </w:r>
      <w:r>
        <w:rPr>
          <w:color w:val="231F20"/>
          <w:spacing w:val="-52"/>
          <w:sz w:val="22"/>
          <w:vertAlign w:val="baseline"/>
        </w:rPr>
        <w:t> </w:t>
      </w:r>
      <w:hyperlink r:id="rId307">
        <w:r>
          <w:rPr>
            <w:color w:val="3953A4"/>
            <w:sz w:val="22"/>
            <w:u w:val="single" w:color="3953A4"/>
            <w:vertAlign w:val="baseline"/>
          </w:rPr>
          <w:t>https://doi.org/10.1016/j.jana.2012.08.007</w:t>
        </w:r>
      </w:hyperlink>
    </w:p>
    <w:p>
      <w:pPr>
        <w:spacing w:after="0" w:line="228" w:lineRule="auto"/>
        <w:jc w:val="left"/>
        <w:rPr>
          <w:sz w:val="22"/>
        </w:rPr>
        <w:sectPr>
          <w:type w:val="continuous"/>
          <w:pgSz w:w="12240" w:h="15840"/>
          <w:pgMar w:header="0" w:footer="666" w:top="1500" w:bottom="0" w:left="560" w:right="0"/>
          <w:cols w:num="2" w:equalWidth="0">
            <w:col w:w="5206" w:space="554"/>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pStyle w:val="BodyText"/>
        <w:tabs>
          <w:tab w:pos="519" w:val="left" w:leader="none"/>
        </w:tabs>
        <w:spacing w:line="228" w:lineRule="auto" w:before="101"/>
        <w:ind w:left="520" w:right="269" w:hanging="360"/>
      </w:pPr>
      <w:r>
        <w:rPr>
          <w:color w:val="231F20"/>
          <w:vertAlign w:val="superscript"/>
        </w:rPr>
        <w:t>49</w:t>
      </w:r>
      <w:r>
        <w:rPr>
          <w:color w:val="231F20"/>
          <w:vertAlign w:val="baseline"/>
        </w:rPr>
        <w:tab/>
        <w:t>Dandachi, D., Lee, C., Morgan, R. O., Tavakoli-</w:t>
      </w:r>
      <w:r>
        <w:rPr>
          <w:color w:val="231F20"/>
          <w:spacing w:val="1"/>
          <w:vertAlign w:val="baseline"/>
        </w:rPr>
        <w:t> </w:t>
      </w:r>
      <w:r>
        <w:rPr>
          <w:color w:val="231F20"/>
          <w:spacing w:val="-1"/>
          <w:vertAlign w:val="baseline"/>
        </w:rPr>
        <w:t>Tabasi,</w:t>
      </w:r>
      <w:r>
        <w:rPr>
          <w:color w:val="231F20"/>
          <w:spacing w:val="-10"/>
          <w:vertAlign w:val="baseline"/>
        </w:rPr>
        <w:t> </w:t>
      </w:r>
      <w:r>
        <w:rPr>
          <w:color w:val="231F20"/>
          <w:spacing w:val="-1"/>
          <w:vertAlign w:val="baseline"/>
        </w:rPr>
        <w:t>S.,</w:t>
      </w:r>
      <w:r>
        <w:rPr>
          <w:color w:val="231F20"/>
          <w:spacing w:val="-10"/>
          <w:vertAlign w:val="baseline"/>
        </w:rPr>
        <w:t> </w:t>
      </w:r>
      <w:r>
        <w:rPr>
          <w:color w:val="231F20"/>
          <w:vertAlign w:val="baseline"/>
        </w:rPr>
        <w:t>Giordano,</w:t>
      </w:r>
      <w:r>
        <w:rPr>
          <w:color w:val="231F20"/>
          <w:spacing w:val="-14"/>
          <w:vertAlign w:val="baseline"/>
        </w:rPr>
        <w:t> </w:t>
      </w:r>
      <w:r>
        <w:rPr>
          <w:color w:val="231F20"/>
          <w:vertAlign w:val="baseline"/>
        </w:rPr>
        <w:t>T.</w:t>
      </w:r>
      <w:r>
        <w:rPr>
          <w:color w:val="231F20"/>
          <w:spacing w:val="-9"/>
          <w:vertAlign w:val="baseline"/>
        </w:rPr>
        <w:t> </w:t>
      </w:r>
      <w:r>
        <w:rPr>
          <w:color w:val="231F20"/>
          <w:vertAlign w:val="baseline"/>
        </w:rPr>
        <w:t>P.,</w:t>
      </w:r>
      <w:r>
        <w:rPr>
          <w:color w:val="231F20"/>
          <w:spacing w:val="-9"/>
          <w:vertAlign w:val="baseline"/>
        </w:rPr>
        <w:t> </w:t>
      </w:r>
      <w:r>
        <w:rPr>
          <w:color w:val="231F20"/>
          <w:vertAlign w:val="baseline"/>
        </w:rPr>
        <w:t>&amp;</w:t>
      </w:r>
      <w:r>
        <w:rPr>
          <w:color w:val="231F20"/>
          <w:spacing w:val="-10"/>
          <w:vertAlign w:val="baseline"/>
        </w:rPr>
        <w:t> </w:t>
      </w:r>
      <w:r>
        <w:rPr>
          <w:color w:val="231F20"/>
          <w:vertAlign w:val="baseline"/>
        </w:rPr>
        <w:t>Rodriguez-Barradas,</w:t>
      </w:r>
    </w:p>
    <w:p>
      <w:pPr>
        <w:pStyle w:val="BodyText"/>
        <w:spacing w:line="228" w:lineRule="auto"/>
        <w:ind w:left="519" w:right="38"/>
      </w:pPr>
      <w:r>
        <w:rPr>
          <w:color w:val="231F20"/>
        </w:rPr>
        <w:t>M.</w:t>
      </w:r>
      <w:r>
        <w:rPr>
          <w:color w:val="231F20"/>
          <w:spacing w:val="-2"/>
        </w:rPr>
        <w:t> </w:t>
      </w:r>
      <w:r>
        <w:rPr>
          <w:color w:val="231F20"/>
        </w:rPr>
        <w:t>C.</w:t>
      </w:r>
      <w:r>
        <w:rPr>
          <w:color w:val="231F20"/>
          <w:spacing w:val="-2"/>
        </w:rPr>
        <w:t> </w:t>
      </w:r>
      <w:r>
        <w:rPr>
          <w:color w:val="231F20"/>
        </w:rPr>
        <w:t>(2019).</w:t>
      </w:r>
      <w:r>
        <w:rPr>
          <w:color w:val="231F20"/>
          <w:spacing w:val="-2"/>
        </w:rPr>
        <w:t> </w:t>
      </w:r>
      <w:r>
        <w:rPr>
          <w:color w:val="231F20"/>
        </w:rPr>
        <w:t>Integration</w:t>
      </w:r>
      <w:r>
        <w:rPr>
          <w:color w:val="231F20"/>
          <w:spacing w:val="-2"/>
        </w:rPr>
        <w:t> </w:t>
      </w:r>
      <w:r>
        <w:rPr>
          <w:color w:val="231F20"/>
        </w:rPr>
        <w:t>of</w:t>
      </w:r>
      <w:r>
        <w:rPr>
          <w:color w:val="231F20"/>
          <w:spacing w:val="-2"/>
        </w:rPr>
        <w:t> </w:t>
      </w:r>
      <w:r>
        <w:rPr>
          <w:color w:val="231F20"/>
        </w:rPr>
        <w:t>telehealth</w:t>
      </w:r>
      <w:r>
        <w:rPr>
          <w:color w:val="231F20"/>
          <w:spacing w:val="-2"/>
        </w:rPr>
        <w:t> </w:t>
      </w:r>
      <w:r>
        <w:rPr>
          <w:color w:val="231F20"/>
        </w:rPr>
        <w:t>services</w:t>
      </w:r>
      <w:r>
        <w:rPr>
          <w:color w:val="231F20"/>
          <w:spacing w:val="-2"/>
        </w:rPr>
        <w:t> </w:t>
      </w:r>
      <w:r>
        <w:rPr>
          <w:color w:val="231F20"/>
        </w:rPr>
        <w:t>in</w:t>
      </w:r>
      <w:r>
        <w:rPr>
          <w:color w:val="231F20"/>
          <w:spacing w:val="-2"/>
        </w:rPr>
        <w:t> </w:t>
      </w:r>
      <w:r>
        <w:rPr>
          <w:color w:val="231F20"/>
        </w:rPr>
        <w:t>the</w:t>
      </w:r>
      <w:r>
        <w:rPr>
          <w:color w:val="231F20"/>
          <w:spacing w:val="-52"/>
        </w:rPr>
        <w:t> </w:t>
      </w:r>
      <w:r>
        <w:rPr>
          <w:color w:val="231F20"/>
        </w:rPr>
        <w:t>healthcare system: With emphasis on the experience</w:t>
      </w:r>
      <w:r>
        <w:rPr>
          <w:color w:val="231F20"/>
          <w:spacing w:val="1"/>
        </w:rPr>
        <w:t> </w:t>
      </w:r>
      <w:r>
        <w:rPr>
          <w:color w:val="231F20"/>
        </w:rPr>
        <w:t>of patients living with HIV. </w:t>
      </w:r>
      <w:r>
        <w:rPr>
          <w:i/>
          <w:color w:val="231F20"/>
        </w:rPr>
        <w:t>Journal of Investigative</w:t>
      </w:r>
      <w:r>
        <w:rPr>
          <w:i/>
          <w:color w:val="231F20"/>
          <w:spacing w:val="1"/>
        </w:rPr>
        <w:t> </w:t>
      </w:r>
      <w:r>
        <w:rPr>
          <w:i/>
          <w:color w:val="231F20"/>
        </w:rPr>
        <w:t>Medicine, 67</w:t>
      </w:r>
      <w:r>
        <w:rPr>
          <w:color w:val="231F20"/>
        </w:rPr>
        <w:t>(5), 815-820.</w:t>
      </w:r>
      <w:r>
        <w:rPr>
          <w:color w:val="3953A4"/>
        </w:rPr>
        <w:t> </w:t>
      </w:r>
      <w:hyperlink r:id="rId308">
        <w:r>
          <w:rPr>
            <w:color w:val="3953A4"/>
            <w:u w:val="single" w:color="3953A4"/>
          </w:rPr>
          <w:t>https://doi.org/10.1136/</w:t>
        </w:r>
      </w:hyperlink>
      <w:r>
        <w:rPr>
          <w:color w:val="3953A4"/>
          <w:spacing w:val="1"/>
        </w:rPr>
        <w:t> </w:t>
      </w:r>
      <w:hyperlink r:id="rId308">
        <w:r>
          <w:rPr>
            <w:color w:val="3953A4"/>
            <w:u w:val="single" w:color="3953A4"/>
          </w:rPr>
          <w:t>jim-2018-000872</w:t>
        </w:r>
      </w:hyperlink>
    </w:p>
    <w:p>
      <w:pPr>
        <w:pStyle w:val="BodyText"/>
        <w:tabs>
          <w:tab w:pos="519" w:val="left" w:leader="none"/>
        </w:tabs>
        <w:spacing w:line="228" w:lineRule="auto" w:before="88"/>
        <w:ind w:left="520" w:right="86" w:hanging="360"/>
      </w:pPr>
      <w:r>
        <w:rPr>
          <w:color w:val="231F20"/>
          <w:vertAlign w:val="superscript"/>
        </w:rPr>
        <w:t>50</w:t>
      </w:r>
      <w:r>
        <w:rPr>
          <w:color w:val="231F20"/>
          <w:vertAlign w:val="baseline"/>
        </w:rPr>
        <w:tab/>
      </w:r>
      <w:r>
        <w:rPr>
          <w:color w:val="231F20"/>
          <w:spacing w:val="-2"/>
          <w:vertAlign w:val="baseline"/>
        </w:rPr>
        <w:t>Himelhoch, S., Medoff, </w:t>
      </w:r>
      <w:r>
        <w:rPr>
          <w:color w:val="231F20"/>
          <w:spacing w:val="-1"/>
          <w:vertAlign w:val="baseline"/>
        </w:rPr>
        <w:t>D., Maxfield, J., Dihmes, S.,</w:t>
      </w:r>
      <w:r>
        <w:rPr>
          <w:color w:val="231F20"/>
          <w:spacing w:val="-52"/>
          <w:vertAlign w:val="baseline"/>
        </w:rPr>
        <w:t> </w:t>
      </w:r>
      <w:r>
        <w:rPr>
          <w:color w:val="231F20"/>
          <w:spacing w:val="-1"/>
          <w:vertAlign w:val="baseline"/>
        </w:rPr>
        <w:t>Dixon, L., Robinson, </w:t>
      </w:r>
      <w:r>
        <w:rPr>
          <w:color w:val="231F20"/>
          <w:vertAlign w:val="baseline"/>
        </w:rPr>
        <w:t>C., Potts, W., &amp; Mohr, D. C.</w:t>
      </w:r>
      <w:r>
        <w:rPr>
          <w:color w:val="231F20"/>
          <w:spacing w:val="1"/>
          <w:vertAlign w:val="baseline"/>
        </w:rPr>
        <w:t> </w:t>
      </w:r>
      <w:r>
        <w:rPr>
          <w:color w:val="231F20"/>
          <w:spacing w:val="-2"/>
          <w:vertAlign w:val="baseline"/>
        </w:rPr>
        <w:t>(2013).</w:t>
      </w:r>
      <w:r>
        <w:rPr>
          <w:color w:val="231F20"/>
          <w:spacing w:val="-12"/>
          <w:vertAlign w:val="baseline"/>
        </w:rPr>
        <w:t> </w:t>
      </w:r>
      <w:r>
        <w:rPr>
          <w:color w:val="231F20"/>
          <w:spacing w:val="-2"/>
          <w:vertAlign w:val="baseline"/>
        </w:rPr>
        <w:t>Telephone</w:t>
      </w:r>
      <w:r>
        <w:rPr>
          <w:color w:val="231F20"/>
          <w:spacing w:val="-8"/>
          <w:vertAlign w:val="baseline"/>
        </w:rPr>
        <w:t> </w:t>
      </w:r>
      <w:r>
        <w:rPr>
          <w:color w:val="231F20"/>
          <w:spacing w:val="-2"/>
          <w:vertAlign w:val="baseline"/>
        </w:rPr>
        <w:t>based</w:t>
      </w:r>
      <w:r>
        <w:rPr>
          <w:color w:val="231F20"/>
          <w:spacing w:val="-8"/>
          <w:vertAlign w:val="baseline"/>
        </w:rPr>
        <w:t> </w:t>
      </w:r>
      <w:r>
        <w:rPr>
          <w:color w:val="231F20"/>
          <w:spacing w:val="-2"/>
          <w:vertAlign w:val="baseline"/>
        </w:rPr>
        <w:t>cognitive</w:t>
      </w:r>
      <w:r>
        <w:rPr>
          <w:color w:val="231F20"/>
          <w:spacing w:val="-8"/>
          <w:vertAlign w:val="baseline"/>
        </w:rPr>
        <w:t> </w:t>
      </w:r>
      <w:r>
        <w:rPr>
          <w:color w:val="231F20"/>
          <w:spacing w:val="-2"/>
          <w:vertAlign w:val="baseline"/>
        </w:rPr>
        <w:t>behavioral</w:t>
      </w:r>
      <w:r>
        <w:rPr>
          <w:color w:val="231F20"/>
          <w:spacing w:val="-8"/>
          <w:vertAlign w:val="baseline"/>
        </w:rPr>
        <w:t> </w:t>
      </w:r>
      <w:r>
        <w:rPr>
          <w:color w:val="231F20"/>
          <w:spacing w:val="-2"/>
          <w:vertAlign w:val="baseline"/>
        </w:rPr>
        <w:t>therapy</w:t>
      </w:r>
      <w:r>
        <w:rPr>
          <w:color w:val="231F20"/>
          <w:spacing w:val="-52"/>
          <w:vertAlign w:val="baseline"/>
        </w:rPr>
        <w:t> </w:t>
      </w:r>
      <w:r>
        <w:rPr>
          <w:color w:val="231F20"/>
          <w:vertAlign w:val="baseline"/>
        </w:rPr>
        <w:t>targeting major depression among urban dwelling,</w:t>
      </w:r>
      <w:r>
        <w:rPr>
          <w:color w:val="231F20"/>
          <w:spacing w:val="1"/>
          <w:vertAlign w:val="baseline"/>
        </w:rPr>
        <w:t> </w:t>
      </w:r>
      <w:r>
        <w:rPr>
          <w:color w:val="231F20"/>
          <w:vertAlign w:val="baseline"/>
        </w:rPr>
        <w:t>low</w:t>
      </w:r>
      <w:r>
        <w:rPr>
          <w:color w:val="231F20"/>
          <w:spacing w:val="-12"/>
          <w:vertAlign w:val="baseline"/>
        </w:rPr>
        <w:t> </w:t>
      </w:r>
      <w:r>
        <w:rPr>
          <w:color w:val="231F20"/>
          <w:vertAlign w:val="baseline"/>
        </w:rPr>
        <w:t>income</w:t>
      </w:r>
      <w:r>
        <w:rPr>
          <w:color w:val="231F20"/>
          <w:spacing w:val="-11"/>
          <w:vertAlign w:val="baseline"/>
        </w:rPr>
        <w:t> </w:t>
      </w:r>
      <w:r>
        <w:rPr>
          <w:color w:val="231F20"/>
          <w:vertAlign w:val="baseline"/>
        </w:rPr>
        <w:t>people</w:t>
      </w:r>
      <w:r>
        <w:rPr>
          <w:color w:val="231F20"/>
          <w:spacing w:val="-11"/>
          <w:vertAlign w:val="baseline"/>
        </w:rPr>
        <w:t> </w:t>
      </w:r>
      <w:r>
        <w:rPr>
          <w:color w:val="231F20"/>
          <w:vertAlign w:val="baseline"/>
        </w:rPr>
        <w:t>living</w:t>
      </w:r>
      <w:r>
        <w:rPr>
          <w:color w:val="231F20"/>
          <w:spacing w:val="-11"/>
          <w:vertAlign w:val="baseline"/>
        </w:rPr>
        <w:t> </w:t>
      </w:r>
      <w:r>
        <w:rPr>
          <w:color w:val="231F20"/>
          <w:vertAlign w:val="baseline"/>
        </w:rPr>
        <w:t>with</w:t>
      </w:r>
      <w:r>
        <w:rPr>
          <w:color w:val="231F20"/>
          <w:spacing w:val="-12"/>
          <w:vertAlign w:val="baseline"/>
        </w:rPr>
        <w:t> </w:t>
      </w:r>
      <w:r>
        <w:rPr>
          <w:color w:val="231F20"/>
          <w:vertAlign w:val="baseline"/>
        </w:rPr>
        <w:t>HIV/AIDS:</w:t>
      </w:r>
      <w:r>
        <w:rPr>
          <w:color w:val="231F20"/>
          <w:spacing w:val="-13"/>
          <w:vertAlign w:val="baseline"/>
        </w:rPr>
        <w:t> </w:t>
      </w:r>
      <w:r>
        <w:rPr>
          <w:color w:val="231F20"/>
          <w:vertAlign w:val="baseline"/>
        </w:rPr>
        <w:t>Results</w:t>
      </w:r>
    </w:p>
    <w:p>
      <w:pPr>
        <w:spacing w:line="228" w:lineRule="auto" w:before="0"/>
        <w:ind w:left="520" w:right="166" w:firstLine="0"/>
        <w:jc w:val="left"/>
        <w:rPr>
          <w:sz w:val="22"/>
        </w:rPr>
      </w:pPr>
      <w:r>
        <w:rPr>
          <w:color w:val="231F20"/>
          <w:spacing w:val="-2"/>
          <w:sz w:val="22"/>
        </w:rPr>
        <w:t>of</w:t>
      </w:r>
      <w:r>
        <w:rPr>
          <w:color w:val="231F20"/>
          <w:spacing w:val="-12"/>
          <w:sz w:val="22"/>
        </w:rPr>
        <w:t> </w:t>
      </w:r>
      <w:r>
        <w:rPr>
          <w:color w:val="231F20"/>
          <w:spacing w:val="-2"/>
          <w:sz w:val="22"/>
        </w:rPr>
        <w:t>a</w:t>
      </w:r>
      <w:r>
        <w:rPr>
          <w:color w:val="231F20"/>
          <w:spacing w:val="-12"/>
          <w:sz w:val="22"/>
        </w:rPr>
        <w:t> </w:t>
      </w:r>
      <w:r>
        <w:rPr>
          <w:color w:val="231F20"/>
          <w:spacing w:val="-2"/>
          <w:sz w:val="22"/>
        </w:rPr>
        <w:t>randomized</w:t>
      </w:r>
      <w:r>
        <w:rPr>
          <w:color w:val="231F20"/>
          <w:spacing w:val="-11"/>
          <w:sz w:val="22"/>
        </w:rPr>
        <w:t> </w:t>
      </w:r>
      <w:r>
        <w:rPr>
          <w:color w:val="231F20"/>
          <w:spacing w:val="-1"/>
          <w:sz w:val="22"/>
        </w:rPr>
        <w:t>controlled</w:t>
      </w:r>
      <w:r>
        <w:rPr>
          <w:color w:val="231F20"/>
          <w:spacing w:val="-12"/>
          <w:sz w:val="22"/>
        </w:rPr>
        <w:t> </w:t>
      </w:r>
      <w:r>
        <w:rPr>
          <w:color w:val="231F20"/>
          <w:spacing w:val="-1"/>
          <w:sz w:val="22"/>
        </w:rPr>
        <w:t>trial.</w:t>
      </w:r>
      <w:r>
        <w:rPr>
          <w:color w:val="231F20"/>
          <w:spacing w:val="-12"/>
          <w:sz w:val="22"/>
        </w:rPr>
        <w:t> </w:t>
      </w:r>
      <w:r>
        <w:rPr>
          <w:i/>
          <w:color w:val="231F20"/>
          <w:spacing w:val="-1"/>
          <w:sz w:val="22"/>
        </w:rPr>
        <w:t>AIDS</w:t>
      </w:r>
      <w:r>
        <w:rPr>
          <w:i/>
          <w:color w:val="231F20"/>
          <w:spacing w:val="-12"/>
          <w:sz w:val="22"/>
        </w:rPr>
        <w:t> </w:t>
      </w:r>
      <w:r>
        <w:rPr>
          <w:i/>
          <w:color w:val="231F20"/>
          <w:spacing w:val="-1"/>
          <w:sz w:val="22"/>
        </w:rPr>
        <w:t>and</w:t>
      </w:r>
      <w:r>
        <w:rPr>
          <w:i/>
          <w:color w:val="231F20"/>
          <w:spacing w:val="-11"/>
          <w:sz w:val="22"/>
        </w:rPr>
        <w:t> </w:t>
      </w:r>
      <w:r>
        <w:rPr>
          <w:i/>
          <w:color w:val="231F20"/>
          <w:spacing w:val="-1"/>
          <w:sz w:val="22"/>
        </w:rPr>
        <w:t>Behavior,</w:t>
      </w:r>
      <w:r>
        <w:rPr>
          <w:i/>
          <w:color w:val="231F20"/>
          <w:spacing w:val="-52"/>
          <w:sz w:val="22"/>
        </w:rPr>
        <w:t> </w:t>
      </w:r>
      <w:r>
        <w:rPr>
          <w:i/>
          <w:color w:val="231F20"/>
          <w:spacing w:val="-1"/>
          <w:sz w:val="22"/>
        </w:rPr>
        <w:t>17</w:t>
      </w:r>
      <w:r>
        <w:rPr>
          <w:color w:val="231F20"/>
          <w:spacing w:val="-1"/>
          <w:sz w:val="22"/>
        </w:rPr>
        <w:t>(8),</w:t>
      </w:r>
      <w:r>
        <w:rPr>
          <w:color w:val="231F20"/>
          <w:spacing w:val="-12"/>
          <w:sz w:val="22"/>
        </w:rPr>
        <w:t> </w:t>
      </w:r>
      <w:r>
        <w:rPr>
          <w:color w:val="231F20"/>
          <w:spacing w:val="-1"/>
          <w:sz w:val="22"/>
        </w:rPr>
        <w:t>2756-2764.</w:t>
      </w:r>
      <w:r>
        <w:rPr>
          <w:color w:val="231F20"/>
          <w:spacing w:val="-12"/>
          <w:sz w:val="22"/>
        </w:rPr>
        <w:t> </w:t>
      </w:r>
      <w:hyperlink r:id="rId309">
        <w:r>
          <w:rPr>
            <w:color w:val="3953A4"/>
            <w:spacing w:val="-1"/>
            <w:sz w:val="22"/>
            <w:u w:val="single" w:color="3953A4"/>
          </w:rPr>
          <w:t>https://doi.org/10.1007/s10461-</w:t>
        </w:r>
      </w:hyperlink>
    </w:p>
    <w:p>
      <w:pPr>
        <w:pStyle w:val="BodyText"/>
        <w:spacing w:line="242" w:lineRule="exact"/>
        <w:ind w:left="520"/>
      </w:pPr>
      <w:hyperlink r:id="rId309">
        <w:r>
          <w:rPr>
            <w:color w:val="3953A4"/>
            <w:u w:val="single" w:color="3953A4"/>
          </w:rPr>
          <w:t>013-0465-5</w:t>
        </w:r>
      </w:hyperlink>
    </w:p>
    <w:p>
      <w:pPr>
        <w:pStyle w:val="BodyText"/>
        <w:tabs>
          <w:tab w:pos="519" w:val="left" w:leader="none"/>
        </w:tabs>
        <w:spacing w:line="228" w:lineRule="auto" w:before="85"/>
        <w:ind w:left="520" w:right="42" w:hanging="360"/>
      </w:pPr>
      <w:r>
        <w:rPr>
          <w:color w:val="231F20"/>
          <w:vertAlign w:val="superscript"/>
        </w:rPr>
        <w:t>51</w:t>
      </w:r>
      <w:r>
        <w:rPr>
          <w:color w:val="231F20"/>
          <w:vertAlign w:val="baseline"/>
        </w:rPr>
        <w:tab/>
      </w:r>
      <w:r>
        <w:rPr>
          <w:color w:val="231F20"/>
          <w:spacing w:val="-4"/>
          <w:vertAlign w:val="baseline"/>
        </w:rPr>
        <w:t>Yehia, B. R., Stewart, L., Momplaisir, </w:t>
      </w:r>
      <w:r>
        <w:rPr>
          <w:color w:val="231F20"/>
          <w:spacing w:val="-3"/>
          <w:vertAlign w:val="baseline"/>
        </w:rPr>
        <w:t>F., Mody, A.,</w:t>
      </w:r>
      <w:r>
        <w:rPr>
          <w:color w:val="231F20"/>
          <w:spacing w:val="-2"/>
          <w:vertAlign w:val="baseline"/>
        </w:rPr>
        <w:t> Holtzman, C. W., Jacobs, L. M., Hines, J., Mounzer,</w:t>
      </w:r>
      <w:r>
        <w:rPr>
          <w:color w:val="231F20"/>
          <w:spacing w:val="-1"/>
          <w:vertAlign w:val="baseline"/>
        </w:rPr>
        <w:t> </w:t>
      </w:r>
      <w:r>
        <w:rPr>
          <w:color w:val="231F20"/>
          <w:spacing w:val="-3"/>
          <w:vertAlign w:val="baseline"/>
        </w:rPr>
        <w:t>K., Glanz, K., Metlay, J. P., &amp; Shea, J. A. (2015).</w:t>
      </w:r>
      <w:r>
        <w:rPr>
          <w:color w:val="231F20"/>
          <w:spacing w:val="-2"/>
          <w:vertAlign w:val="baseline"/>
        </w:rPr>
        <w:t> </w:t>
      </w:r>
      <w:r>
        <w:rPr>
          <w:color w:val="231F20"/>
          <w:vertAlign w:val="baseline"/>
        </w:rPr>
        <w:t>Barriers and facilitators to patient retention in HIV</w:t>
      </w:r>
      <w:r>
        <w:rPr>
          <w:color w:val="231F20"/>
          <w:spacing w:val="1"/>
          <w:vertAlign w:val="baseline"/>
        </w:rPr>
        <w:t> </w:t>
      </w:r>
      <w:r>
        <w:rPr>
          <w:color w:val="231F20"/>
          <w:spacing w:val="-1"/>
          <w:vertAlign w:val="baseline"/>
        </w:rPr>
        <w:t>care.</w:t>
      </w:r>
      <w:r>
        <w:rPr>
          <w:color w:val="231F20"/>
          <w:spacing w:val="-13"/>
          <w:vertAlign w:val="baseline"/>
        </w:rPr>
        <w:t> </w:t>
      </w:r>
      <w:r>
        <w:rPr>
          <w:i/>
          <w:color w:val="231F20"/>
          <w:spacing w:val="-1"/>
          <w:vertAlign w:val="baseline"/>
        </w:rPr>
        <w:t>BMC</w:t>
      </w:r>
      <w:r>
        <w:rPr>
          <w:i/>
          <w:color w:val="231F20"/>
          <w:spacing w:val="-11"/>
          <w:vertAlign w:val="baseline"/>
        </w:rPr>
        <w:t> </w:t>
      </w:r>
      <w:r>
        <w:rPr>
          <w:i/>
          <w:color w:val="231F20"/>
          <w:spacing w:val="-1"/>
          <w:vertAlign w:val="baseline"/>
        </w:rPr>
        <w:t>Infectious</w:t>
      </w:r>
      <w:r>
        <w:rPr>
          <w:i/>
          <w:color w:val="231F20"/>
          <w:spacing w:val="-11"/>
          <w:vertAlign w:val="baseline"/>
        </w:rPr>
        <w:t> </w:t>
      </w:r>
      <w:r>
        <w:rPr>
          <w:i/>
          <w:color w:val="231F20"/>
          <w:spacing w:val="-1"/>
          <w:vertAlign w:val="baseline"/>
        </w:rPr>
        <w:t>Diseases,</w:t>
      </w:r>
      <w:r>
        <w:rPr>
          <w:i/>
          <w:color w:val="231F20"/>
          <w:spacing w:val="-12"/>
          <w:vertAlign w:val="baseline"/>
        </w:rPr>
        <w:t> </w:t>
      </w:r>
      <w:r>
        <w:rPr>
          <w:i/>
          <w:color w:val="231F20"/>
          <w:spacing w:val="-1"/>
          <w:vertAlign w:val="baseline"/>
        </w:rPr>
        <w:t>15</w:t>
      </w:r>
      <w:r>
        <w:rPr>
          <w:color w:val="231F20"/>
          <w:spacing w:val="-1"/>
          <w:vertAlign w:val="baseline"/>
        </w:rPr>
        <w:t>(1),</w:t>
      </w:r>
      <w:r>
        <w:rPr>
          <w:color w:val="231F20"/>
          <w:spacing w:val="-11"/>
          <w:vertAlign w:val="baseline"/>
        </w:rPr>
        <w:t> </w:t>
      </w:r>
      <w:r>
        <w:rPr>
          <w:color w:val="231F20"/>
          <w:spacing w:val="-1"/>
          <w:vertAlign w:val="baseline"/>
        </w:rPr>
        <w:t>246.</w:t>
      </w:r>
      <w:r>
        <w:rPr>
          <w:color w:val="231F20"/>
          <w:spacing w:val="-12"/>
          <w:vertAlign w:val="baseline"/>
        </w:rPr>
        <w:t> </w:t>
      </w:r>
      <w:hyperlink r:id="rId88">
        <w:r>
          <w:rPr>
            <w:color w:val="3953A4"/>
            <w:spacing w:val="-1"/>
            <w:u w:val="single" w:color="3953A4"/>
            <w:vertAlign w:val="baseline"/>
          </w:rPr>
          <w:t>https://doi.</w:t>
        </w:r>
      </w:hyperlink>
      <w:r>
        <w:rPr>
          <w:color w:val="3953A4"/>
          <w:spacing w:val="-52"/>
          <w:vertAlign w:val="baseline"/>
        </w:rPr>
        <w:t> </w:t>
      </w:r>
      <w:hyperlink r:id="rId88">
        <w:r>
          <w:rPr>
            <w:color w:val="3953A4"/>
            <w:u w:val="single" w:color="3953A4"/>
            <w:vertAlign w:val="baseline"/>
          </w:rPr>
          <w:t>org/10.1186/s12879-015-0990-0</w:t>
        </w:r>
      </w:hyperlink>
    </w:p>
    <w:p>
      <w:pPr>
        <w:pStyle w:val="BodyText"/>
        <w:tabs>
          <w:tab w:pos="519" w:val="left" w:leader="none"/>
        </w:tabs>
        <w:spacing w:line="228" w:lineRule="auto" w:before="88"/>
        <w:ind w:left="520" w:right="184" w:hanging="360"/>
      </w:pPr>
      <w:r>
        <w:rPr>
          <w:color w:val="231F20"/>
          <w:vertAlign w:val="superscript"/>
        </w:rPr>
        <w:t>52</w:t>
      </w:r>
      <w:r>
        <w:rPr>
          <w:color w:val="231F20"/>
          <w:vertAlign w:val="baseline"/>
        </w:rPr>
        <w:tab/>
        <w:t>Center for Health Policy and Inequalities Research.</w:t>
      </w:r>
      <w:r>
        <w:rPr>
          <w:color w:val="231F20"/>
          <w:spacing w:val="-52"/>
          <w:vertAlign w:val="baseline"/>
        </w:rPr>
        <w:t> </w:t>
      </w:r>
      <w:r>
        <w:rPr>
          <w:color w:val="231F20"/>
          <w:vertAlign w:val="baseline"/>
        </w:rPr>
        <w:t>Including peers as part of a substance use treatment</w:t>
      </w:r>
      <w:r>
        <w:rPr>
          <w:color w:val="231F20"/>
          <w:spacing w:val="-52"/>
          <w:vertAlign w:val="baseline"/>
        </w:rPr>
        <w:t> </w:t>
      </w:r>
      <w:r>
        <w:rPr>
          <w:color w:val="231F20"/>
          <w:vertAlign w:val="baseline"/>
        </w:rPr>
        <w:t>program for individuals living with HIV: The peer</w:t>
      </w:r>
      <w:r>
        <w:rPr>
          <w:color w:val="231F20"/>
          <w:spacing w:val="1"/>
          <w:vertAlign w:val="baseline"/>
        </w:rPr>
        <w:t> </w:t>
      </w:r>
      <w:r>
        <w:rPr>
          <w:color w:val="231F20"/>
          <w:vertAlign w:val="baseline"/>
        </w:rPr>
        <w:t>assisted treatment of HIV and substance (PATHS)</w:t>
      </w:r>
      <w:r>
        <w:rPr>
          <w:color w:val="231F20"/>
          <w:spacing w:val="1"/>
          <w:vertAlign w:val="baseline"/>
        </w:rPr>
        <w:t> </w:t>
      </w:r>
      <w:r>
        <w:rPr>
          <w:color w:val="231F20"/>
          <w:vertAlign w:val="baseline"/>
        </w:rPr>
        <w:t>model. </w:t>
      </w:r>
      <w:hyperlink r:id="rId221">
        <w:r>
          <w:rPr>
            <w:color w:val="3953A4"/>
            <w:u w:val="single" w:color="3953A4"/>
            <w:vertAlign w:val="baseline"/>
          </w:rPr>
          <w:t>http://chpir.org/wp-content/uploads/paths_</w:t>
        </w:r>
      </w:hyperlink>
      <w:r>
        <w:rPr>
          <w:color w:val="3953A4"/>
          <w:spacing w:val="1"/>
          <w:vertAlign w:val="baseline"/>
        </w:rPr>
        <w:t> </w:t>
      </w:r>
      <w:hyperlink r:id="rId221">
        <w:r>
          <w:rPr>
            <w:color w:val="3953A4"/>
            <w:u w:val="single" w:color="3953A4"/>
            <w:vertAlign w:val="baseline"/>
          </w:rPr>
          <w:t>model.pdf</w:t>
        </w:r>
      </w:hyperlink>
    </w:p>
    <w:p>
      <w:pPr>
        <w:tabs>
          <w:tab w:pos="519" w:val="left" w:leader="none"/>
        </w:tabs>
        <w:spacing w:line="228" w:lineRule="auto" w:before="88"/>
        <w:ind w:left="520" w:right="239" w:hanging="360"/>
        <w:jc w:val="left"/>
        <w:rPr>
          <w:sz w:val="22"/>
        </w:rPr>
      </w:pPr>
      <w:r>
        <w:rPr>
          <w:color w:val="231F20"/>
          <w:sz w:val="22"/>
          <w:vertAlign w:val="superscript"/>
        </w:rPr>
        <w:t>53</w:t>
      </w:r>
      <w:r>
        <w:rPr>
          <w:color w:val="231F20"/>
          <w:sz w:val="22"/>
          <w:vertAlign w:val="baseline"/>
        </w:rPr>
        <w:tab/>
        <w:t>Cohen,</w:t>
      </w:r>
      <w:r>
        <w:rPr>
          <w:color w:val="231F20"/>
          <w:spacing w:val="-2"/>
          <w:sz w:val="22"/>
          <w:vertAlign w:val="baseline"/>
        </w:rPr>
        <w:t> </w:t>
      </w:r>
      <w:r>
        <w:rPr>
          <w:color w:val="231F20"/>
          <w:sz w:val="22"/>
          <w:vertAlign w:val="baseline"/>
        </w:rPr>
        <w:t>J.</w:t>
      </w:r>
      <w:r>
        <w:rPr>
          <w:color w:val="231F20"/>
          <w:spacing w:val="-3"/>
          <w:sz w:val="22"/>
          <w:vertAlign w:val="baseline"/>
        </w:rPr>
        <w:t> </w:t>
      </w:r>
      <w:r>
        <w:rPr>
          <w:color w:val="231F20"/>
          <w:sz w:val="22"/>
          <w:vertAlign w:val="baseline"/>
        </w:rPr>
        <w:t>K.</w:t>
      </w:r>
      <w:r>
        <w:rPr>
          <w:color w:val="231F20"/>
          <w:spacing w:val="-3"/>
          <w:sz w:val="22"/>
          <w:vertAlign w:val="baseline"/>
        </w:rPr>
        <w:t> </w:t>
      </w:r>
      <w:r>
        <w:rPr>
          <w:color w:val="231F20"/>
          <w:sz w:val="22"/>
          <w:vertAlign w:val="baseline"/>
        </w:rPr>
        <w:t>(2019,</w:t>
      </w:r>
      <w:r>
        <w:rPr>
          <w:color w:val="231F20"/>
          <w:spacing w:val="-2"/>
          <w:sz w:val="22"/>
          <w:vertAlign w:val="baseline"/>
        </w:rPr>
        <w:t> </w:t>
      </w:r>
      <w:r>
        <w:rPr>
          <w:color w:val="231F20"/>
          <w:sz w:val="22"/>
          <w:vertAlign w:val="baseline"/>
        </w:rPr>
        <w:t>October</w:t>
      </w:r>
      <w:r>
        <w:rPr>
          <w:color w:val="231F20"/>
          <w:spacing w:val="-3"/>
          <w:sz w:val="22"/>
          <w:vertAlign w:val="baseline"/>
        </w:rPr>
        <w:t> </w:t>
      </w:r>
      <w:r>
        <w:rPr>
          <w:color w:val="231F20"/>
          <w:sz w:val="22"/>
          <w:vertAlign w:val="baseline"/>
        </w:rPr>
        <w:t>28).</w:t>
      </w:r>
      <w:r>
        <w:rPr>
          <w:color w:val="231F20"/>
          <w:spacing w:val="-1"/>
          <w:sz w:val="22"/>
          <w:vertAlign w:val="baseline"/>
        </w:rPr>
        <w:t> </w:t>
      </w:r>
      <w:r>
        <w:rPr>
          <w:i/>
          <w:color w:val="231F20"/>
          <w:sz w:val="22"/>
          <w:vertAlign w:val="baseline"/>
        </w:rPr>
        <w:t>Lyft,</w:t>
      </w:r>
      <w:r>
        <w:rPr>
          <w:i/>
          <w:color w:val="231F20"/>
          <w:spacing w:val="-2"/>
          <w:sz w:val="22"/>
          <w:vertAlign w:val="baseline"/>
        </w:rPr>
        <w:t> </w:t>
      </w:r>
      <w:r>
        <w:rPr>
          <w:i/>
          <w:color w:val="231F20"/>
          <w:sz w:val="22"/>
          <w:vertAlign w:val="baseline"/>
        </w:rPr>
        <w:t>uber</w:t>
      </w:r>
      <w:r>
        <w:rPr>
          <w:i/>
          <w:color w:val="231F20"/>
          <w:spacing w:val="-2"/>
          <w:sz w:val="22"/>
          <w:vertAlign w:val="baseline"/>
        </w:rPr>
        <w:t> </w:t>
      </w:r>
      <w:r>
        <w:rPr>
          <w:i/>
          <w:color w:val="231F20"/>
          <w:sz w:val="22"/>
          <w:vertAlign w:val="baseline"/>
        </w:rPr>
        <w:t>expand</w:t>
      </w:r>
      <w:r>
        <w:rPr>
          <w:i/>
          <w:color w:val="231F20"/>
          <w:spacing w:val="-52"/>
          <w:sz w:val="22"/>
          <w:vertAlign w:val="baseline"/>
        </w:rPr>
        <w:t> </w:t>
      </w:r>
      <w:r>
        <w:rPr>
          <w:i/>
          <w:color w:val="231F20"/>
          <w:sz w:val="22"/>
          <w:vertAlign w:val="baseline"/>
        </w:rPr>
        <w:t>reach into healthcare</w:t>
      </w:r>
      <w:r>
        <w:rPr>
          <w:color w:val="231F20"/>
          <w:sz w:val="22"/>
          <w:vertAlign w:val="baseline"/>
        </w:rPr>
        <w:t>. Modern Healthcare. </w:t>
      </w:r>
      <w:hyperlink r:id="rId310">
        <w:r>
          <w:rPr>
            <w:color w:val="3953A4"/>
            <w:sz w:val="22"/>
            <w:u w:val="single" w:color="3953A4"/>
            <w:vertAlign w:val="baseline"/>
          </w:rPr>
          <w:t>https://</w:t>
        </w:r>
      </w:hyperlink>
      <w:r>
        <w:rPr>
          <w:color w:val="3953A4"/>
          <w:spacing w:val="-52"/>
          <w:sz w:val="22"/>
          <w:vertAlign w:val="baseline"/>
        </w:rPr>
        <w:t> </w:t>
      </w:r>
      <w:hyperlink r:id="rId310">
        <w:r>
          <w:rPr>
            <w:color w:val="3953A4"/>
            <w:sz w:val="22"/>
            <w:u w:val="single" w:color="3953A4"/>
            <w:vertAlign w:val="baseline"/>
          </w:rPr>
          <w:t>www.modernhealthcare.com/patients/lyft-uber-</w:t>
        </w:r>
      </w:hyperlink>
      <w:r>
        <w:rPr>
          <w:color w:val="3953A4"/>
          <w:spacing w:val="1"/>
          <w:sz w:val="22"/>
          <w:vertAlign w:val="baseline"/>
        </w:rPr>
        <w:t> </w:t>
      </w:r>
      <w:hyperlink r:id="rId310">
        <w:r>
          <w:rPr>
            <w:color w:val="3953A4"/>
            <w:sz w:val="22"/>
            <w:u w:val="single" w:color="3953A4"/>
            <w:vertAlign w:val="baseline"/>
          </w:rPr>
          <w:t>expand-reach-healthcare</w:t>
        </w:r>
      </w:hyperlink>
    </w:p>
    <w:p>
      <w:pPr>
        <w:pStyle w:val="BodyText"/>
        <w:tabs>
          <w:tab w:pos="519" w:val="left" w:leader="none"/>
        </w:tabs>
        <w:spacing w:line="228" w:lineRule="auto" w:before="89"/>
        <w:ind w:left="520" w:right="232" w:hanging="360"/>
      </w:pPr>
      <w:r>
        <w:rPr>
          <w:color w:val="231F20"/>
          <w:vertAlign w:val="superscript"/>
        </w:rPr>
        <w:t>54</w:t>
      </w:r>
      <w:r>
        <w:rPr>
          <w:color w:val="231F20"/>
          <w:vertAlign w:val="baseline"/>
        </w:rPr>
        <w:tab/>
        <w:t>Kempf, M. C., McLeod, J., Boehme, A. K.,</w:t>
      </w:r>
      <w:r>
        <w:rPr>
          <w:color w:val="231F20"/>
          <w:spacing w:val="1"/>
          <w:vertAlign w:val="baseline"/>
        </w:rPr>
        <w:t> </w:t>
      </w:r>
      <w:r>
        <w:rPr>
          <w:color w:val="231F20"/>
          <w:spacing w:val="-1"/>
          <w:vertAlign w:val="baseline"/>
        </w:rPr>
        <w:t>Walcott,</w:t>
      </w:r>
      <w:r>
        <w:rPr>
          <w:color w:val="231F20"/>
          <w:spacing w:val="-9"/>
          <w:vertAlign w:val="baseline"/>
        </w:rPr>
        <w:t> </w:t>
      </w:r>
      <w:r>
        <w:rPr>
          <w:color w:val="231F20"/>
          <w:spacing w:val="-1"/>
          <w:vertAlign w:val="baseline"/>
        </w:rPr>
        <w:t>M.</w:t>
      </w:r>
      <w:r>
        <w:rPr>
          <w:color w:val="231F20"/>
          <w:spacing w:val="-13"/>
          <w:vertAlign w:val="baseline"/>
        </w:rPr>
        <w:t> </w:t>
      </w:r>
      <w:r>
        <w:rPr>
          <w:color w:val="231F20"/>
          <w:spacing w:val="-1"/>
          <w:vertAlign w:val="baseline"/>
        </w:rPr>
        <w:t>W.,</w:t>
      </w:r>
      <w:r>
        <w:rPr>
          <w:color w:val="231F20"/>
          <w:spacing w:val="-12"/>
          <w:vertAlign w:val="baseline"/>
        </w:rPr>
        <w:t> </w:t>
      </w:r>
      <w:r>
        <w:rPr>
          <w:color w:val="231F20"/>
          <w:spacing w:val="-1"/>
          <w:vertAlign w:val="baseline"/>
        </w:rPr>
        <w:t>Wright,</w:t>
      </w:r>
      <w:r>
        <w:rPr>
          <w:color w:val="231F20"/>
          <w:spacing w:val="-8"/>
          <w:vertAlign w:val="baseline"/>
        </w:rPr>
        <w:t> </w:t>
      </w:r>
      <w:r>
        <w:rPr>
          <w:color w:val="231F20"/>
          <w:spacing w:val="-1"/>
          <w:vertAlign w:val="baseline"/>
        </w:rPr>
        <w:t>L.,</w:t>
      </w:r>
      <w:r>
        <w:rPr>
          <w:color w:val="231F20"/>
          <w:spacing w:val="-8"/>
          <w:vertAlign w:val="baseline"/>
        </w:rPr>
        <w:t> </w:t>
      </w:r>
      <w:r>
        <w:rPr>
          <w:color w:val="231F20"/>
          <w:spacing w:val="-1"/>
          <w:vertAlign w:val="baseline"/>
        </w:rPr>
        <w:t>Seal,</w:t>
      </w:r>
      <w:r>
        <w:rPr>
          <w:color w:val="231F20"/>
          <w:spacing w:val="-10"/>
          <w:vertAlign w:val="baseline"/>
        </w:rPr>
        <w:t> </w:t>
      </w:r>
      <w:r>
        <w:rPr>
          <w:color w:val="231F20"/>
          <w:vertAlign w:val="baseline"/>
        </w:rPr>
        <w:t>P.,</w:t>
      </w:r>
      <w:r>
        <w:rPr>
          <w:color w:val="231F20"/>
          <w:spacing w:val="-8"/>
          <w:vertAlign w:val="baseline"/>
        </w:rPr>
        <w:t> </w:t>
      </w:r>
      <w:r>
        <w:rPr>
          <w:color w:val="231F20"/>
          <w:vertAlign w:val="baseline"/>
        </w:rPr>
        <w:t>Norton,</w:t>
      </w:r>
      <w:r>
        <w:rPr>
          <w:color w:val="231F20"/>
          <w:spacing w:val="-13"/>
          <w:vertAlign w:val="baseline"/>
        </w:rPr>
        <w:t> </w:t>
      </w:r>
      <w:r>
        <w:rPr>
          <w:color w:val="231F20"/>
          <w:vertAlign w:val="baseline"/>
        </w:rPr>
        <w:t>W.</w:t>
      </w:r>
      <w:r>
        <w:rPr>
          <w:color w:val="231F20"/>
          <w:spacing w:val="-8"/>
          <w:vertAlign w:val="baseline"/>
        </w:rPr>
        <w:t> </w:t>
      </w:r>
      <w:r>
        <w:rPr>
          <w:color w:val="231F20"/>
          <w:vertAlign w:val="baseline"/>
        </w:rPr>
        <w:t>E.,</w:t>
      </w:r>
      <w:r>
        <w:rPr>
          <w:color w:val="231F20"/>
          <w:spacing w:val="-52"/>
          <w:vertAlign w:val="baseline"/>
        </w:rPr>
        <w:t> </w:t>
      </w:r>
      <w:r>
        <w:rPr>
          <w:color w:val="231F20"/>
          <w:vertAlign w:val="baseline"/>
        </w:rPr>
        <w:t>Schumacher,</w:t>
      </w:r>
      <w:r>
        <w:rPr>
          <w:color w:val="231F20"/>
          <w:spacing w:val="-5"/>
          <w:vertAlign w:val="baseline"/>
        </w:rPr>
        <w:t> </w:t>
      </w:r>
      <w:r>
        <w:rPr>
          <w:color w:val="231F20"/>
          <w:vertAlign w:val="baseline"/>
        </w:rPr>
        <w:t>J.</w:t>
      </w:r>
      <w:r>
        <w:rPr>
          <w:color w:val="231F20"/>
          <w:spacing w:val="-5"/>
          <w:vertAlign w:val="baseline"/>
        </w:rPr>
        <w:t> </w:t>
      </w:r>
      <w:r>
        <w:rPr>
          <w:color w:val="231F20"/>
          <w:vertAlign w:val="baseline"/>
        </w:rPr>
        <w:t>E.,</w:t>
      </w:r>
      <w:r>
        <w:rPr>
          <w:color w:val="231F20"/>
          <w:spacing w:val="-4"/>
          <w:vertAlign w:val="baseline"/>
        </w:rPr>
        <w:t> </w:t>
      </w:r>
      <w:r>
        <w:rPr>
          <w:color w:val="231F20"/>
          <w:vertAlign w:val="baseline"/>
        </w:rPr>
        <w:t>Mugavero,</w:t>
      </w:r>
      <w:r>
        <w:rPr>
          <w:color w:val="231F20"/>
          <w:spacing w:val="-5"/>
          <w:vertAlign w:val="baseline"/>
        </w:rPr>
        <w:t> </w:t>
      </w:r>
      <w:r>
        <w:rPr>
          <w:color w:val="231F20"/>
          <w:vertAlign w:val="baseline"/>
        </w:rPr>
        <w:t>M.,</w:t>
      </w:r>
      <w:r>
        <w:rPr>
          <w:color w:val="231F20"/>
          <w:spacing w:val="-5"/>
          <w:vertAlign w:val="baseline"/>
        </w:rPr>
        <w:t> </w:t>
      </w:r>
      <w:r>
        <w:rPr>
          <w:color w:val="231F20"/>
          <w:vertAlign w:val="baseline"/>
        </w:rPr>
        <w:t>&amp;</w:t>
      </w:r>
      <w:r>
        <w:rPr>
          <w:color w:val="231F20"/>
          <w:spacing w:val="-4"/>
          <w:vertAlign w:val="baseline"/>
        </w:rPr>
        <w:t> </w:t>
      </w:r>
      <w:r>
        <w:rPr>
          <w:color w:val="231F20"/>
          <w:vertAlign w:val="baseline"/>
        </w:rPr>
        <w:t>Moneyham,</w:t>
      </w:r>
    </w:p>
    <w:p>
      <w:pPr>
        <w:pStyle w:val="BodyText"/>
        <w:spacing w:line="228" w:lineRule="auto"/>
        <w:ind w:left="520" w:right="165"/>
      </w:pPr>
      <w:r>
        <w:rPr>
          <w:color w:val="231F20"/>
        </w:rPr>
        <w:t>L. (2010). A qualitative study of the barriers and</w:t>
      </w:r>
      <w:r>
        <w:rPr>
          <w:color w:val="231F20"/>
          <w:spacing w:val="1"/>
        </w:rPr>
        <w:t> </w:t>
      </w:r>
      <w:r>
        <w:rPr>
          <w:color w:val="231F20"/>
        </w:rPr>
        <w:t>facilitators</w:t>
      </w:r>
      <w:r>
        <w:rPr>
          <w:color w:val="231F20"/>
          <w:spacing w:val="-9"/>
        </w:rPr>
        <w:t> </w:t>
      </w:r>
      <w:r>
        <w:rPr>
          <w:color w:val="231F20"/>
        </w:rPr>
        <w:t>to</w:t>
      </w:r>
      <w:r>
        <w:rPr>
          <w:color w:val="231F20"/>
          <w:spacing w:val="-9"/>
        </w:rPr>
        <w:t> </w:t>
      </w:r>
      <w:r>
        <w:rPr>
          <w:color w:val="231F20"/>
        </w:rPr>
        <w:t>retention-in-care</w:t>
      </w:r>
      <w:r>
        <w:rPr>
          <w:color w:val="231F20"/>
          <w:spacing w:val="-9"/>
        </w:rPr>
        <w:t> </w:t>
      </w:r>
      <w:r>
        <w:rPr>
          <w:color w:val="231F20"/>
        </w:rPr>
        <w:t>among</w:t>
      </w:r>
      <w:r>
        <w:rPr>
          <w:color w:val="231F20"/>
          <w:spacing w:val="-9"/>
        </w:rPr>
        <w:t> </w:t>
      </w:r>
      <w:r>
        <w:rPr>
          <w:color w:val="231F20"/>
        </w:rPr>
        <w:t>HIV-positive</w:t>
      </w:r>
      <w:r>
        <w:rPr>
          <w:color w:val="231F20"/>
          <w:spacing w:val="-52"/>
        </w:rPr>
        <w:t> </w:t>
      </w:r>
      <w:r>
        <w:rPr>
          <w:color w:val="231F20"/>
        </w:rPr>
        <w:t>women in the rural southeastern United States:</w:t>
      </w:r>
      <w:r>
        <w:rPr>
          <w:color w:val="231F20"/>
          <w:spacing w:val="1"/>
        </w:rPr>
        <w:t> </w:t>
      </w:r>
      <w:r>
        <w:rPr>
          <w:color w:val="231F20"/>
        </w:rPr>
        <w:t>Implications for targeted interventions. </w:t>
      </w:r>
      <w:r>
        <w:rPr>
          <w:i/>
          <w:color w:val="231F20"/>
        </w:rPr>
        <w:t>AIDS</w:t>
      </w:r>
      <w:r>
        <w:rPr>
          <w:i/>
          <w:color w:val="231F20"/>
          <w:spacing w:val="1"/>
        </w:rPr>
        <w:t> </w:t>
      </w:r>
      <w:r>
        <w:rPr>
          <w:i/>
          <w:color w:val="231F20"/>
        </w:rPr>
        <w:t>Patient Care and STDs, 24</w:t>
      </w:r>
      <w:r>
        <w:rPr>
          <w:color w:val="231F20"/>
        </w:rPr>
        <w:t>(8), 515-520.</w:t>
      </w:r>
      <w:r>
        <w:rPr>
          <w:color w:val="3953A4"/>
        </w:rPr>
        <w:t> </w:t>
      </w:r>
      <w:hyperlink r:id="rId299">
        <w:r>
          <w:rPr>
            <w:color w:val="3953A4"/>
            <w:u w:val="single" w:color="3953A4"/>
          </w:rPr>
          <w:t>https://doi.</w:t>
        </w:r>
      </w:hyperlink>
      <w:r>
        <w:rPr>
          <w:color w:val="3953A4"/>
          <w:spacing w:val="-52"/>
        </w:rPr>
        <w:t> </w:t>
      </w:r>
      <w:hyperlink r:id="rId299">
        <w:r>
          <w:rPr>
            <w:color w:val="3953A4"/>
            <w:u w:val="single" w:color="3953A4"/>
          </w:rPr>
          <w:t>org/10.1089/apc.2010.0065</w:t>
        </w:r>
      </w:hyperlink>
    </w:p>
    <w:p>
      <w:pPr>
        <w:pStyle w:val="BodyText"/>
        <w:tabs>
          <w:tab w:pos="519" w:val="left" w:leader="none"/>
        </w:tabs>
        <w:spacing w:line="228" w:lineRule="auto" w:before="87"/>
        <w:ind w:left="520" w:right="83" w:hanging="360"/>
      </w:pPr>
      <w:r>
        <w:rPr>
          <w:color w:val="231F20"/>
          <w:vertAlign w:val="superscript"/>
        </w:rPr>
        <w:t>55</w:t>
      </w:r>
      <w:r>
        <w:rPr>
          <w:color w:val="231F20"/>
          <w:vertAlign w:val="baseline"/>
        </w:rPr>
        <w:tab/>
      </w:r>
      <w:r>
        <w:rPr>
          <w:color w:val="231F20"/>
          <w:spacing w:val="-4"/>
          <w:vertAlign w:val="baseline"/>
        </w:rPr>
        <w:t>Yu, S. W. Y., Hill, C., Ricks, </w:t>
      </w:r>
      <w:r>
        <w:rPr>
          <w:color w:val="231F20"/>
          <w:spacing w:val="-3"/>
          <w:vertAlign w:val="baseline"/>
        </w:rPr>
        <w:t>M. L., Bennet, J., &amp;</w:t>
      </w:r>
      <w:r>
        <w:rPr>
          <w:color w:val="231F20"/>
          <w:spacing w:val="-2"/>
          <w:vertAlign w:val="baseline"/>
        </w:rPr>
        <w:t> </w:t>
      </w:r>
      <w:r>
        <w:rPr>
          <w:color w:val="231F20"/>
          <w:spacing w:val="-1"/>
          <w:vertAlign w:val="baseline"/>
        </w:rPr>
        <w:t>Oriol, </w:t>
      </w:r>
      <w:r>
        <w:rPr>
          <w:color w:val="231F20"/>
          <w:vertAlign w:val="baseline"/>
        </w:rPr>
        <w:t>N. E. (2017). The scope and impact of mobile</w:t>
      </w:r>
      <w:r>
        <w:rPr>
          <w:color w:val="231F20"/>
          <w:spacing w:val="-52"/>
          <w:vertAlign w:val="baseline"/>
        </w:rPr>
        <w:t> </w:t>
      </w:r>
      <w:r>
        <w:rPr>
          <w:color w:val="231F20"/>
          <w:spacing w:val="-3"/>
          <w:vertAlign w:val="baseline"/>
        </w:rPr>
        <w:t>health</w:t>
      </w:r>
      <w:r>
        <w:rPr>
          <w:color w:val="231F20"/>
          <w:spacing w:val="-4"/>
          <w:vertAlign w:val="baseline"/>
        </w:rPr>
        <w:t> </w:t>
      </w:r>
      <w:r>
        <w:rPr>
          <w:color w:val="231F20"/>
          <w:spacing w:val="-3"/>
          <w:vertAlign w:val="baseline"/>
        </w:rPr>
        <w:t>clinics </w:t>
      </w:r>
      <w:r>
        <w:rPr>
          <w:color w:val="231F20"/>
          <w:spacing w:val="-2"/>
          <w:vertAlign w:val="baseline"/>
        </w:rPr>
        <w:t>in</w:t>
      </w:r>
      <w:r>
        <w:rPr>
          <w:color w:val="231F20"/>
          <w:spacing w:val="-4"/>
          <w:vertAlign w:val="baseline"/>
        </w:rPr>
        <w:t> </w:t>
      </w:r>
      <w:r>
        <w:rPr>
          <w:color w:val="231F20"/>
          <w:spacing w:val="-2"/>
          <w:vertAlign w:val="baseline"/>
        </w:rPr>
        <w:t>the</w:t>
      </w:r>
      <w:r>
        <w:rPr>
          <w:color w:val="231F20"/>
          <w:spacing w:val="-3"/>
          <w:vertAlign w:val="baseline"/>
        </w:rPr>
        <w:t> </w:t>
      </w:r>
      <w:r>
        <w:rPr>
          <w:color w:val="231F20"/>
          <w:spacing w:val="-2"/>
          <w:vertAlign w:val="baseline"/>
        </w:rPr>
        <w:t>United</w:t>
      </w:r>
      <w:r>
        <w:rPr>
          <w:color w:val="231F20"/>
          <w:spacing w:val="-4"/>
          <w:vertAlign w:val="baseline"/>
        </w:rPr>
        <w:t> </w:t>
      </w:r>
      <w:r>
        <w:rPr>
          <w:color w:val="231F20"/>
          <w:spacing w:val="-2"/>
          <w:vertAlign w:val="baseline"/>
        </w:rPr>
        <w:t>States:</w:t>
      </w:r>
      <w:r>
        <w:rPr>
          <w:color w:val="231F20"/>
          <w:spacing w:val="-17"/>
          <w:vertAlign w:val="baseline"/>
        </w:rPr>
        <w:t> </w:t>
      </w:r>
      <w:r>
        <w:rPr>
          <w:color w:val="231F20"/>
          <w:spacing w:val="-2"/>
          <w:vertAlign w:val="baseline"/>
        </w:rPr>
        <w:t>A</w:t>
      </w:r>
      <w:r>
        <w:rPr>
          <w:color w:val="231F20"/>
          <w:spacing w:val="-16"/>
          <w:vertAlign w:val="baseline"/>
        </w:rPr>
        <w:t> </w:t>
      </w:r>
      <w:r>
        <w:rPr>
          <w:color w:val="231F20"/>
          <w:spacing w:val="-2"/>
          <w:vertAlign w:val="baseline"/>
        </w:rPr>
        <w:t>literature</w:t>
      </w:r>
      <w:r>
        <w:rPr>
          <w:color w:val="231F20"/>
          <w:spacing w:val="-4"/>
          <w:vertAlign w:val="baseline"/>
        </w:rPr>
        <w:t> </w:t>
      </w:r>
      <w:r>
        <w:rPr>
          <w:color w:val="231F20"/>
          <w:spacing w:val="-2"/>
          <w:vertAlign w:val="baseline"/>
        </w:rPr>
        <w:t>review.</w:t>
      </w:r>
      <w:r>
        <w:rPr>
          <w:color w:val="231F20"/>
          <w:spacing w:val="-52"/>
          <w:vertAlign w:val="baseline"/>
        </w:rPr>
        <w:t> </w:t>
      </w:r>
      <w:r>
        <w:rPr>
          <w:i/>
          <w:color w:val="231F20"/>
          <w:vertAlign w:val="baseline"/>
        </w:rPr>
        <w:t>International Journal for Equity in Health, 16</w:t>
      </w:r>
      <w:r>
        <w:rPr>
          <w:color w:val="231F20"/>
          <w:vertAlign w:val="baseline"/>
        </w:rPr>
        <w:t>(1),</w:t>
      </w:r>
      <w:r>
        <w:rPr>
          <w:color w:val="231F20"/>
          <w:spacing w:val="1"/>
          <w:vertAlign w:val="baseline"/>
        </w:rPr>
        <w:t> </w:t>
      </w:r>
      <w:r>
        <w:rPr>
          <w:color w:val="231F20"/>
          <w:vertAlign w:val="baseline"/>
        </w:rPr>
        <w:t>178.</w:t>
      </w:r>
      <w:r>
        <w:rPr>
          <w:color w:val="231F20"/>
          <w:spacing w:val="-14"/>
          <w:vertAlign w:val="baseline"/>
        </w:rPr>
        <w:t> </w:t>
      </w:r>
      <w:hyperlink r:id="rId311">
        <w:r>
          <w:rPr>
            <w:color w:val="3953A4"/>
            <w:u w:val="single" w:color="3953A4"/>
            <w:vertAlign w:val="baseline"/>
          </w:rPr>
          <w:t>https://doi.org/10.1186/s12939-017-0671-2</w:t>
        </w:r>
      </w:hyperlink>
    </w:p>
    <w:p>
      <w:pPr>
        <w:tabs>
          <w:tab w:pos="519" w:val="left" w:leader="none"/>
        </w:tabs>
        <w:spacing w:line="228" w:lineRule="auto" w:before="88"/>
        <w:ind w:left="519" w:right="178" w:hanging="360"/>
        <w:jc w:val="left"/>
        <w:rPr>
          <w:sz w:val="22"/>
        </w:rPr>
      </w:pPr>
      <w:r>
        <w:rPr>
          <w:color w:val="231F20"/>
          <w:sz w:val="22"/>
          <w:vertAlign w:val="superscript"/>
        </w:rPr>
        <w:t>56</w:t>
      </w:r>
      <w:r>
        <w:rPr>
          <w:color w:val="231F20"/>
          <w:sz w:val="22"/>
          <w:vertAlign w:val="baseline"/>
        </w:rPr>
        <w:tab/>
      </w:r>
      <w:r>
        <w:rPr>
          <w:color w:val="231F20"/>
          <w:spacing w:val="-1"/>
          <w:sz w:val="22"/>
          <w:vertAlign w:val="baseline"/>
        </w:rPr>
        <w:t>National Alliance of State &amp; Territorial Aids</w:t>
      </w:r>
      <w:r>
        <w:rPr>
          <w:color w:val="231F20"/>
          <w:sz w:val="22"/>
          <w:vertAlign w:val="baseline"/>
        </w:rPr>
        <w:t> Directors, &amp; Urban Coalition for HIV/AIDS</w:t>
      </w:r>
      <w:r>
        <w:rPr>
          <w:color w:val="231F20"/>
          <w:spacing w:val="1"/>
          <w:sz w:val="22"/>
          <w:vertAlign w:val="baseline"/>
        </w:rPr>
        <w:t> </w:t>
      </w:r>
      <w:r>
        <w:rPr>
          <w:color w:val="231F20"/>
          <w:sz w:val="22"/>
          <w:vertAlign w:val="baseline"/>
        </w:rPr>
        <w:t>Prevention Services. (2012). </w:t>
      </w:r>
      <w:r>
        <w:rPr>
          <w:i/>
          <w:color w:val="231F20"/>
          <w:sz w:val="22"/>
          <w:vertAlign w:val="baseline"/>
        </w:rPr>
        <w:t>Syringe services</w:t>
      </w:r>
      <w:r>
        <w:rPr>
          <w:i/>
          <w:color w:val="231F20"/>
          <w:spacing w:val="1"/>
          <w:sz w:val="22"/>
          <w:vertAlign w:val="baseline"/>
        </w:rPr>
        <w:t> </w:t>
      </w:r>
      <w:r>
        <w:rPr>
          <w:i/>
          <w:color w:val="231F20"/>
          <w:sz w:val="22"/>
          <w:vertAlign w:val="baseline"/>
        </w:rPr>
        <w:t>program (SSP) development and implementation</w:t>
      </w:r>
      <w:r>
        <w:rPr>
          <w:i/>
          <w:color w:val="231F20"/>
          <w:spacing w:val="1"/>
          <w:sz w:val="22"/>
          <w:vertAlign w:val="baseline"/>
        </w:rPr>
        <w:t> </w:t>
      </w:r>
      <w:r>
        <w:rPr>
          <w:i/>
          <w:color w:val="231F20"/>
          <w:sz w:val="22"/>
          <w:vertAlign w:val="baseline"/>
        </w:rPr>
        <w:t>guidelines for state and local health departments</w:t>
      </w:r>
      <w:r>
        <w:rPr>
          <w:color w:val="231F20"/>
          <w:sz w:val="22"/>
          <w:vertAlign w:val="baseline"/>
        </w:rPr>
        <w:t>.</w:t>
      </w:r>
      <w:r>
        <w:rPr>
          <w:color w:val="231F20"/>
          <w:spacing w:val="1"/>
          <w:sz w:val="22"/>
          <w:vertAlign w:val="baseline"/>
        </w:rPr>
        <w:t> </w:t>
      </w:r>
      <w:hyperlink r:id="rId255">
        <w:r>
          <w:rPr>
            <w:color w:val="3953A4"/>
            <w:spacing w:val="-1"/>
            <w:sz w:val="22"/>
            <w:u w:val="single" w:color="3953A4"/>
            <w:vertAlign w:val="baseline"/>
          </w:rPr>
          <w:t>https://www.nastad.org/sites/default/files/resources/</w:t>
        </w:r>
      </w:hyperlink>
      <w:r>
        <w:rPr>
          <w:color w:val="3953A4"/>
          <w:spacing w:val="-52"/>
          <w:sz w:val="22"/>
          <w:vertAlign w:val="baseline"/>
        </w:rPr>
        <w:t> </w:t>
      </w:r>
      <w:hyperlink r:id="rId255">
        <w:r>
          <w:rPr>
            <w:color w:val="3953A4"/>
            <w:sz w:val="22"/>
            <w:u w:val="single" w:color="3953A4"/>
            <w:vertAlign w:val="baseline"/>
          </w:rPr>
          <w:t>docs/055419_NASTAD-SSP-Guidelines-</w:t>
        </w:r>
      </w:hyperlink>
    </w:p>
    <w:p>
      <w:pPr>
        <w:pStyle w:val="BodyText"/>
        <w:spacing w:line="241" w:lineRule="exact"/>
        <w:ind w:left="520"/>
      </w:pPr>
      <w:hyperlink r:id="rId255">
        <w:r>
          <w:rPr>
            <w:color w:val="3953A4"/>
            <w:u w:val="single" w:color="3953A4"/>
          </w:rPr>
          <w:t>August-2012.pdf</w:t>
        </w:r>
      </w:hyperlink>
    </w:p>
    <w:p>
      <w:pPr>
        <w:tabs>
          <w:tab w:pos="519" w:val="left" w:leader="none"/>
        </w:tabs>
        <w:spacing w:line="228" w:lineRule="auto" w:before="101"/>
        <w:ind w:left="520" w:right="839" w:hanging="360"/>
        <w:jc w:val="left"/>
        <w:rPr>
          <w:sz w:val="22"/>
        </w:rPr>
      </w:pPr>
      <w:r>
        <w:rPr/>
        <w:br w:type="column"/>
      </w:r>
      <w:r>
        <w:rPr>
          <w:color w:val="231F20"/>
          <w:sz w:val="22"/>
          <w:vertAlign w:val="superscript"/>
        </w:rPr>
        <w:t>57</w:t>
      </w:r>
      <w:r>
        <w:rPr>
          <w:color w:val="231F20"/>
          <w:sz w:val="22"/>
          <w:vertAlign w:val="baseline"/>
        </w:rPr>
        <w:tab/>
        <w:t>AIDS United. (2015). </w:t>
      </w:r>
      <w:r>
        <w:rPr>
          <w:i/>
          <w:color w:val="231F20"/>
          <w:sz w:val="22"/>
          <w:vertAlign w:val="baseline"/>
        </w:rPr>
        <w:t>Best practices for integrating</w:t>
      </w:r>
      <w:r>
        <w:rPr>
          <w:i/>
          <w:color w:val="231F20"/>
          <w:spacing w:val="-52"/>
          <w:sz w:val="22"/>
          <w:vertAlign w:val="baseline"/>
        </w:rPr>
        <w:t> </w:t>
      </w:r>
      <w:r>
        <w:rPr>
          <w:i/>
          <w:color w:val="231F20"/>
          <w:sz w:val="22"/>
          <w:vertAlign w:val="baseline"/>
        </w:rPr>
        <w:t>peer navigators into HIV models of care</w:t>
      </w:r>
      <w:r>
        <w:rPr>
          <w:color w:val="231F20"/>
          <w:sz w:val="22"/>
          <w:vertAlign w:val="baseline"/>
        </w:rPr>
        <w:t>. </w:t>
      </w:r>
      <w:hyperlink r:id="rId224">
        <w:r>
          <w:rPr>
            <w:color w:val="3953A4"/>
            <w:sz w:val="22"/>
            <w:u w:val="single" w:color="3953A4"/>
            <w:vertAlign w:val="baseline"/>
          </w:rPr>
          <w:t>https://</w:t>
        </w:r>
      </w:hyperlink>
      <w:r>
        <w:rPr>
          <w:color w:val="3953A4"/>
          <w:spacing w:val="1"/>
          <w:sz w:val="22"/>
          <w:vertAlign w:val="baseline"/>
        </w:rPr>
        <w:t> </w:t>
      </w:r>
      <w:hyperlink r:id="rId224">
        <w:r>
          <w:rPr>
            <w:color w:val="3953A4"/>
            <w:sz w:val="22"/>
            <w:u w:val="single" w:color="3953A4"/>
            <w:vertAlign w:val="baseline"/>
          </w:rPr>
          <w:t>www.aidsunited.org/data/files/Site_18/PeerNav_</w:t>
        </w:r>
      </w:hyperlink>
      <w:r>
        <w:rPr>
          <w:color w:val="3953A4"/>
          <w:spacing w:val="1"/>
          <w:sz w:val="22"/>
          <w:vertAlign w:val="baseline"/>
        </w:rPr>
        <w:t> </w:t>
      </w:r>
      <w:hyperlink r:id="rId224">
        <w:r>
          <w:rPr>
            <w:color w:val="3953A4"/>
            <w:sz w:val="22"/>
            <w:u w:val="single" w:color="3953A4"/>
            <w:vertAlign w:val="baseline"/>
          </w:rPr>
          <w:t>v8.pdf</w:t>
        </w:r>
      </w:hyperlink>
    </w:p>
    <w:p>
      <w:pPr>
        <w:tabs>
          <w:tab w:pos="519" w:val="left" w:leader="none"/>
        </w:tabs>
        <w:spacing w:line="228" w:lineRule="auto" w:before="89"/>
        <w:ind w:left="520" w:right="740" w:hanging="360"/>
        <w:jc w:val="left"/>
        <w:rPr>
          <w:sz w:val="22"/>
        </w:rPr>
      </w:pPr>
      <w:r>
        <w:rPr>
          <w:color w:val="231F20"/>
          <w:sz w:val="22"/>
          <w:vertAlign w:val="superscript"/>
        </w:rPr>
        <w:t>58</w:t>
      </w:r>
      <w:r>
        <w:rPr>
          <w:color w:val="231F20"/>
          <w:sz w:val="22"/>
          <w:vertAlign w:val="baseline"/>
        </w:rPr>
        <w:tab/>
      </w:r>
      <w:r>
        <w:rPr>
          <w:color w:val="231F20"/>
          <w:spacing w:val="-1"/>
          <w:sz w:val="22"/>
          <w:vertAlign w:val="baseline"/>
        </w:rPr>
        <w:t>Center for </w:t>
      </w:r>
      <w:r>
        <w:rPr>
          <w:color w:val="231F20"/>
          <w:sz w:val="22"/>
          <w:vertAlign w:val="baseline"/>
        </w:rPr>
        <w:t>Substance Abuse Treatment. (2000).</w:t>
      </w:r>
      <w:r>
        <w:rPr>
          <w:color w:val="231F20"/>
          <w:spacing w:val="1"/>
          <w:sz w:val="22"/>
          <w:vertAlign w:val="baseline"/>
        </w:rPr>
        <w:t> </w:t>
      </w:r>
      <w:r>
        <w:rPr>
          <w:color w:val="231F20"/>
          <w:sz w:val="22"/>
          <w:vertAlign w:val="baseline"/>
        </w:rPr>
        <w:t>Chapter 10—Funding and policy considerations. In</w:t>
      </w:r>
      <w:r>
        <w:rPr>
          <w:color w:val="231F20"/>
          <w:spacing w:val="1"/>
          <w:sz w:val="22"/>
          <w:vertAlign w:val="baseline"/>
        </w:rPr>
        <w:t> </w:t>
      </w:r>
      <w:r>
        <w:rPr>
          <w:i/>
          <w:color w:val="231F20"/>
          <w:sz w:val="22"/>
          <w:vertAlign w:val="baseline"/>
        </w:rPr>
        <w:t>Substance abuse treatment for persons with HIV/</w:t>
      </w:r>
      <w:r>
        <w:rPr>
          <w:i/>
          <w:color w:val="231F20"/>
          <w:spacing w:val="1"/>
          <w:sz w:val="22"/>
          <w:vertAlign w:val="baseline"/>
        </w:rPr>
        <w:t> </w:t>
      </w:r>
      <w:r>
        <w:rPr>
          <w:i/>
          <w:color w:val="231F20"/>
          <w:sz w:val="22"/>
          <w:vertAlign w:val="baseline"/>
        </w:rPr>
        <w:t>AIDS.</w:t>
      </w:r>
      <w:r>
        <w:rPr>
          <w:i/>
          <w:color w:val="231F20"/>
          <w:spacing w:val="-9"/>
          <w:sz w:val="22"/>
          <w:vertAlign w:val="baseline"/>
        </w:rPr>
        <w:t> </w:t>
      </w:r>
      <w:r>
        <w:rPr>
          <w:i/>
          <w:color w:val="231F20"/>
          <w:sz w:val="22"/>
          <w:vertAlign w:val="baseline"/>
        </w:rPr>
        <w:t>Treatment</w:t>
      </w:r>
      <w:r>
        <w:rPr>
          <w:i/>
          <w:color w:val="231F20"/>
          <w:spacing w:val="-9"/>
          <w:sz w:val="22"/>
          <w:vertAlign w:val="baseline"/>
        </w:rPr>
        <w:t> </w:t>
      </w:r>
      <w:r>
        <w:rPr>
          <w:i/>
          <w:color w:val="231F20"/>
          <w:sz w:val="22"/>
          <w:vertAlign w:val="baseline"/>
        </w:rPr>
        <w:t>Improvement</w:t>
      </w:r>
      <w:r>
        <w:rPr>
          <w:i/>
          <w:color w:val="231F20"/>
          <w:spacing w:val="-9"/>
          <w:sz w:val="22"/>
          <w:vertAlign w:val="baseline"/>
        </w:rPr>
        <w:t> </w:t>
      </w:r>
      <w:r>
        <w:rPr>
          <w:i/>
          <w:color w:val="231F20"/>
          <w:sz w:val="22"/>
          <w:vertAlign w:val="baseline"/>
        </w:rPr>
        <w:t>Protocol</w:t>
      </w:r>
      <w:r>
        <w:rPr>
          <w:i/>
          <w:color w:val="231F20"/>
          <w:spacing w:val="-8"/>
          <w:sz w:val="22"/>
          <w:vertAlign w:val="baseline"/>
        </w:rPr>
        <w:t> </w:t>
      </w:r>
      <w:r>
        <w:rPr>
          <w:i/>
          <w:color w:val="231F20"/>
          <w:sz w:val="22"/>
          <w:vertAlign w:val="baseline"/>
        </w:rPr>
        <w:t>(TIP)</w:t>
      </w:r>
      <w:r>
        <w:rPr>
          <w:i/>
          <w:color w:val="231F20"/>
          <w:spacing w:val="-8"/>
          <w:sz w:val="22"/>
          <w:vertAlign w:val="baseline"/>
        </w:rPr>
        <w:t> </w:t>
      </w:r>
      <w:r>
        <w:rPr>
          <w:i/>
          <w:color w:val="231F20"/>
          <w:sz w:val="22"/>
          <w:vertAlign w:val="baseline"/>
        </w:rPr>
        <w:t>series,</w:t>
      </w:r>
      <w:r>
        <w:rPr>
          <w:i/>
          <w:color w:val="231F20"/>
          <w:spacing w:val="-52"/>
          <w:sz w:val="22"/>
          <w:vertAlign w:val="baseline"/>
        </w:rPr>
        <w:t> </w:t>
      </w:r>
      <w:r>
        <w:rPr>
          <w:i/>
          <w:color w:val="231F20"/>
          <w:spacing w:val="-1"/>
          <w:sz w:val="22"/>
          <w:vertAlign w:val="baseline"/>
        </w:rPr>
        <w:t>no. 37. </w:t>
      </w:r>
      <w:r>
        <w:rPr>
          <w:color w:val="231F20"/>
          <w:spacing w:val="-1"/>
          <w:sz w:val="22"/>
          <w:vertAlign w:val="baseline"/>
        </w:rPr>
        <w:t>Substance Abuse and Mental Health </w:t>
      </w:r>
      <w:r>
        <w:rPr>
          <w:color w:val="231F20"/>
          <w:sz w:val="22"/>
          <w:vertAlign w:val="baseline"/>
        </w:rPr>
        <w:t>Services</w:t>
      </w:r>
      <w:r>
        <w:rPr>
          <w:color w:val="231F20"/>
          <w:spacing w:val="-52"/>
          <w:sz w:val="22"/>
          <w:vertAlign w:val="baseline"/>
        </w:rPr>
        <w:t> </w:t>
      </w:r>
      <w:r>
        <w:rPr>
          <w:color w:val="231F20"/>
          <w:sz w:val="22"/>
          <w:vertAlign w:val="baseline"/>
        </w:rPr>
        <w:t>Administration. </w:t>
      </w:r>
      <w:hyperlink r:id="rId312">
        <w:r>
          <w:rPr>
            <w:color w:val="3953A4"/>
            <w:sz w:val="22"/>
            <w:u w:val="single" w:color="3953A4"/>
            <w:vertAlign w:val="baseline"/>
          </w:rPr>
          <w:t>https://www.ncbi.nlm.nih.gov/</w:t>
        </w:r>
      </w:hyperlink>
      <w:r>
        <w:rPr>
          <w:color w:val="3953A4"/>
          <w:spacing w:val="1"/>
          <w:sz w:val="22"/>
          <w:vertAlign w:val="baseline"/>
        </w:rPr>
        <w:t> </w:t>
      </w:r>
      <w:hyperlink r:id="rId312">
        <w:r>
          <w:rPr>
            <w:color w:val="3953A4"/>
            <w:sz w:val="22"/>
            <w:u w:val="single" w:color="3953A4"/>
            <w:vertAlign w:val="baseline"/>
          </w:rPr>
          <w:t>books/NBK64925/</w:t>
        </w:r>
      </w:hyperlink>
    </w:p>
    <w:p>
      <w:pPr>
        <w:tabs>
          <w:tab w:pos="519" w:val="left" w:leader="none"/>
        </w:tabs>
        <w:spacing w:line="228" w:lineRule="auto" w:before="88"/>
        <w:ind w:left="520" w:right="821" w:hanging="360"/>
        <w:jc w:val="left"/>
        <w:rPr>
          <w:sz w:val="22"/>
        </w:rPr>
      </w:pPr>
      <w:r>
        <w:rPr>
          <w:color w:val="231F20"/>
          <w:sz w:val="22"/>
          <w:vertAlign w:val="superscript"/>
        </w:rPr>
        <w:t>59</w:t>
      </w:r>
      <w:r>
        <w:rPr>
          <w:color w:val="231F20"/>
          <w:sz w:val="22"/>
          <w:vertAlign w:val="baseline"/>
        </w:rPr>
        <w:tab/>
        <w:t>Kaiser Family Foundation. (2019, February 4). </w:t>
      </w:r>
      <w:r>
        <w:rPr>
          <w:i/>
          <w:color w:val="231F20"/>
          <w:sz w:val="22"/>
          <w:vertAlign w:val="baseline"/>
        </w:rPr>
        <w:t>The</w:t>
      </w:r>
      <w:r>
        <w:rPr>
          <w:i/>
          <w:color w:val="231F20"/>
          <w:spacing w:val="1"/>
          <w:sz w:val="22"/>
          <w:vertAlign w:val="baseline"/>
        </w:rPr>
        <w:t> </w:t>
      </w:r>
      <w:r>
        <w:rPr>
          <w:i/>
          <w:color w:val="231F20"/>
          <w:sz w:val="22"/>
          <w:vertAlign w:val="baseline"/>
        </w:rPr>
        <w:t>Ryan</w:t>
      </w:r>
      <w:r>
        <w:rPr>
          <w:i/>
          <w:color w:val="231F20"/>
          <w:spacing w:val="-4"/>
          <w:sz w:val="22"/>
          <w:vertAlign w:val="baseline"/>
        </w:rPr>
        <w:t> </w:t>
      </w:r>
      <w:r>
        <w:rPr>
          <w:i/>
          <w:color w:val="231F20"/>
          <w:sz w:val="22"/>
          <w:vertAlign w:val="baseline"/>
        </w:rPr>
        <w:t>White</w:t>
      </w:r>
      <w:r>
        <w:rPr>
          <w:i/>
          <w:color w:val="231F20"/>
          <w:spacing w:val="-4"/>
          <w:sz w:val="22"/>
          <w:vertAlign w:val="baseline"/>
        </w:rPr>
        <w:t> </w:t>
      </w:r>
      <w:r>
        <w:rPr>
          <w:i/>
          <w:color w:val="231F20"/>
          <w:sz w:val="22"/>
          <w:vertAlign w:val="baseline"/>
        </w:rPr>
        <w:t>HIV/AIDS</w:t>
      </w:r>
      <w:r>
        <w:rPr>
          <w:i/>
          <w:color w:val="231F20"/>
          <w:spacing w:val="-4"/>
          <w:sz w:val="22"/>
          <w:vertAlign w:val="baseline"/>
        </w:rPr>
        <w:t> </w:t>
      </w:r>
      <w:r>
        <w:rPr>
          <w:i/>
          <w:color w:val="231F20"/>
          <w:sz w:val="22"/>
          <w:vertAlign w:val="baseline"/>
        </w:rPr>
        <w:t>program:</w:t>
      </w:r>
      <w:r>
        <w:rPr>
          <w:i/>
          <w:color w:val="231F20"/>
          <w:spacing w:val="-4"/>
          <w:sz w:val="22"/>
          <w:vertAlign w:val="baseline"/>
        </w:rPr>
        <w:t> </w:t>
      </w:r>
      <w:r>
        <w:rPr>
          <w:i/>
          <w:color w:val="231F20"/>
          <w:sz w:val="22"/>
          <w:vertAlign w:val="baseline"/>
        </w:rPr>
        <w:t>The</w:t>
      </w:r>
      <w:r>
        <w:rPr>
          <w:i/>
          <w:color w:val="231F20"/>
          <w:spacing w:val="-4"/>
          <w:sz w:val="22"/>
          <w:vertAlign w:val="baseline"/>
        </w:rPr>
        <w:t> </w:t>
      </w:r>
      <w:r>
        <w:rPr>
          <w:i/>
          <w:color w:val="231F20"/>
          <w:sz w:val="22"/>
          <w:vertAlign w:val="baseline"/>
        </w:rPr>
        <w:t>basics</w:t>
      </w:r>
      <w:r>
        <w:rPr>
          <w:color w:val="231F20"/>
          <w:sz w:val="22"/>
          <w:vertAlign w:val="baseline"/>
        </w:rPr>
        <w:t>.</w:t>
      </w:r>
      <w:r>
        <w:rPr>
          <w:color w:val="231F20"/>
          <w:spacing w:val="-4"/>
          <w:sz w:val="22"/>
          <w:vertAlign w:val="baseline"/>
        </w:rPr>
        <w:t> </w:t>
      </w:r>
      <w:hyperlink r:id="rId313">
        <w:r>
          <w:rPr>
            <w:color w:val="3953A4"/>
            <w:sz w:val="22"/>
            <w:u w:val="single" w:color="3953A4"/>
            <w:vertAlign w:val="baseline"/>
          </w:rPr>
          <w:t>https://</w:t>
        </w:r>
      </w:hyperlink>
      <w:r>
        <w:rPr>
          <w:color w:val="3953A4"/>
          <w:spacing w:val="-52"/>
          <w:sz w:val="22"/>
          <w:vertAlign w:val="baseline"/>
        </w:rPr>
        <w:t> </w:t>
      </w:r>
      <w:hyperlink r:id="rId313">
        <w:r>
          <w:rPr>
            <w:color w:val="3953A4"/>
            <w:sz w:val="22"/>
            <w:u w:val="single" w:color="3953A4"/>
            <w:vertAlign w:val="baseline"/>
          </w:rPr>
          <w:t>www.kff.org/hivaids/fact-sheet/the-ryan-white-</w:t>
        </w:r>
      </w:hyperlink>
      <w:r>
        <w:rPr>
          <w:color w:val="3953A4"/>
          <w:spacing w:val="1"/>
          <w:sz w:val="22"/>
          <w:vertAlign w:val="baseline"/>
        </w:rPr>
        <w:t> </w:t>
      </w:r>
      <w:hyperlink r:id="rId313">
        <w:r>
          <w:rPr>
            <w:color w:val="3953A4"/>
            <w:sz w:val="22"/>
            <w:u w:val="single" w:color="3953A4"/>
            <w:vertAlign w:val="baseline"/>
          </w:rPr>
          <w:t>hivaids-program-the-basics/</w:t>
        </w:r>
      </w:hyperlink>
    </w:p>
    <w:p>
      <w:pPr>
        <w:tabs>
          <w:tab w:pos="519" w:val="left" w:leader="none"/>
        </w:tabs>
        <w:spacing w:line="228" w:lineRule="auto" w:before="88"/>
        <w:ind w:left="520" w:right="890" w:hanging="360"/>
        <w:jc w:val="left"/>
        <w:rPr>
          <w:sz w:val="22"/>
        </w:rPr>
      </w:pPr>
      <w:r>
        <w:rPr>
          <w:color w:val="231F20"/>
          <w:sz w:val="22"/>
          <w:vertAlign w:val="superscript"/>
        </w:rPr>
        <w:t>60</w:t>
      </w:r>
      <w:r>
        <w:rPr>
          <w:color w:val="231F20"/>
          <w:sz w:val="22"/>
          <w:vertAlign w:val="baseline"/>
        </w:rPr>
        <w:tab/>
      </w:r>
      <w:r>
        <w:rPr>
          <w:color w:val="231F20"/>
          <w:spacing w:val="-1"/>
          <w:sz w:val="22"/>
          <w:vertAlign w:val="baseline"/>
        </w:rPr>
        <w:t>Center for </w:t>
      </w:r>
      <w:r>
        <w:rPr>
          <w:color w:val="231F20"/>
          <w:sz w:val="22"/>
          <w:vertAlign w:val="baseline"/>
        </w:rPr>
        <w:t>Substance Abuse Treatment. (2009).</w:t>
      </w:r>
      <w:r>
        <w:rPr>
          <w:color w:val="231F20"/>
          <w:spacing w:val="1"/>
          <w:sz w:val="22"/>
          <w:vertAlign w:val="baseline"/>
        </w:rPr>
        <w:t> </w:t>
      </w:r>
      <w:r>
        <w:rPr>
          <w:i/>
          <w:color w:val="231F20"/>
          <w:sz w:val="22"/>
          <w:vertAlign w:val="baseline"/>
        </w:rPr>
        <w:t>Implementing</w:t>
      </w:r>
      <w:r>
        <w:rPr>
          <w:i/>
          <w:color w:val="231F20"/>
          <w:spacing w:val="-4"/>
          <w:sz w:val="22"/>
          <w:vertAlign w:val="baseline"/>
        </w:rPr>
        <w:t> </w:t>
      </w:r>
      <w:r>
        <w:rPr>
          <w:i/>
          <w:color w:val="231F20"/>
          <w:sz w:val="22"/>
          <w:vertAlign w:val="baseline"/>
        </w:rPr>
        <w:t>change</w:t>
      </w:r>
      <w:r>
        <w:rPr>
          <w:i/>
          <w:color w:val="231F20"/>
          <w:spacing w:val="-3"/>
          <w:sz w:val="22"/>
          <w:vertAlign w:val="baseline"/>
        </w:rPr>
        <w:t> </w:t>
      </w:r>
      <w:r>
        <w:rPr>
          <w:i/>
          <w:color w:val="231F20"/>
          <w:sz w:val="22"/>
          <w:vertAlign w:val="baseline"/>
        </w:rPr>
        <w:t>in</w:t>
      </w:r>
      <w:r>
        <w:rPr>
          <w:i/>
          <w:color w:val="231F20"/>
          <w:spacing w:val="-3"/>
          <w:sz w:val="22"/>
          <w:vertAlign w:val="baseline"/>
        </w:rPr>
        <w:t> </w:t>
      </w:r>
      <w:r>
        <w:rPr>
          <w:i/>
          <w:color w:val="231F20"/>
          <w:sz w:val="22"/>
          <w:vertAlign w:val="baseline"/>
        </w:rPr>
        <w:t>substance</w:t>
      </w:r>
      <w:r>
        <w:rPr>
          <w:i/>
          <w:color w:val="231F20"/>
          <w:spacing w:val="-4"/>
          <w:sz w:val="22"/>
          <w:vertAlign w:val="baseline"/>
        </w:rPr>
        <w:t> </w:t>
      </w:r>
      <w:r>
        <w:rPr>
          <w:i/>
          <w:color w:val="231F20"/>
          <w:sz w:val="22"/>
          <w:vertAlign w:val="baseline"/>
        </w:rPr>
        <w:t>abuse</w:t>
      </w:r>
      <w:r>
        <w:rPr>
          <w:i/>
          <w:color w:val="231F20"/>
          <w:spacing w:val="-4"/>
          <w:sz w:val="22"/>
          <w:vertAlign w:val="baseline"/>
        </w:rPr>
        <w:t> </w:t>
      </w:r>
      <w:r>
        <w:rPr>
          <w:i/>
          <w:color w:val="231F20"/>
          <w:sz w:val="22"/>
          <w:vertAlign w:val="baseline"/>
        </w:rPr>
        <w:t>treatment</w:t>
      </w:r>
      <w:r>
        <w:rPr>
          <w:i/>
          <w:color w:val="231F20"/>
          <w:spacing w:val="-52"/>
          <w:sz w:val="22"/>
          <w:vertAlign w:val="baseline"/>
        </w:rPr>
        <w:t> </w:t>
      </w:r>
      <w:r>
        <w:rPr>
          <w:i/>
          <w:color w:val="231F20"/>
          <w:spacing w:val="-2"/>
          <w:sz w:val="22"/>
          <w:vertAlign w:val="baseline"/>
        </w:rPr>
        <w:t>programs.</w:t>
      </w:r>
      <w:r>
        <w:rPr>
          <w:i/>
          <w:color w:val="231F20"/>
          <w:spacing w:val="-4"/>
          <w:sz w:val="22"/>
          <w:vertAlign w:val="baseline"/>
        </w:rPr>
        <w:t> </w:t>
      </w:r>
      <w:r>
        <w:rPr>
          <w:color w:val="231F20"/>
          <w:spacing w:val="-1"/>
          <w:sz w:val="22"/>
          <w:vertAlign w:val="baseline"/>
        </w:rPr>
        <w:t>Technical</w:t>
      </w:r>
      <w:r>
        <w:rPr>
          <w:color w:val="231F20"/>
          <w:spacing w:val="-12"/>
          <w:sz w:val="22"/>
          <w:vertAlign w:val="baseline"/>
        </w:rPr>
        <w:t> </w:t>
      </w:r>
      <w:r>
        <w:rPr>
          <w:color w:val="231F20"/>
          <w:spacing w:val="-1"/>
          <w:sz w:val="22"/>
          <w:vertAlign w:val="baseline"/>
        </w:rPr>
        <w:t>Assistance Publication</w:t>
      </w:r>
      <w:r>
        <w:rPr>
          <w:color w:val="231F20"/>
          <w:sz w:val="22"/>
          <w:vertAlign w:val="baseline"/>
        </w:rPr>
        <w:t> </w:t>
      </w:r>
      <w:r>
        <w:rPr>
          <w:color w:val="231F20"/>
          <w:spacing w:val="-1"/>
          <w:sz w:val="22"/>
          <w:vertAlign w:val="baseline"/>
        </w:rPr>
        <w:t>Series</w:t>
      </w:r>
    </w:p>
    <w:p>
      <w:pPr>
        <w:pStyle w:val="BodyText"/>
        <w:spacing w:line="228" w:lineRule="auto"/>
        <w:ind w:left="520" w:right="710"/>
      </w:pPr>
      <w:r>
        <w:rPr>
          <w:color w:val="231F20"/>
        </w:rPr>
        <w:t>31.</w:t>
      </w:r>
      <w:r>
        <w:rPr>
          <w:color w:val="231F20"/>
          <w:spacing w:val="-4"/>
        </w:rPr>
        <w:t> </w:t>
      </w:r>
      <w:r>
        <w:rPr>
          <w:color w:val="231F20"/>
        </w:rPr>
        <w:t>HHS</w:t>
      </w:r>
      <w:r>
        <w:rPr>
          <w:color w:val="231F20"/>
          <w:spacing w:val="-5"/>
        </w:rPr>
        <w:t> </w:t>
      </w:r>
      <w:r>
        <w:rPr>
          <w:color w:val="231F20"/>
        </w:rPr>
        <w:t>Publication</w:t>
      </w:r>
      <w:r>
        <w:rPr>
          <w:color w:val="231F20"/>
          <w:spacing w:val="-4"/>
        </w:rPr>
        <w:t> </w:t>
      </w:r>
      <w:r>
        <w:rPr>
          <w:color w:val="231F20"/>
        </w:rPr>
        <w:t>No.</w:t>
      </w:r>
      <w:r>
        <w:rPr>
          <w:color w:val="231F20"/>
          <w:spacing w:val="-5"/>
        </w:rPr>
        <w:t> </w:t>
      </w:r>
      <w:r>
        <w:rPr>
          <w:color w:val="231F20"/>
        </w:rPr>
        <w:t>(SMA)</w:t>
      </w:r>
      <w:r>
        <w:rPr>
          <w:color w:val="231F20"/>
          <w:spacing w:val="-3"/>
        </w:rPr>
        <w:t> </w:t>
      </w:r>
      <w:r>
        <w:rPr>
          <w:color w:val="231F20"/>
        </w:rPr>
        <w:t>09-4377.</w:t>
      </w:r>
      <w:r>
        <w:rPr>
          <w:color w:val="231F20"/>
          <w:spacing w:val="-4"/>
        </w:rPr>
        <w:t> </w:t>
      </w:r>
      <w:r>
        <w:rPr>
          <w:color w:val="231F20"/>
        </w:rPr>
        <w:t>Substance</w:t>
      </w:r>
      <w:r>
        <w:rPr>
          <w:color w:val="231F20"/>
          <w:spacing w:val="-52"/>
        </w:rPr>
        <w:t> </w:t>
      </w:r>
      <w:r>
        <w:rPr>
          <w:color w:val="231F20"/>
          <w:spacing w:val="-1"/>
        </w:rPr>
        <w:t>Abuse and Mental Health Services Administration.</w:t>
      </w:r>
      <w:r>
        <w:rPr>
          <w:color w:val="3953A4"/>
        </w:rPr>
        <w:t> </w:t>
      </w:r>
      <w:hyperlink r:id="rId314">
        <w:r>
          <w:rPr>
            <w:color w:val="3953A4"/>
            <w:u w:val="single" w:color="3953A4"/>
          </w:rPr>
          <w:t>https://www.ctcertboard.org/files/pdfs/TAP31.pdf</w:t>
        </w:r>
      </w:hyperlink>
    </w:p>
    <w:p>
      <w:pPr>
        <w:tabs>
          <w:tab w:pos="519" w:val="left" w:leader="none"/>
        </w:tabs>
        <w:spacing w:line="228" w:lineRule="auto" w:before="88"/>
        <w:ind w:left="519" w:right="888" w:hanging="360"/>
        <w:jc w:val="left"/>
        <w:rPr>
          <w:sz w:val="22"/>
        </w:rPr>
      </w:pPr>
      <w:r>
        <w:rPr>
          <w:color w:val="231F20"/>
          <w:sz w:val="22"/>
          <w:vertAlign w:val="superscript"/>
        </w:rPr>
        <w:t>61</w:t>
      </w:r>
      <w:r>
        <w:rPr>
          <w:color w:val="231F20"/>
          <w:sz w:val="22"/>
          <w:vertAlign w:val="baseline"/>
        </w:rPr>
        <w:tab/>
      </w:r>
      <w:hyperlink r:id="rId37">
        <w:r>
          <w:rPr>
            <w:color w:val="231F20"/>
            <w:sz w:val="22"/>
            <w:vertAlign w:val="baseline"/>
          </w:rPr>
          <w:t>HIV.gov</w:t>
        </w:r>
      </w:hyperlink>
      <w:r>
        <w:rPr>
          <w:color w:val="231F20"/>
          <w:sz w:val="22"/>
          <w:vertAlign w:val="baseline"/>
        </w:rPr>
        <w:t>.</w:t>
      </w:r>
      <w:r>
        <w:rPr>
          <w:color w:val="231F20"/>
          <w:spacing w:val="-8"/>
          <w:sz w:val="22"/>
          <w:vertAlign w:val="baseline"/>
        </w:rPr>
        <w:t> </w:t>
      </w:r>
      <w:r>
        <w:rPr>
          <w:color w:val="231F20"/>
          <w:sz w:val="22"/>
          <w:vertAlign w:val="baseline"/>
        </w:rPr>
        <w:t>(2019,</w:t>
      </w:r>
      <w:r>
        <w:rPr>
          <w:color w:val="231F20"/>
          <w:spacing w:val="-7"/>
          <w:sz w:val="22"/>
          <w:vertAlign w:val="baseline"/>
        </w:rPr>
        <w:t> </w:t>
      </w:r>
      <w:r>
        <w:rPr>
          <w:color w:val="231F20"/>
          <w:sz w:val="22"/>
          <w:vertAlign w:val="baseline"/>
        </w:rPr>
        <w:t>September</w:t>
      </w:r>
      <w:r>
        <w:rPr>
          <w:color w:val="231F20"/>
          <w:spacing w:val="-9"/>
          <w:sz w:val="22"/>
          <w:vertAlign w:val="baseline"/>
        </w:rPr>
        <w:t> </w:t>
      </w:r>
      <w:r>
        <w:rPr>
          <w:color w:val="231F20"/>
          <w:sz w:val="22"/>
          <w:vertAlign w:val="baseline"/>
        </w:rPr>
        <w:t>3).</w:t>
      </w:r>
      <w:r>
        <w:rPr>
          <w:color w:val="231F20"/>
          <w:spacing w:val="-7"/>
          <w:sz w:val="22"/>
          <w:vertAlign w:val="baseline"/>
        </w:rPr>
        <w:t> </w:t>
      </w:r>
      <w:r>
        <w:rPr>
          <w:i/>
          <w:color w:val="231F20"/>
          <w:sz w:val="22"/>
          <w:vertAlign w:val="baseline"/>
        </w:rPr>
        <w:t>What</w:t>
      </w:r>
      <w:r>
        <w:rPr>
          <w:i/>
          <w:color w:val="231F20"/>
          <w:spacing w:val="-7"/>
          <w:sz w:val="22"/>
          <w:vertAlign w:val="baseline"/>
        </w:rPr>
        <w:t> </w:t>
      </w:r>
      <w:r>
        <w:rPr>
          <w:i/>
          <w:color w:val="231F20"/>
          <w:sz w:val="22"/>
          <w:vertAlign w:val="baseline"/>
        </w:rPr>
        <w:t>is</w:t>
      </w:r>
      <w:r>
        <w:rPr>
          <w:i/>
          <w:color w:val="231F20"/>
          <w:spacing w:val="-8"/>
          <w:sz w:val="22"/>
          <w:vertAlign w:val="baseline"/>
        </w:rPr>
        <w:t> </w:t>
      </w:r>
      <w:r>
        <w:rPr>
          <w:i/>
          <w:color w:val="231F20"/>
          <w:sz w:val="22"/>
          <w:vertAlign w:val="baseline"/>
        </w:rPr>
        <w:t>‘Ending</w:t>
      </w:r>
      <w:r>
        <w:rPr>
          <w:i/>
          <w:color w:val="231F20"/>
          <w:spacing w:val="-7"/>
          <w:sz w:val="22"/>
          <w:vertAlign w:val="baseline"/>
        </w:rPr>
        <w:t> </w:t>
      </w:r>
      <w:r>
        <w:rPr>
          <w:i/>
          <w:color w:val="231F20"/>
          <w:sz w:val="22"/>
          <w:vertAlign w:val="baseline"/>
        </w:rPr>
        <w:t>the</w:t>
      </w:r>
      <w:r>
        <w:rPr>
          <w:i/>
          <w:color w:val="231F20"/>
          <w:spacing w:val="-52"/>
          <w:sz w:val="22"/>
          <w:vertAlign w:val="baseline"/>
        </w:rPr>
        <w:t> </w:t>
      </w:r>
      <w:r>
        <w:rPr>
          <w:i/>
          <w:color w:val="231F20"/>
          <w:sz w:val="22"/>
          <w:vertAlign w:val="baseline"/>
        </w:rPr>
        <w:t>HIV Epidemic: A plan for America’? </w:t>
      </w:r>
      <w:hyperlink r:id="rId43">
        <w:r>
          <w:rPr>
            <w:color w:val="3953A4"/>
            <w:sz w:val="22"/>
            <w:u w:val="single" w:color="3953A4"/>
            <w:vertAlign w:val="baseline"/>
          </w:rPr>
          <w:t>https://www.</w:t>
        </w:r>
      </w:hyperlink>
      <w:r>
        <w:rPr>
          <w:color w:val="3953A4"/>
          <w:spacing w:val="1"/>
          <w:sz w:val="22"/>
          <w:vertAlign w:val="baseline"/>
        </w:rPr>
        <w:t> </w:t>
      </w:r>
      <w:hyperlink r:id="rId43">
        <w:r>
          <w:rPr>
            <w:color w:val="3953A4"/>
            <w:sz w:val="22"/>
            <w:u w:val="single" w:color="3953A4"/>
            <w:vertAlign w:val="baseline"/>
          </w:rPr>
          <w:t>hiv.gov/federal-response/ending-the-hiv-epidemic/</w:t>
        </w:r>
      </w:hyperlink>
      <w:r>
        <w:rPr>
          <w:color w:val="3953A4"/>
          <w:spacing w:val="-52"/>
          <w:sz w:val="22"/>
          <w:vertAlign w:val="baseline"/>
        </w:rPr>
        <w:t> </w:t>
      </w:r>
      <w:hyperlink r:id="rId43">
        <w:r>
          <w:rPr>
            <w:color w:val="3953A4"/>
            <w:sz w:val="22"/>
            <w:u w:val="single" w:color="3953A4"/>
            <w:vertAlign w:val="baseline"/>
          </w:rPr>
          <w:t>overview</w:t>
        </w:r>
      </w:hyperlink>
    </w:p>
    <w:p>
      <w:pPr>
        <w:tabs>
          <w:tab w:pos="519" w:val="left" w:leader="none"/>
        </w:tabs>
        <w:spacing w:line="228" w:lineRule="auto" w:before="89"/>
        <w:ind w:left="520" w:right="1011" w:hanging="360"/>
        <w:jc w:val="left"/>
        <w:rPr>
          <w:sz w:val="22"/>
        </w:rPr>
      </w:pPr>
      <w:r>
        <w:rPr>
          <w:color w:val="231F20"/>
          <w:sz w:val="22"/>
          <w:vertAlign w:val="superscript"/>
        </w:rPr>
        <w:t>62</w:t>
      </w:r>
      <w:r>
        <w:rPr>
          <w:color w:val="231F20"/>
          <w:sz w:val="22"/>
          <w:vertAlign w:val="baseline"/>
        </w:rPr>
        <w:tab/>
        <w:t>Andrews, M. (2019, July 15). </w:t>
      </w:r>
      <w:r>
        <w:rPr>
          <w:i/>
          <w:color w:val="231F20"/>
          <w:sz w:val="22"/>
          <w:vertAlign w:val="baseline"/>
        </w:rPr>
        <w:t>Even when HIV</w:t>
      </w:r>
      <w:r>
        <w:rPr>
          <w:i/>
          <w:color w:val="231F20"/>
          <w:spacing w:val="1"/>
          <w:sz w:val="22"/>
          <w:vertAlign w:val="baseline"/>
        </w:rPr>
        <w:t> </w:t>
      </w:r>
      <w:r>
        <w:rPr>
          <w:i/>
          <w:color w:val="231F20"/>
          <w:sz w:val="22"/>
          <w:vertAlign w:val="baseline"/>
        </w:rPr>
        <w:t>prevention drug is covered, other costs block</w:t>
      </w:r>
      <w:r>
        <w:rPr>
          <w:i/>
          <w:color w:val="231F20"/>
          <w:spacing w:val="1"/>
          <w:sz w:val="22"/>
          <w:vertAlign w:val="baseline"/>
        </w:rPr>
        <w:t> </w:t>
      </w:r>
      <w:r>
        <w:rPr>
          <w:i/>
          <w:color w:val="231F20"/>
          <w:sz w:val="22"/>
          <w:vertAlign w:val="baseline"/>
        </w:rPr>
        <w:t>treatment</w:t>
      </w:r>
      <w:r>
        <w:rPr>
          <w:color w:val="231F20"/>
          <w:sz w:val="22"/>
          <w:vertAlign w:val="baseline"/>
        </w:rPr>
        <w:t>. Kaiser Health News. </w:t>
      </w:r>
      <w:hyperlink r:id="rId315">
        <w:r>
          <w:rPr>
            <w:color w:val="3953A4"/>
            <w:sz w:val="22"/>
            <w:u w:val="single" w:color="3953A4"/>
            <w:vertAlign w:val="baseline"/>
          </w:rPr>
          <w:t>https://khn.org/</w:t>
        </w:r>
      </w:hyperlink>
      <w:r>
        <w:rPr>
          <w:color w:val="3953A4"/>
          <w:spacing w:val="1"/>
          <w:sz w:val="22"/>
          <w:vertAlign w:val="baseline"/>
        </w:rPr>
        <w:t> </w:t>
      </w:r>
      <w:hyperlink r:id="rId315">
        <w:r>
          <w:rPr>
            <w:color w:val="3953A4"/>
            <w:sz w:val="22"/>
            <w:u w:val="single" w:color="3953A4"/>
            <w:vertAlign w:val="baseline"/>
          </w:rPr>
          <w:t>news/even-when-hiv-prevention-drug-is-covered-</w:t>
        </w:r>
      </w:hyperlink>
      <w:r>
        <w:rPr>
          <w:color w:val="3953A4"/>
          <w:spacing w:val="-53"/>
          <w:sz w:val="22"/>
          <w:vertAlign w:val="baseline"/>
        </w:rPr>
        <w:t> </w:t>
      </w:r>
      <w:hyperlink r:id="rId315">
        <w:r>
          <w:rPr>
            <w:color w:val="3953A4"/>
            <w:sz w:val="22"/>
            <w:u w:val="single" w:color="3953A4"/>
            <w:vertAlign w:val="baseline"/>
          </w:rPr>
          <w:t>other-costs-block-treatment/</w:t>
        </w:r>
      </w:hyperlink>
    </w:p>
    <w:p>
      <w:pPr>
        <w:tabs>
          <w:tab w:pos="519" w:val="left" w:leader="none"/>
        </w:tabs>
        <w:spacing w:line="228" w:lineRule="auto" w:before="88"/>
        <w:ind w:left="520" w:right="867" w:hanging="360"/>
        <w:jc w:val="left"/>
        <w:rPr>
          <w:sz w:val="22"/>
        </w:rPr>
      </w:pPr>
      <w:r>
        <w:rPr>
          <w:color w:val="231F20"/>
          <w:sz w:val="22"/>
          <w:vertAlign w:val="superscript"/>
        </w:rPr>
        <w:t>63</w:t>
      </w:r>
      <w:r>
        <w:rPr>
          <w:color w:val="231F20"/>
          <w:sz w:val="22"/>
          <w:vertAlign w:val="baseline"/>
        </w:rPr>
        <w:tab/>
        <w:t>Keith, K. (2019, September 1). </w:t>
      </w:r>
      <w:r>
        <w:rPr>
          <w:i/>
          <w:color w:val="231F20"/>
          <w:sz w:val="22"/>
          <w:vertAlign w:val="baseline"/>
        </w:rPr>
        <w:t>Centers for</w:t>
      </w:r>
      <w:r>
        <w:rPr>
          <w:i/>
          <w:color w:val="231F20"/>
          <w:spacing w:val="1"/>
          <w:sz w:val="22"/>
          <w:vertAlign w:val="baseline"/>
        </w:rPr>
        <w:t> </w:t>
      </w:r>
      <w:r>
        <w:rPr>
          <w:i/>
          <w:color w:val="231F20"/>
          <w:sz w:val="22"/>
          <w:vertAlign w:val="baseline"/>
        </w:rPr>
        <w:t>Medicare</w:t>
      </w:r>
      <w:r>
        <w:rPr>
          <w:i/>
          <w:color w:val="231F20"/>
          <w:spacing w:val="-5"/>
          <w:sz w:val="22"/>
          <w:vertAlign w:val="baseline"/>
        </w:rPr>
        <w:t> </w:t>
      </w:r>
      <w:r>
        <w:rPr>
          <w:i/>
          <w:color w:val="231F20"/>
          <w:sz w:val="22"/>
          <w:vertAlign w:val="baseline"/>
        </w:rPr>
        <w:t>and</w:t>
      </w:r>
      <w:r>
        <w:rPr>
          <w:i/>
          <w:color w:val="231F20"/>
          <w:spacing w:val="-5"/>
          <w:sz w:val="22"/>
          <w:vertAlign w:val="baseline"/>
        </w:rPr>
        <w:t> </w:t>
      </w:r>
      <w:r>
        <w:rPr>
          <w:i/>
          <w:color w:val="231F20"/>
          <w:sz w:val="22"/>
          <w:vertAlign w:val="baseline"/>
        </w:rPr>
        <w:t>Medicaid</w:t>
      </w:r>
      <w:r>
        <w:rPr>
          <w:i/>
          <w:color w:val="231F20"/>
          <w:spacing w:val="-5"/>
          <w:sz w:val="22"/>
          <w:vertAlign w:val="baseline"/>
        </w:rPr>
        <w:t> </w:t>
      </w:r>
      <w:r>
        <w:rPr>
          <w:i/>
          <w:color w:val="231F20"/>
          <w:sz w:val="22"/>
          <w:vertAlign w:val="baseline"/>
        </w:rPr>
        <w:t>Services</w:t>
      </w:r>
      <w:r>
        <w:rPr>
          <w:i/>
          <w:color w:val="231F20"/>
          <w:spacing w:val="-5"/>
          <w:sz w:val="22"/>
          <w:vertAlign w:val="baseline"/>
        </w:rPr>
        <w:t> </w:t>
      </w:r>
      <w:r>
        <w:rPr>
          <w:i/>
          <w:color w:val="231F20"/>
          <w:sz w:val="22"/>
          <w:vertAlign w:val="baseline"/>
        </w:rPr>
        <w:t>(CMS)</w:t>
      </w:r>
      <w:r>
        <w:rPr>
          <w:i/>
          <w:color w:val="231F20"/>
          <w:spacing w:val="-5"/>
          <w:sz w:val="22"/>
          <w:vertAlign w:val="baseline"/>
        </w:rPr>
        <w:t> </w:t>
      </w:r>
      <w:r>
        <w:rPr>
          <w:i/>
          <w:color w:val="231F20"/>
          <w:sz w:val="22"/>
          <w:vertAlign w:val="baseline"/>
        </w:rPr>
        <w:t>announces</w:t>
      </w:r>
      <w:r>
        <w:rPr>
          <w:i/>
          <w:color w:val="231F20"/>
          <w:spacing w:val="-52"/>
          <w:sz w:val="22"/>
          <w:vertAlign w:val="baseline"/>
        </w:rPr>
        <w:t> </w:t>
      </w:r>
      <w:r>
        <w:rPr>
          <w:i/>
          <w:color w:val="231F20"/>
          <w:sz w:val="22"/>
          <w:vertAlign w:val="baseline"/>
        </w:rPr>
        <w:t>new navigator grantees for 2020, 2021. </w:t>
      </w:r>
      <w:r>
        <w:rPr>
          <w:color w:val="231F20"/>
          <w:sz w:val="22"/>
          <w:vertAlign w:val="baseline"/>
        </w:rPr>
        <w:t>Health</w:t>
      </w:r>
      <w:r>
        <w:rPr>
          <w:color w:val="231F20"/>
          <w:spacing w:val="1"/>
          <w:sz w:val="22"/>
          <w:vertAlign w:val="baseline"/>
        </w:rPr>
        <w:t> </w:t>
      </w:r>
      <w:r>
        <w:rPr>
          <w:color w:val="231F20"/>
          <w:sz w:val="22"/>
          <w:vertAlign w:val="baseline"/>
        </w:rPr>
        <w:t>Affairs. </w:t>
      </w:r>
      <w:hyperlink r:id="rId316">
        <w:r>
          <w:rPr>
            <w:color w:val="3953A4"/>
            <w:sz w:val="22"/>
            <w:u w:val="single" w:color="3953A4"/>
            <w:vertAlign w:val="baseline"/>
          </w:rPr>
          <w:t>https://www.healthaffairs.org/do/10.1377/</w:t>
        </w:r>
      </w:hyperlink>
      <w:r>
        <w:rPr>
          <w:color w:val="3953A4"/>
          <w:spacing w:val="1"/>
          <w:sz w:val="22"/>
          <w:vertAlign w:val="baseline"/>
        </w:rPr>
        <w:t> </w:t>
      </w:r>
      <w:hyperlink r:id="rId316">
        <w:r>
          <w:rPr>
            <w:color w:val="3953A4"/>
            <w:sz w:val="22"/>
            <w:u w:val="single" w:color="3953A4"/>
            <w:vertAlign w:val="baseline"/>
          </w:rPr>
          <w:t>hblog20190831.204373/full/#:~:text=For%20</w:t>
        </w:r>
      </w:hyperlink>
      <w:r>
        <w:rPr>
          <w:color w:val="3953A4"/>
          <w:spacing w:val="1"/>
          <w:sz w:val="22"/>
          <w:vertAlign w:val="baseline"/>
        </w:rPr>
        <w:t> </w:t>
      </w:r>
      <w:hyperlink r:id="rId316">
        <w:r>
          <w:rPr>
            <w:color w:val="3953A4"/>
            <w:sz w:val="22"/>
            <w:u w:val="single" w:color="3953A4"/>
            <w:vertAlign w:val="baseline"/>
          </w:rPr>
          <w:t>2020%20and%202021%2C%20CMS,based%20</w:t>
        </w:r>
      </w:hyperlink>
      <w:r>
        <w:rPr>
          <w:color w:val="3953A4"/>
          <w:spacing w:val="1"/>
          <w:sz w:val="22"/>
          <w:vertAlign w:val="baseline"/>
        </w:rPr>
        <w:t> </w:t>
      </w:r>
      <w:hyperlink r:id="rId316">
        <w:r>
          <w:rPr>
            <w:color w:val="3953A4"/>
            <w:sz w:val="22"/>
            <w:u w:val="single" w:color="3953A4"/>
            <w:vertAlign w:val="baseline"/>
          </w:rPr>
          <w:t>marketplace%20using%20HealthCare.gov</w:t>
        </w:r>
      </w:hyperlink>
    </w:p>
    <w:p>
      <w:pPr>
        <w:pStyle w:val="BodyText"/>
        <w:tabs>
          <w:tab w:pos="519" w:val="left" w:leader="none"/>
        </w:tabs>
        <w:spacing w:line="246" w:lineRule="exact" w:before="78"/>
        <w:ind w:left="160"/>
      </w:pPr>
      <w:r>
        <w:rPr>
          <w:color w:val="231F20"/>
          <w:vertAlign w:val="superscript"/>
        </w:rPr>
        <w:t>64</w:t>
      </w:r>
      <w:r>
        <w:rPr>
          <w:color w:val="231F20"/>
          <w:vertAlign w:val="baseline"/>
        </w:rPr>
        <w:tab/>
      </w:r>
      <w:r>
        <w:rPr>
          <w:color w:val="231F20"/>
          <w:spacing w:val="-1"/>
          <w:vertAlign w:val="baseline"/>
        </w:rPr>
        <w:t>Safren, S.</w:t>
      </w:r>
      <w:r>
        <w:rPr>
          <w:color w:val="231F20"/>
          <w:spacing w:val="-13"/>
          <w:vertAlign w:val="baseline"/>
        </w:rPr>
        <w:t> </w:t>
      </w:r>
      <w:r>
        <w:rPr>
          <w:color w:val="231F20"/>
          <w:spacing w:val="-1"/>
          <w:vertAlign w:val="baseline"/>
        </w:rPr>
        <w:t>A., O’Cleirigh, C.</w:t>
      </w:r>
      <w:r>
        <w:rPr>
          <w:color w:val="231F20"/>
          <w:vertAlign w:val="baseline"/>
        </w:rPr>
        <w:t> </w:t>
      </w:r>
      <w:r>
        <w:rPr>
          <w:color w:val="231F20"/>
          <w:spacing w:val="-1"/>
          <w:vertAlign w:val="baseline"/>
        </w:rPr>
        <w:t>M., </w:t>
      </w:r>
      <w:r>
        <w:rPr>
          <w:color w:val="231F20"/>
          <w:vertAlign w:val="baseline"/>
        </w:rPr>
        <w:t>Bullis, J.</w:t>
      </w:r>
      <w:r>
        <w:rPr>
          <w:color w:val="231F20"/>
          <w:spacing w:val="-1"/>
          <w:vertAlign w:val="baseline"/>
        </w:rPr>
        <w:t> </w:t>
      </w:r>
      <w:r>
        <w:rPr>
          <w:color w:val="231F20"/>
          <w:vertAlign w:val="baseline"/>
        </w:rPr>
        <w:t>R., Otto,</w:t>
      </w:r>
    </w:p>
    <w:p>
      <w:pPr>
        <w:pStyle w:val="BodyText"/>
        <w:spacing w:line="228" w:lineRule="auto" w:before="4"/>
        <w:ind w:left="520" w:right="739"/>
      </w:pPr>
      <w:r>
        <w:rPr>
          <w:color w:val="231F20"/>
        </w:rPr>
        <w:t>M. W., Stein, M. D., &amp; Pollack, M. H. (2012).</w:t>
      </w:r>
      <w:r>
        <w:rPr>
          <w:color w:val="231F20"/>
          <w:spacing w:val="1"/>
        </w:rPr>
        <w:t> </w:t>
      </w:r>
      <w:r>
        <w:rPr>
          <w:color w:val="231F20"/>
        </w:rPr>
        <w:t>Cognitive behavioral therapy for adherence and</w:t>
      </w:r>
      <w:r>
        <w:rPr>
          <w:color w:val="231F20"/>
          <w:spacing w:val="1"/>
        </w:rPr>
        <w:t> </w:t>
      </w:r>
      <w:r>
        <w:rPr>
          <w:color w:val="231F20"/>
        </w:rPr>
        <w:t>depression (CBT-ad) in HIV-infected injection drug</w:t>
      </w:r>
      <w:r>
        <w:rPr>
          <w:color w:val="231F20"/>
          <w:spacing w:val="1"/>
        </w:rPr>
        <w:t> </w:t>
      </w:r>
      <w:r>
        <w:rPr>
          <w:color w:val="231F20"/>
        </w:rPr>
        <w:t>users: A randomized controlled trial. </w:t>
      </w:r>
      <w:r>
        <w:rPr>
          <w:i/>
          <w:color w:val="231F20"/>
        </w:rPr>
        <w:t>Journal of</w:t>
      </w:r>
      <w:r>
        <w:rPr>
          <w:i/>
          <w:color w:val="231F20"/>
          <w:spacing w:val="1"/>
        </w:rPr>
        <w:t> </w:t>
      </w:r>
      <w:r>
        <w:rPr>
          <w:i/>
          <w:color w:val="231F20"/>
        </w:rPr>
        <w:t>Consulting</w:t>
      </w:r>
      <w:r>
        <w:rPr>
          <w:i/>
          <w:color w:val="231F20"/>
          <w:spacing w:val="-6"/>
        </w:rPr>
        <w:t> </w:t>
      </w:r>
      <w:r>
        <w:rPr>
          <w:i/>
          <w:color w:val="231F20"/>
        </w:rPr>
        <w:t>and</w:t>
      </w:r>
      <w:r>
        <w:rPr>
          <w:i/>
          <w:color w:val="231F20"/>
          <w:spacing w:val="-5"/>
        </w:rPr>
        <w:t> </w:t>
      </w:r>
      <w:r>
        <w:rPr>
          <w:i/>
          <w:color w:val="231F20"/>
        </w:rPr>
        <w:t>Clinical</w:t>
      </w:r>
      <w:r>
        <w:rPr>
          <w:i/>
          <w:color w:val="231F20"/>
          <w:spacing w:val="-6"/>
        </w:rPr>
        <w:t> </w:t>
      </w:r>
      <w:r>
        <w:rPr>
          <w:i/>
          <w:color w:val="231F20"/>
        </w:rPr>
        <w:t>Psychology,</w:t>
      </w:r>
      <w:r>
        <w:rPr>
          <w:i/>
          <w:color w:val="231F20"/>
          <w:spacing w:val="-5"/>
        </w:rPr>
        <w:t> </w:t>
      </w:r>
      <w:r>
        <w:rPr>
          <w:i/>
          <w:color w:val="231F20"/>
        </w:rPr>
        <w:t>80</w:t>
      </w:r>
      <w:r>
        <w:rPr>
          <w:color w:val="231F20"/>
        </w:rPr>
        <w:t>(3),</w:t>
      </w:r>
      <w:r>
        <w:rPr>
          <w:color w:val="231F20"/>
          <w:spacing w:val="-6"/>
        </w:rPr>
        <w:t> </w:t>
      </w:r>
      <w:r>
        <w:rPr>
          <w:color w:val="231F20"/>
        </w:rPr>
        <w:t>404-415.</w:t>
      </w:r>
      <w:r>
        <w:rPr>
          <w:color w:val="3953A4"/>
          <w:spacing w:val="-52"/>
        </w:rPr>
        <w:t> </w:t>
      </w:r>
      <w:hyperlink r:id="rId208">
        <w:r>
          <w:rPr>
            <w:color w:val="3953A4"/>
            <w:u w:val="single" w:color="3953A4"/>
          </w:rPr>
          <w:t>https://doi.org/10.1037/a0028208</w:t>
        </w:r>
      </w:hyperlink>
    </w:p>
    <w:p>
      <w:pPr>
        <w:pStyle w:val="BodyText"/>
        <w:tabs>
          <w:tab w:pos="519" w:val="left" w:leader="none"/>
        </w:tabs>
        <w:spacing w:line="228" w:lineRule="auto" w:before="88"/>
        <w:ind w:left="519" w:right="717" w:hanging="360"/>
      </w:pPr>
      <w:r>
        <w:rPr>
          <w:color w:val="231F20"/>
          <w:vertAlign w:val="superscript"/>
        </w:rPr>
        <w:t>65</w:t>
      </w:r>
      <w:r>
        <w:rPr>
          <w:color w:val="231F20"/>
          <w:vertAlign w:val="baseline"/>
        </w:rPr>
        <w:tab/>
      </w:r>
      <w:r>
        <w:rPr>
          <w:color w:val="231F20"/>
          <w:spacing w:val="-2"/>
          <w:vertAlign w:val="baseline"/>
        </w:rPr>
        <w:t>Petry,</w:t>
      </w:r>
      <w:r>
        <w:rPr>
          <w:color w:val="231F20"/>
          <w:spacing w:val="4"/>
          <w:vertAlign w:val="baseline"/>
        </w:rPr>
        <w:t> </w:t>
      </w:r>
      <w:r>
        <w:rPr>
          <w:color w:val="231F20"/>
          <w:spacing w:val="-2"/>
          <w:vertAlign w:val="baseline"/>
        </w:rPr>
        <w:t>N.</w:t>
      </w:r>
      <w:r>
        <w:rPr>
          <w:color w:val="231F20"/>
          <w:spacing w:val="3"/>
          <w:vertAlign w:val="baseline"/>
        </w:rPr>
        <w:t> </w:t>
      </w:r>
      <w:r>
        <w:rPr>
          <w:color w:val="231F20"/>
          <w:spacing w:val="-2"/>
          <w:vertAlign w:val="baseline"/>
        </w:rPr>
        <w:t>M.,</w:t>
      </w:r>
      <w:r>
        <w:rPr>
          <w:color w:val="231F20"/>
          <w:spacing w:val="1"/>
          <w:vertAlign w:val="baseline"/>
        </w:rPr>
        <w:t> </w:t>
      </w:r>
      <w:r>
        <w:rPr>
          <w:color w:val="231F20"/>
          <w:spacing w:val="-2"/>
          <w:vertAlign w:val="baseline"/>
        </w:rPr>
        <w:t>Weinstock,</w:t>
      </w:r>
      <w:r>
        <w:rPr>
          <w:color w:val="231F20"/>
          <w:spacing w:val="4"/>
          <w:vertAlign w:val="baseline"/>
        </w:rPr>
        <w:t> </w:t>
      </w:r>
      <w:r>
        <w:rPr>
          <w:color w:val="231F20"/>
          <w:spacing w:val="-1"/>
          <w:vertAlign w:val="baseline"/>
        </w:rPr>
        <w:t>J.,</w:t>
      </w:r>
      <w:r>
        <w:rPr>
          <w:color w:val="231F20"/>
          <w:spacing w:val="4"/>
          <w:vertAlign w:val="baseline"/>
        </w:rPr>
        <w:t> </w:t>
      </w:r>
      <w:r>
        <w:rPr>
          <w:color w:val="231F20"/>
          <w:spacing w:val="-1"/>
          <w:vertAlign w:val="baseline"/>
        </w:rPr>
        <w:t>&amp;</w:t>
      </w:r>
      <w:r>
        <w:rPr>
          <w:color w:val="231F20"/>
          <w:spacing w:val="-9"/>
          <w:vertAlign w:val="baseline"/>
        </w:rPr>
        <w:t> </w:t>
      </w:r>
      <w:r>
        <w:rPr>
          <w:color w:val="231F20"/>
          <w:spacing w:val="-1"/>
          <w:vertAlign w:val="baseline"/>
        </w:rPr>
        <w:t>Alessi,</w:t>
      </w:r>
      <w:r>
        <w:rPr>
          <w:color w:val="231F20"/>
          <w:spacing w:val="4"/>
          <w:vertAlign w:val="baseline"/>
        </w:rPr>
        <w:t> </w:t>
      </w:r>
      <w:r>
        <w:rPr>
          <w:color w:val="231F20"/>
          <w:spacing w:val="-1"/>
          <w:vertAlign w:val="baseline"/>
        </w:rPr>
        <w:t>S.</w:t>
      </w:r>
      <w:r>
        <w:rPr>
          <w:color w:val="231F20"/>
          <w:spacing w:val="3"/>
          <w:vertAlign w:val="baseline"/>
        </w:rPr>
        <w:t> </w:t>
      </w:r>
      <w:r>
        <w:rPr>
          <w:color w:val="231F20"/>
          <w:spacing w:val="-1"/>
          <w:vertAlign w:val="baseline"/>
        </w:rPr>
        <w:t>M.</w:t>
      </w:r>
      <w:r>
        <w:rPr>
          <w:color w:val="231F20"/>
          <w:spacing w:val="4"/>
          <w:vertAlign w:val="baseline"/>
        </w:rPr>
        <w:t> </w:t>
      </w:r>
      <w:r>
        <w:rPr>
          <w:color w:val="231F20"/>
          <w:spacing w:val="-1"/>
          <w:vertAlign w:val="baseline"/>
        </w:rPr>
        <w:t>(2011).</w:t>
      </w:r>
      <w:r>
        <w:rPr>
          <w:color w:val="231F20"/>
          <w:vertAlign w:val="baseline"/>
        </w:rPr>
        <w:t> A randomized trial of contingency management</w:t>
      </w:r>
      <w:r>
        <w:rPr>
          <w:color w:val="231F20"/>
          <w:spacing w:val="1"/>
          <w:vertAlign w:val="baseline"/>
        </w:rPr>
        <w:t> </w:t>
      </w:r>
      <w:r>
        <w:rPr>
          <w:color w:val="231F20"/>
          <w:vertAlign w:val="baseline"/>
        </w:rPr>
        <w:t>delivered in the context of group counseling. </w:t>
      </w:r>
      <w:r>
        <w:rPr>
          <w:i/>
          <w:color w:val="231F20"/>
          <w:vertAlign w:val="baseline"/>
        </w:rPr>
        <w:t>Journal</w:t>
      </w:r>
      <w:r>
        <w:rPr>
          <w:i/>
          <w:color w:val="231F20"/>
          <w:spacing w:val="-52"/>
          <w:vertAlign w:val="baseline"/>
        </w:rPr>
        <w:t> </w:t>
      </w:r>
      <w:r>
        <w:rPr>
          <w:i/>
          <w:color w:val="231F20"/>
          <w:vertAlign w:val="baseline"/>
        </w:rPr>
        <w:t>of Consulting and Clinical Psychology, 79</w:t>
      </w:r>
      <w:r>
        <w:rPr>
          <w:color w:val="231F20"/>
          <w:vertAlign w:val="baseline"/>
        </w:rPr>
        <w:t>(5), 686-</w:t>
      </w:r>
      <w:r>
        <w:rPr>
          <w:color w:val="231F20"/>
          <w:spacing w:val="1"/>
          <w:vertAlign w:val="baseline"/>
        </w:rPr>
        <w:t> </w:t>
      </w:r>
      <w:r>
        <w:rPr>
          <w:color w:val="231F20"/>
          <w:vertAlign w:val="baseline"/>
        </w:rPr>
        <w:t>696.</w:t>
      </w:r>
      <w:r>
        <w:rPr>
          <w:color w:val="231F20"/>
          <w:spacing w:val="-1"/>
          <w:vertAlign w:val="baseline"/>
        </w:rPr>
        <w:t> </w:t>
      </w:r>
      <w:hyperlink r:id="rId317">
        <w:r>
          <w:rPr>
            <w:color w:val="3953A4"/>
            <w:u w:val="single" w:color="3953A4"/>
            <w:vertAlign w:val="baseline"/>
          </w:rPr>
          <w:t>http://dx.doi.org/10.1037/a0024813</w:t>
        </w:r>
      </w:hyperlink>
    </w:p>
    <w:p>
      <w:pPr>
        <w:spacing w:after="0" w:line="228" w:lineRule="auto"/>
        <w:sectPr>
          <w:type w:val="continuous"/>
          <w:pgSz w:w="12240" w:h="15840"/>
          <w:pgMar w:header="0" w:footer="666" w:top="1500" w:bottom="0" w:left="560" w:right="0"/>
          <w:cols w:num="2" w:equalWidth="0">
            <w:col w:w="5240" w:space="520"/>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tabs>
          <w:tab w:pos="519" w:val="left" w:leader="none"/>
        </w:tabs>
        <w:spacing w:line="228" w:lineRule="auto" w:before="101"/>
        <w:ind w:left="519" w:right="355" w:hanging="360"/>
        <w:jc w:val="left"/>
        <w:rPr>
          <w:sz w:val="22"/>
        </w:rPr>
      </w:pPr>
      <w:r>
        <w:rPr>
          <w:color w:val="231F20"/>
          <w:sz w:val="22"/>
          <w:vertAlign w:val="superscript"/>
        </w:rPr>
        <w:t>66</w:t>
      </w:r>
      <w:r>
        <w:rPr>
          <w:color w:val="231F20"/>
          <w:sz w:val="22"/>
          <w:vertAlign w:val="baseline"/>
        </w:rPr>
        <w:tab/>
      </w:r>
      <w:hyperlink r:id="rId37">
        <w:r>
          <w:rPr>
            <w:color w:val="231F20"/>
            <w:sz w:val="22"/>
            <w:vertAlign w:val="baseline"/>
          </w:rPr>
          <w:t>HIV.gov</w:t>
        </w:r>
      </w:hyperlink>
      <w:r>
        <w:rPr>
          <w:color w:val="231F20"/>
          <w:sz w:val="22"/>
          <w:vertAlign w:val="baseline"/>
        </w:rPr>
        <w:t>. (2020, January 31). </w:t>
      </w:r>
      <w:r>
        <w:rPr>
          <w:i/>
          <w:color w:val="231F20"/>
          <w:sz w:val="22"/>
          <w:vertAlign w:val="baseline"/>
        </w:rPr>
        <w:t>Syringe services</w:t>
      </w:r>
      <w:r>
        <w:rPr>
          <w:i/>
          <w:color w:val="231F20"/>
          <w:spacing w:val="1"/>
          <w:sz w:val="22"/>
          <w:vertAlign w:val="baseline"/>
        </w:rPr>
        <w:t> </w:t>
      </w:r>
      <w:r>
        <w:rPr>
          <w:i/>
          <w:color w:val="231F20"/>
          <w:sz w:val="22"/>
          <w:vertAlign w:val="baseline"/>
        </w:rPr>
        <w:t>programs</w:t>
      </w:r>
      <w:r>
        <w:rPr>
          <w:i/>
          <w:color w:val="231F20"/>
          <w:spacing w:val="2"/>
          <w:sz w:val="22"/>
          <w:vertAlign w:val="baseline"/>
        </w:rPr>
        <w:t> </w:t>
      </w:r>
      <w:r>
        <w:rPr>
          <w:i/>
          <w:color w:val="231F20"/>
          <w:sz w:val="22"/>
          <w:vertAlign w:val="baseline"/>
        </w:rPr>
        <w:t>-</w:t>
      </w:r>
      <w:r>
        <w:rPr>
          <w:i/>
          <w:color w:val="231F20"/>
          <w:spacing w:val="2"/>
          <w:sz w:val="22"/>
          <w:vertAlign w:val="baseline"/>
        </w:rPr>
        <w:t> </w:t>
      </w:r>
      <w:r>
        <w:rPr>
          <w:i/>
          <w:color w:val="231F20"/>
          <w:sz w:val="22"/>
          <w:vertAlign w:val="baseline"/>
        </w:rPr>
        <w:t>Opioid</w:t>
      </w:r>
      <w:r>
        <w:rPr>
          <w:i/>
          <w:color w:val="231F20"/>
          <w:spacing w:val="1"/>
          <w:sz w:val="22"/>
          <w:vertAlign w:val="baseline"/>
        </w:rPr>
        <w:t> </w:t>
      </w:r>
      <w:r>
        <w:rPr>
          <w:i/>
          <w:color w:val="231F20"/>
          <w:sz w:val="22"/>
          <w:vertAlign w:val="baseline"/>
        </w:rPr>
        <w:t>crisis</w:t>
      </w:r>
      <w:r>
        <w:rPr>
          <w:i/>
          <w:color w:val="231F20"/>
          <w:spacing w:val="2"/>
          <w:sz w:val="22"/>
          <w:vertAlign w:val="baseline"/>
        </w:rPr>
        <w:t> </w:t>
      </w:r>
      <w:r>
        <w:rPr>
          <w:i/>
          <w:color w:val="231F20"/>
          <w:sz w:val="22"/>
          <w:vertAlign w:val="baseline"/>
        </w:rPr>
        <w:t>is</w:t>
      </w:r>
      <w:r>
        <w:rPr>
          <w:i/>
          <w:color w:val="231F20"/>
          <w:spacing w:val="2"/>
          <w:sz w:val="22"/>
          <w:vertAlign w:val="baseline"/>
        </w:rPr>
        <w:t> </w:t>
      </w:r>
      <w:r>
        <w:rPr>
          <w:i/>
          <w:color w:val="231F20"/>
          <w:sz w:val="22"/>
          <w:vertAlign w:val="baseline"/>
        </w:rPr>
        <w:t>raising</w:t>
      </w:r>
      <w:r>
        <w:rPr>
          <w:i/>
          <w:color w:val="231F20"/>
          <w:spacing w:val="1"/>
          <w:sz w:val="22"/>
          <w:vertAlign w:val="baseline"/>
        </w:rPr>
        <w:t> </w:t>
      </w:r>
      <w:r>
        <w:rPr>
          <w:i/>
          <w:color w:val="231F20"/>
          <w:sz w:val="22"/>
          <w:vertAlign w:val="baseline"/>
        </w:rPr>
        <w:t>risks</w:t>
      </w:r>
      <w:r>
        <w:rPr>
          <w:i/>
          <w:color w:val="231F20"/>
          <w:spacing w:val="1"/>
          <w:sz w:val="22"/>
          <w:vertAlign w:val="baseline"/>
        </w:rPr>
        <w:t> </w:t>
      </w:r>
      <w:r>
        <w:rPr>
          <w:i/>
          <w:color w:val="231F20"/>
          <w:sz w:val="22"/>
          <w:vertAlign w:val="baseline"/>
        </w:rPr>
        <w:t>of</w:t>
      </w:r>
      <w:r>
        <w:rPr>
          <w:i/>
          <w:color w:val="231F20"/>
          <w:spacing w:val="2"/>
          <w:sz w:val="22"/>
          <w:vertAlign w:val="baseline"/>
        </w:rPr>
        <w:t> </w:t>
      </w:r>
      <w:r>
        <w:rPr>
          <w:i/>
          <w:color w:val="231F20"/>
          <w:sz w:val="22"/>
          <w:vertAlign w:val="baseline"/>
        </w:rPr>
        <w:t>HIV</w:t>
      </w:r>
      <w:r>
        <w:rPr>
          <w:i/>
          <w:color w:val="231F20"/>
          <w:spacing w:val="1"/>
          <w:sz w:val="22"/>
          <w:vertAlign w:val="baseline"/>
        </w:rPr>
        <w:t> </w:t>
      </w:r>
      <w:r>
        <w:rPr>
          <w:i/>
          <w:color w:val="231F20"/>
          <w:sz w:val="22"/>
          <w:vertAlign w:val="baseline"/>
        </w:rPr>
        <w:t>&amp;</w:t>
      </w:r>
      <w:r>
        <w:rPr>
          <w:i/>
          <w:color w:val="231F20"/>
          <w:spacing w:val="-7"/>
          <w:sz w:val="22"/>
          <w:vertAlign w:val="baseline"/>
        </w:rPr>
        <w:t> </w:t>
      </w:r>
      <w:r>
        <w:rPr>
          <w:i/>
          <w:color w:val="231F20"/>
          <w:sz w:val="22"/>
          <w:vertAlign w:val="baseline"/>
        </w:rPr>
        <w:t>other</w:t>
      </w:r>
      <w:r>
        <w:rPr>
          <w:i/>
          <w:color w:val="231F20"/>
          <w:spacing w:val="-7"/>
          <w:sz w:val="22"/>
          <w:vertAlign w:val="baseline"/>
        </w:rPr>
        <w:t> </w:t>
      </w:r>
      <w:r>
        <w:rPr>
          <w:i/>
          <w:color w:val="231F20"/>
          <w:sz w:val="22"/>
          <w:vertAlign w:val="baseline"/>
        </w:rPr>
        <w:t>infectious</w:t>
      </w:r>
      <w:r>
        <w:rPr>
          <w:i/>
          <w:color w:val="231F20"/>
          <w:spacing w:val="-7"/>
          <w:sz w:val="22"/>
          <w:vertAlign w:val="baseline"/>
        </w:rPr>
        <w:t> </w:t>
      </w:r>
      <w:r>
        <w:rPr>
          <w:i/>
          <w:color w:val="231F20"/>
          <w:sz w:val="22"/>
          <w:vertAlign w:val="baseline"/>
        </w:rPr>
        <w:t>diseases.</w:t>
      </w:r>
      <w:r>
        <w:rPr>
          <w:i/>
          <w:color w:val="231F20"/>
          <w:spacing w:val="-7"/>
          <w:sz w:val="22"/>
          <w:vertAlign w:val="baseline"/>
        </w:rPr>
        <w:t> </w:t>
      </w:r>
      <w:hyperlink r:id="rId172">
        <w:r>
          <w:rPr>
            <w:color w:val="3953A4"/>
            <w:sz w:val="22"/>
            <w:u w:val="single" w:color="3953A4"/>
            <w:vertAlign w:val="baseline"/>
          </w:rPr>
          <w:t>https://www.hiv.gov/</w:t>
        </w:r>
      </w:hyperlink>
      <w:r>
        <w:rPr>
          <w:color w:val="3953A4"/>
          <w:spacing w:val="-52"/>
          <w:sz w:val="22"/>
          <w:vertAlign w:val="baseline"/>
        </w:rPr>
        <w:t> </w:t>
      </w:r>
      <w:hyperlink r:id="rId172">
        <w:r>
          <w:rPr>
            <w:color w:val="3953A4"/>
            <w:sz w:val="22"/>
            <w:u w:val="single" w:color="3953A4"/>
            <w:vertAlign w:val="baseline"/>
          </w:rPr>
          <w:t>federal-response/policies-issues/syringe-services-</w:t>
        </w:r>
      </w:hyperlink>
      <w:r>
        <w:rPr>
          <w:color w:val="3953A4"/>
          <w:spacing w:val="-52"/>
          <w:sz w:val="22"/>
          <w:vertAlign w:val="baseline"/>
        </w:rPr>
        <w:t> </w:t>
      </w:r>
      <w:hyperlink r:id="rId172">
        <w:r>
          <w:rPr>
            <w:color w:val="3953A4"/>
            <w:sz w:val="22"/>
            <w:u w:val="single" w:color="3953A4"/>
            <w:vertAlign w:val="baseline"/>
          </w:rPr>
          <w:t>programs</w:t>
        </w:r>
      </w:hyperlink>
    </w:p>
    <w:p>
      <w:pPr>
        <w:tabs>
          <w:tab w:pos="519" w:val="left" w:leader="none"/>
        </w:tabs>
        <w:spacing w:line="228" w:lineRule="auto" w:before="89"/>
        <w:ind w:left="520" w:right="39" w:hanging="360"/>
        <w:jc w:val="left"/>
        <w:rPr>
          <w:sz w:val="22"/>
        </w:rPr>
      </w:pPr>
      <w:r>
        <w:rPr>
          <w:color w:val="231F20"/>
          <w:sz w:val="22"/>
          <w:vertAlign w:val="superscript"/>
        </w:rPr>
        <w:t>67</w:t>
      </w:r>
      <w:r>
        <w:rPr>
          <w:color w:val="231F20"/>
          <w:sz w:val="22"/>
          <w:vertAlign w:val="baseline"/>
        </w:rPr>
        <w:tab/>
        <w:t>Centers for Disease Control and Prevention (2019,</w:t>
      </w:r>
      <w:r>
        <w:rPr>
          <w:color w:val="231F20"/>
          <w:spacing w:val="1"/>
          <w:sz w:val="22"/>
          <w:vertAlign w:val="baseline"/>
        </w:rPr>
        <w:t> </w:t>
      </w:r>
      <w:r>
        <w:rPr>
          <w:color w:val="231F20"/>
          <w:sz w:val="22"/>
          <w:vertAlign w:val="baseline"/>
        </w:rPr>
        <w:t>May 23). </w:t>
      </w:r>
      <w:r>
        <w:rPr>
          <w:i/>
          <w:color w:val="231F20"/>
          <w:sz w:val="22"/>
          <w:vertAlign w:val="baseline"/>
        </w:rPr>
        <w:t>Federal funding for syringe services</w:t>
      </w:r>
      <w:r>
        <w:rPr>
          <w:i/>
          <w:color w:val="231F20"/>
          <w:spacing w:val="1"/>
          <w:sz w:val="22"/>
          <w:vertAlign w:val="baseline"/>
        </w:rPr>
        <w:t> </w:t>
      </w:r>
      <w:r>
        <w:rPr>
          <w:i/>
          <w:color w:val="231F20"/>
          <w:spacing w:val="-1"/>
          <w:sz w:val="22"/>
          <w:vertAlign w:val="baseline"/>
        </w:rPr>
        <w:t>programs</w:t>
      </w:r>
      <w:r>
        <w:rPr>
          <w:color w:val="231F20"/>
          <w:spacing w:val="-1"/>
          <w:sz w:val="22"/>
          <w:vertAlign w:val="baseline"/>
        </w:rPr>
        <w:t>.</w:t>
      </w:r>
      <w:r>
        <w:rPr>
          <w:color w:val="231F20"/>
          <w:spacing w:val="6"/>
          <w:sz w:val="22"/>
          <w:vertAlign w:val="baseline"/>
        </w:rPr>
        <w:t> </w:t>
      </w:r>
      <w:hyperlink r:id="rId318">
        <w:r>
          <w:rPr>
            <w:color w:val="3953A4"/>
            <w:spacing w:val="-1"/>
            <w:sz w:val="22"/>
            <w:u w:val="single" w:color="3953A4"/>
            <w:vertAlign w:val="baseline"/>
          </w:rPr>
          <w:t>https://www.cdc.gov/ssp/ssp-funding.html</w:t>
        </w:r>
      </w:hyperlink>
    </w:p>
    <w:p>
      <w:pPr>
        <w:tabs>
          <w:tab w:pos="519" w:val="left" w:leader="none"/>
        </w:tabs>
        <w:spacing w:line="228" w:lineRule="auto" w:before="89"/>
        <w:ind w:left="519" w:right="491" w:hanging="360"/>
        <w:jc w:val="left"/>
        <w:rPr>
          <w:i/>
          <w:sz w:val="22"/>
        </w:rPr>
      </w:pPr>
      <w:r>
        <w:rPr>
          <w:color w:val="231F20"/>
          <w:sz w:val="22"/>
          <w:vertAlign w:val="superscript"/>
        </w:rPr>
        <w:t>68</w:t>
      </w:r>
      <w:r>
        <w:rPr>
          <w:color w:val="231F20"/>
          <w:sz w:val="22"/>
          <w:vertAlign w:val="baseline"/>
        </w:rPr>
        <w:tab/>
      </w:r>
      <w:r>
        <w:rPr>
          <w:color w:val="231F20"/>
          <w:spacing w:val="-1"/>
          <w:sz w:val="22"/>
          <w:vertAlign w:val="baseline"/>
        </w:rPr>
        <w:t>National Academies of Sciences, </w:t>
      </w:r>
      <w:r>
        <w:rPr>
          <w:color w:val="231F20"/>
          <w:sz w:val="22"/>
          <w:vertAlign w:val="baseline"/>
        </w:rPr>
        <w:t>Engineering,</w:t>
      </w:r>
      <w:r>
        <w:rPr>
          <w:color w:val="231F20"/>
          <w:spacing w:val="1"/>
          <w:sz w:val="22"/>
          <w:vertAlign w:val="baseline"/>
        </w:rPr>
        <w:t> </w:t>
      </w:r>
      <w:r>
        <w:rPr>
          <w:color w:val="231F20"/>
          <w:sz w:val="22"/>
          <w:vertAlign w:val="baseline"/>
        </w:rPr>
        <w:t>and</w:t>
      </w:r>
      <w:r>
        <w:rPr>
          <w:color w:val="231F20"/>
          <w:spacing w:val="-6"/>
          <w:sz w:val="22"/>
          <w:vertAlign w:val="baseline"/>
        </w:rPr>
        <w:t> </w:t>
      </w:r>
      <w:r>
        <w:rPr>
          <w:color w:val="231F20"/>
          <w:sz w:val="22"/>
          <w:vertAlign w:val="baseline"/>
        </w:rPr>
        <w:t>Medicine.</w:t>
      </w:r>
      <w:r>
        <w:rPr>
          <w:color w:val="231F20"/>
          <w:spacing w:val="-6"/>
          <w:sz w:val="22"/>
          <w:vertAlign w:val="baseline"/>
        </w:rPr>
        <w:t> </w:t>
      </w:r>
      <w:r>
        <w:rPr>
          <w:color w:val="231F20"/>
          <w:sz w:val="22"/>
          <w:vertAlign w:val="baseline"/>
        </w:rPr>
        <w:t>(2020).</w:t>
      </w:r>
      <w:r>
        <w:rPr>
          <w:color w:val="231F20"/>
          <w:spacing w:val="-5"/>
          <w:sz w:val="22"/>
          <w:vertAlign w:val="baseline"/>
        </w:rPr>
        <w:t> </w:t>
      </w:r>
      <w:r>
        <w:rPr>
          <w:i/>
          <w:color w:val="231F20"/>
          <w:sz w:val="22"/>
          <w:vertAlign w:val="baseline"/>
        </w:rPr>
        <w:t>Opportunities</w:t>
      </w:r>
      <w:r>
        <w:rPr>
          <w:i/>
          <w:color w:val="231F20"/>
          <w:spacing w:val="-7"/>
          <w:sz w:val="22"/>
          <w:vertAlign w:val="baseline"/>
        </w:rPr>
        <w:t> </w:t>
      </w:r>
      <w:r>
        <w:rPr>
          <w:i/>
          <w:color w:val="231F20"/>
          <w:sz w:val="22"/>
          <w:vertAlign w:val="baseline"/>
        </w:rPr>
        <w:t>to</w:t>
      </w:r>
      <w:r>
        <w:rPr>
          <w:i/>
          <w:color w:val="231F20"/>
          <w:spacing w:val="-5"/>
          <w:sz w:val="22"/>
          <w:vertAlign w:val="baseline"/>
        </w:rPr>
        <w:t> </w:t>
      </w:r>
      <w:r>
        <w:rPr>
          <w:i/>
          <w:color w:val="231F20"/>
          <w:sz w:val="22"/>
          <w:vertAlign w:val="baseline"/>
        </w:rPr>
        <w:t>improve</w:t>
      </w:r>
      <w:r>
        <w:rPr>
          <w:i/>
          <w:color w:val="231F20"/>
          <w:spacing w:val="-52"/>
          <w:sz w:val="22"/>
          <w:vertAlign w:val="baseline"/>
        </w:rPr>
        <w:t> </w:t>
      </w:r>
      <w:r>
        <w:rPr>
          <w:i/>
          <w:color w:val="231F20"/>
          <w:sz w:val="22"/>
          <w:vertAlign w:val="baseline"/>
        </w:rPr>
        <w:t>opioid</w:t>
      </w:r>
      <w:r>
        <w:rPr>
          <w:i/>
          <w:color w:val="231F20"/>
          <w:spacing w:val="-1"/>
          <w:sz w:val="22"/>
          <w:vertAlign w:val="baseline"/>
        </w:rPr>
        <w:t> </w:t>
      </w:r>
      <w:r>
        <w:rPr>
          <w:i/>
          <w:color w:val="231F20"/>
          <w:sz w:val="22"/>
          <w:vertAlign w:val="baseline"/>
        </w:rPr>
        <w:t>use</w:t>
      </w:r>
      <w:r>
        <w:rPr>
          <w:i/>
          <w:color w:val="231F20"/>
          <w:spacing w:val="-1"/>
          <w:sz w:val="22"/>
          <w:vertAlign w:val="baseline"/>
        </w:rPr>
        <w:t> </w:t>
      </w:r>
      <w:r>
        <w:rPr>
          <w:i/>
          <w:color w:val="231F20"/>
          <w:sz w:val="22"/>
          <w:vertAlign w:val="baseline"/>
        </w:rPr>
        <w:t>disorder and</w:t>
      </w:r>
      <w:r>
        <w:rPr>
          <w:i/>
          <w:color w:val="231F20"/>
          <w:spacing w:val="-1"/>
          <w:sz w:val="22"/>
          <w:vertAlign w:val="baseline"/>
        </w:rPr>
        <w:t> </w:t>
      </w:r>
      <w:r>
        <w:rPr>
          <w:i/>
          <w:color w:val="231F20"/>
          <w:sz w:val="22"/>
          <w:vertAlign w:val="baseline"/>
        </w:rPr>
        <w:t>infectious</w:t>
      </w:r>
      <w:r>
        <w:rPr>
          <w:i/>
          <w:color w:val="231F20"/>
          <w:spacing w:val="-1"/>
          <w:sz w:val="22"/>
          <w:vertAlign w:val="baseline"/>
        </w:rPr>
        <w:t> </w:t>
      </w:r>
      <w:r>
        <w:rPr>
          <w:i/>
          <w:color w:val="231F20"/>
          <w:sz w:val="22"/>
          <w:vertAlign w:val="baseline"/>
        </w:rPr>
        <w:t>disease</w:t>
      </w:r>
    </w:p>
    <w:p>
      <w:pPr>
        <w:spacing w:line="228" w:lineRule="auto" w:before="0"/>
        <w:ind w:left="520" w:right="227" w:firstLine="0"/>
        <w:jc w:val="left"/>
        <w:rPr>
          <w:sz w:val="22"/>
        </w:rPr>
      </w:pPr>
      <w:r>
        <w:rPr>
          <w:i/>
          <w:color w:val="231F20"/>
          <w:sz w:val="22"/>
        </w:rPr>
        <w:t>services:</w:t>
      </w:r>
      <w:r>
        <w:rPr>
          <w:i/>
          <w:color w:val="231F20"/>
          <w:spacing w:val="-4"/>
          <w:sz w:val="22"/>
        </w:rPr>
        <w:t> </w:t>
      </w:r>
      <w:r>
        <w:rPr>
          <w:i/>
          <w:color w:val="231F20"/>
          <w:sz w:val="22"/>
        </w:rPr>
        <w:t>Integrating</w:t>
      </w:r>
      <w:r>
        <w:rPr>
          <w:i/>
          <w:color w:val="231F20"/>
          <w:spacing w:val="-3"/>
          <w:sz w:val="22"/>
        </w:rPr>
        <w:t> </w:t>
      </w:r>
      <w:r>
        <w:rPr>
          <w:i/>
          <w:color w:val="231F20"/>
          <w:sz w:val="22"/>
        </w:rPr>
        <w:t>responses</w:t>
      </w:r>
      <w:r>
        <w:rPr>
          <w:i/>
          <w:color w:val="231F20"/>
          <w:spacing w:val="-3"/>
          <w:sz w:val="22"/>
        </w:rPr>
        <w:t> </w:t>
      </w:r>
      <w:r>
        <w:rPr>
          <w:i/>
          <w:color w:val="231F20"/>
          <w:sz w:val="22"/>
        </w:rPr>
        <w:t>to</w:t>
      </w:r>
      <w:r>
        <w:rPr>
          <w:i/>
          <w:color w:val="231F20"/>
          <w:spacing w:val="-3"/>
          <w:sz w:val="22"/>
        </w:rPr>
        <w:t> </w:t>
      </w:r>
      <w:r>
        <w:rPr>
          <w:i/>
          <w:color w:val="231F20"/>
          <w:sz w:val="22"/>
        </w:rPr>
        <w:t>a</w:t>
      </w:r>
      <w:r>
        <w:rPr>
          <w:i/>
          <w:color w:val="231F20"/>
          <w:spacing w:val="-3"/>
          <w:sz w:val="22"/>
        </w:rPr>
        <w:t> </w:t>
      </w:r>
      <w:r>
        <w:rPr>
          <w:i/>
          <w:color w:val="231F20"/>
          <w:sz w:val="22"/>
        </w:rPr>
        <w:t>dual</w:t>
      </w:r>
      <w:r>
        <w:rPr>
          <w:i/>
          <w:color w:val="231F20"/>
          <w:spacing w:val="-3"/>
          <w:sz w:val="22"/>
        </w:rPr>
        <w:t> </w:t>
      </w:r>
      <w:r>
        <w:rPr>
          <w:i/>
          <w:color w:val="231F20"/>
          <w:sz w:val="22"/>
        </w:rPr>
        <w:t>epidemic</w:t>
      </w:r>
      <w:r>
        <w:rPr>
          <w:color w:val="231F20"/>
          <w:sz w:val="22"/>
        </w:rPr>
        <w:t>.</w:t>
      </w:r>
      <w:r>
        <w:rPr>
          <w:color w:val="231F20"/>
          <w:spacing w:val="-52"/>
          <w:sz w:val="22"/>
        </w:rPr>
        <w:t> </w:t>
      </w:r>
      <w:r>
        <w:rPr>
          <w:color w:val="231F20"/>
          <w:spacing w:val="-1"/>
          <w:sz w:val="22"/>
        </w:rPr>
        <w:t>The </w:t>
      </w:r>
      <w:r>
        <w:rPr>
          <w:color w:val="231F20"/>
          <w:sz w:val="22"/>
        </w:rPr>
        <w:t>National Academies Press. </w:t>
      </w:r>
      <w:hyperlink r:id="rId108">
        <w:r>
          <w:rPr>
            <w:color w:val="3953A4"/>
            <w:sz w:val="22"/>
            <w:u w:val="single" w:color="3953A4"/>
          </w:rPr>
          <w:t>https://doi.</w:t>
        </w:r>
      </w:hyperlink>
      <w:r>
        <w:rPr>
          <w:color w:val="3953A4"/>
          <w:spacing w:val="1"/>
          <w:sz w:val="22"/>
        </w:rPr>
        <w:t> </w:t>
      </w:r>
      <w:hyperlink r:id="rId108">
        <w:r>
          <w:rPr>
            <w:color w:val="3953A4"/>
            <w:sz w:val="22"/>
            <w:u w:val="single" w:color="3953A4"/>
          </w:rPr>
          <w:t>org/10.17226/25626</w:t>
        </w:r>
      </w:hyperlink>
    </w:p>
    <w:p>
      <w:pPr>
        <w:tabs>
          <w:tab w:pos="519" w:val="left" w:leader="none"/>
        </w:tabs>
        <w:spacing w:line="228" w:lineRule="auto" w:before="88"/>
        <w:ind w:left="520" w:right="275" w:hanging="360"/>
        <w:jc w:val="left"/>
        <w:rPr>
          <w:sz w:val="22"/>
        </w:rPr>
      </w:pPr>
      <w:r>
        <w:rPr>
          <w:color w:val="231F20"/>
          <w:sz w:val="22"/>
          <w:vertAlign w:val="superscript"/>
        </w:rPr>
        <w:t>69</w:t>
      </w:r>
      <w:r>
        <w:rPr>
          <w:color w:val="231F20"/>
          <w:sz w:val="22"/>
          <w:vertAlign w:val="baseline"/>
        </w:rPr>
        <w:tab/>
        <w:t>AETC National Coordinating Resource Center, &amp;</w:t>
      </w:r>
      <w:r>
        <w:rPr>
          <w:color w:val="231F20"/>
          <w:spacing w:val="-52"/>
          <w:sz w:val="22"/>
          <w:vertAlign w:val="baseline"/>
        </w:rPr>
        <w:t> </w:t>
      </w:r>
      <w:r>
        <w:rPr>
          <w:color w:val="231F20"/>
          <w:spacing w:val="-1"/>
          <w:sz w:val="22"/>
          <w:vertAlign w:val="baseline"/>
        </w:rPr>
        <w:t>Oregon AETC. (2019, February </w:t>
      </w:r>
      <w:r>
        <w:rPr>
          <w:color w:val="231F20"/>
          <w:sz w:val="22"/>
          <w:vertAlign w:val="baseline"/>
        </w:rPr>
        <w:t>25). </w:t>
      </w:r>
      <w:r>
        <w:rPr>
          <w:i/>
          <w:color w:val="231F20"/>
          <w:sz w:val="22"/>
          <w:vertAlign w:val="baseline"/>
        </w:rPr>
        <w:t>Prescribing</w:t>
      </w:r>
      <w:r>
        <w:rPr>
          <w:i/>
          <w:color w:val="231F20"/>
          <w:spacing w:val="1"/>
          <w:sz w:val="22"/>
          <w:vertAlign w:val="baseline"/>
        </w:rPr>
        <w:t> </w:t>
      </w:r>
      <w:r>
        <w:rPr>
          <w:i/>
          <w:color w:val="231F20"/>
          <w:sz w:val="22"/>
          <w:vertAlign w:val="baseline"/>
        </w:rPr>
        <w:t>PrEP for HIV prevention: A guide for medical</w:t>
      </w:r>
      <w:r>
        <w:rPr>
          <w:i/>
          <w:color w:val="231F20"/>
          <w:spacing w:val="1"/>
          <w:sz w:val="22"/>
          <w:vertAlign w:val="baseline"/>
        </w:rPr>
        <w:t> </w:t>
      </w:r>
      <w:r>
        <w:rPr>
          <w:i/>
          <w:color w:val="231F20"/>
          <w:spacing w:val="-1"/>
          <w:sz w:val="22"/>
          <w:vertAlign w:val="baseline"/>
        </w:rPr>
        <w:t>providers</w:t>
      </w:r>
      <w:r>
        <w:rPr>
          <w:color w:val="231F20"/>
          <w:spacing w:val="-1"/>
          <w:sz w:val="22"/>
          <w:vertAlign w:val="baseline"/>
        </w:rPr>
        <w:t>.</w:t>
      </w:r>
      <w:r>
        <w:rPr>
          <w:color w:val="231F20"/>
          <w:spacing w:val="15"/>
          <w:sz w:val="22"/>
          <w:vertAlign w:val="baseline"/>
        </w:rPr>
        <w:t> </w:t>
      </w:r>
      <w:hyperlink r:id="rId246">
        <w:r>
          <w:rPr>
            <w:color w:val="3953A4"/>
            <w:spacing w:val="-1"/>
            <w:sz w:val="22"/>
            <w:u w:val="single" w:color="3953A4"/>
            <w:vertAlign w:val="baseline"/>
          </w:rPr>
          <w:t>https://aidsetc.org/resource/prescribing-</w:t>
        </w:r>
      </w:hyperlink>
      <w:r>
        <w:rPr>
          <w:color w:val="3953A4"/>
          <w:spacing w:val="-52"/>
          <w:sz w:val="22"/>
          <w:vertAlign w:val="baseline"/>
        </w:rPr>
        <w:t> </w:t>
      </w:r>
      <w:hyperlink r:id="rId246">
        <w:r>
          <w:rPr>
            <w:color w:val="3953A4"/>
            <w:sz w:val="22"/>
            <w:u w:val="single" w:color="3953A4"/>
            <w:vertAlign w:val="baseline"/>
          </w:rPr>
          <w:t>prep-hiv-prevention-guide-medical-providers</w:t>
        </w:r>
      </w:hyperlink>
    </w:p>
    <w:p>
      <w:pPr>
        <w:pStyle w:val="BodyText"/>
        <w:tabs>
          <w:tab w:pos="519" w:val="left" w:leader="none"/>
        </w:tabs>
        <w:spacing w:line="228" w:lineRule="auto" w:before="88"/>
        <w:ind w:left="520" w:right="91" w:hanging="360"/>
      </w:pPr>
      <w:r>
        <w:rPr>
          <w:color w:val="231F20"/>
          <w:vertAlign w:val="superscript"/>
        </w:rPr>
        <w:t>70</w:t>
      </w:r>
      <w:r>
        <w:rPr>
          <w:color w:val="231F20"/>
          <w:vertAlign w:val="baseline"/>
        </w:rPr>
        <w:tab/>
        <w:t>Kosinski, Z., &amp; Harford County Health Department</w:t>
      </w:r>
      <w:r>
        <w:rPr>
          <w:color w:val="231F20"/>
          <w:spacing w:val="1"/>
          <w:vertAlign w:val="baseline"/>
        </w:rPr>
        <w:t> </w:t>
      </w:r>
      <w:r>
        <w:rPr>
          <w:color w:val="231F20"/>
          <w:vertAlign w:val="baseline"/>
        </w:rPr>
        <w:t>PrEP Program. (2018). </w:t>
      </w:r>
      <w:r>
        <w:rPr>
          <w:i/>
          <w:color w:val="231F20"/>
          <w:vertAlign w:val="baseline"/>
        </w:rPr>
        <w:t>PrEP program resource</w:t>
      </w:r>
      <w:r>
        <w:rPr>
          <w:i/>
          <w:color w:val="231F20"/>
          <w:spacing w:val="1"/>
          <w:vertAlign w:val="baseline"/>
        </w:rPr>
        <w:t> </w:t>
      </w:r>
      <w:r>
        <w:rPr>
          <w:i/>
          <w:color w:val="231F20"/>
          <w:vertAlign w:val="baseline"/>
        </w:rPr>
        <w:t>binder</w:t>
      </w:r>
      <w:r>
        <w:rPr>
          <w:color w:val="231F20"/>
          <w:vertAlign w:val="baseline"/>
        </w:rPr>
        <w:t>. </w:t>
      </w:r>
      <w:hyperlink r:id="rId247">
        <w:r>
          <w:rPr>
            <w:color w:val="3953A4"/>
            <w:u w:val="single" w:color="3953A4"/>
            <w:vertAlign w:val="baseline"/>
          </w:rPr>
          <w:t>https://harfordcountyhealth.com/wp-content/</w:t>
        </w:r>
      </w:hyperlink>
      <w:r>
        <w:rPr>
          <w:color w:val="3953A4"/>
          <w:spacing w:val="-53"/>
          <w:vertAlign w:val="baseline"/>
        </w:rPr>
        <w:t> </w:t>
      </w:r>
      <w:hyperlink r:id="rId247">
        <w:r>
          <w:rPr>
            <w:color w:val="3953A4"/>
            <w:u w:val="single" w:color="3953A4"/>
            <w:vertAlign w:val="baseline"/>
          </w:rPr>
          <w:t>uploads/2018/10/PrEP-Provider-Toolkit_optimized.</w:t>
        </w:r>
      </w:hyperlink>
      <w:r>
        <w:rPr>
          <w:color w:val="3953A4"/>
          <w:spacing w:val="-52"/>
          <w:vertAlign w:val="baseline"/>
        </w:rPr>
        <w:t> </w:t>
      </w:r>
      <w:hyperlink r:id="rId247">
        <w:r>
          <w:rPr>
            <w:color w:val="3953A4"/>
            <w:u w:val="single" w:color="3953A4"/>
            <w:vertAlign w:val="baseline"/>
          </w:rPr>
          <w:t>pdf</w:t>
        </w:r>
      </w:hyperlink>
    </w:p>
    <w:p>
      <w:pPr>
        <w:pStyle w:val="BodyText"/>
        <w:tabs>
          <w:tab w:pos="519" w:val="left" w:leader="none"/>
        </w:tabs>
        <w:spacing w:line="228" w:lineRule="auto" w:before="88"/>
        <w:ind w:left="520" w:right="119" w:hanging="360"/>
      </w:pPr>
      <w:r>
        <w:rPr>
          <w:color w:val="231F20"/>
          <w:vertAlign w:val="superscript"/>
        </w:rPr>
        <w:t>71</w:t>
      </w:r>
      <w:r>
        <w:rPr>
          <w:color w:val="231F20"/>
          <w:vertAlign w:val="baseline"/>
        </w:rPr>
        <w:tab/>
        <w:t>Michigan</w:t>
      </w:r>
      <w:r>
        <w:rPr>
          <w:color w:val="231F20"/>
          <w:spacing w:val="-7"/>
          <w:vertAlign w:val="baseline"/>
        </w:rPr>
        <w:t> </w:t>
      </w:r>
      <w:r>
        <w:rPr>
          <w:color w:val="231F20"/>
          <w:vertAlign w:val="baseline"/>
        </w:rPr>
        <w:t>Department</w:t>
      </w:r>
      <w:r>
        <w:rPr>
          <w:color w:val="231F20"/>
          <w:spacing w:val="-6"/>
          <w:vertAlign w:val="baseline"/>
        </w:rPr>
        <w:t> </w:t>
      </w:r>
      <w:r>
        <w:rPr>
          <w:color w:val="231F20"/>
          <w:vertAlign w:val="baseline"/>
        </w:rPr>
        <w:t>of</w:t>
      </w:r>
      <w:r>
        <w:rPr>
          <w:color w:val="231F20"/>
          <w:spacing w:val="-5"/>
          <w:vertAlign w:val="baseline"/>
        </w:rPr>
        <w:t> </w:t>
      </w:r>
      <w:r>
        <w:rPr>
          <w:color w:val="231F20"/>
          <w:vertAlign w:val="baseline"/>
        </w:rPr>
        <w:t>Health</w:t>
      </w:r>
      <w:r>
        <w:rPr>
          <w:color w:val="231F20"/>
          <w:spacing w:val="-6"/>
          <w:vertAlign w:val="baseline"/>
        </w:rPr>
        <w:t> </w:t>
      </w:r>
      <w:r>
        <w:rPr>
          <w:color w:val="231F20"/>
          <w:vertAlign w:val="baseline"/>
        </w:rPr>
        <w:t>&amp;</w:t>
      </w:r>
      <w:r>
        <w:rPr>
          <w:color w:val="231F20"/>
          <w:spacing w:val="-5"/>
          <w:vertAlign w:val="baseline"/>
        </w:rPr>
        <w:t> </w:t>
      </w:r>
      <w:r>
        <w:rPr>
          <w:color w:val="231F20"/>
          <w:vertAlign w:val="baseline"/>
        </w:rPr>
        <w:t>Human</w:t>
      </w:r>
      <w:r>
        <w:rPr>
          <w:color w:val="231F20"/>
          <w:spacing w:val="-6"/>
          <w:vertAlign w:val="baseline"/>
        </w:rPr>
        <w:t> </w:t>
      </w:r>
      <w:r>
        <w:rPr>
          <w:color w:val="231F20"/>
          <w:vertAlign w:val="baseline"/>
        </w:rPr>
        <w:t>Services.</w:t>
      </w:r>
      <w:r>
        <w:rPr>
          <w:color w:val="231F20"/>
          <w:spacing w:val="-52"/>
          <w:vertAlign w:val="baseline"/>
        </w:rPr>
        <w:t> </w:t>
      </w:r>
      <w:r>
        <w:rPr>
          <w:color w:val="231F20"/>
          <w:vertAlign w:val="baseline"/>
        </w:rPr>
        <w:t>(2019). </w:t>
      </w:r>
      <w:r>
        <w:rPr>
          <w:i/>
          <w:color w:val="231F20"/>
          <w:vertAlign w:val="baseline"/>
        </w:rPr>
        <w:t>PrEP provider toolkit</w:t>
      </w:r>
      <w:r>
        <w:rPr>
          <w:color w:val="231F20"/>
          <w:vertAlign w:val="baseline"/>
        </w:rPr>
        <w:t>. </w:t>
      </w:r>
      <w:hyperlink r:id="rId248">
        <w:r>
          <w:rPr>
            <w:color w:val="3953A4"/>
            <w:u w:val="single" w:color="3953A4"/>
            <w:vertAlign w:val="baseline"/>
          </w:rPr>
          <w:t>https://www.</w:t>
        </w:r>
      </w:hyperlink>
      <w:r>
        <w:rPr>
          <w:color w:val="3953A4"/>
          <w:spacing w:val="1"/>
          <w:vertAlign w:val="baseline"/>
        </w:rPr>
        <w:t> </w:t>
      </w:r>
      <w:hyperlink r:id="rId248">
        <w:r>
          <w:rPr>
            <w:color w:val="3953A4"/>
            <w:u w:val="single" w:color="3953A4"/>
            <w:vertAlign w:val="baseline"/>
          </w:rPr>
          <w:t>michigan.gov/documents/mdhhs/PrEP_Provider_</w:t>
        </w:r>
      </w:hyperlink>
      <w:r>
        <w:rPr>
          <w:color w:val="3953A4"/>
          <w:spacing w:val="1"/>
          <w:vertAlign w:val="baseline"/>
        </w:rPr>
        <w:t> </w:t>
      </w:r>
      <w:hyperlink r:id="rId248">
        <w:r>
          <w:rPr>
            <w:color w:val="3953A4"/>
            <w:u w:val="single" w:color="3953A4"/>
            <w:vertAlign w:val="baseline"/>
          </w:rPr>
          <w:t>Toolkit_MDHHS_547647_7.pdf</w:t>
        </w:r>
      </w:hyperlink>
    </w:p>
    <w:p>
      <w:pPr>
        <w:tabs>
          <w:tab w:pos="519" w:val="left" w:leader="none"/>
        </w:tabs>
        <w:spacing w:line="228" w:lineRule="auto" w:before="89"/>
        <w:ind w:left="520" w:right="119" w:hanging="360"/>
        <w:jc w:val="left"/>
        <w:rPr>
          <w:sz w:val="22"/>
        </w:rPr>
      </w:pPr>
      <w:r>
        <w:rPr>
          <w:color w:val="231F20"/>
          <w:sz w:val="22"/>
          <w:vertAlign w:val="superscript"/>
        </w:rPr>
        <w:t>72</w:t>
      </w:r>
      <w:r>
        <w:rPr>
          <w:color w:val="231F20"/>
          <w:sz w:val="22"/>
          <w:vertAlign w:val="baseline"/>
        </w:rPr>
        <w:tab/>
        <w:t>Calabrese, S. K., St. George, D., Callis, B., &amp;</w:t>
      </w:r>
      <w:r>
        <w:rPr>
          <w:color w:val="231F20"/>
          <w:spacing w:val="1"/>
          <w:sz w:val="22"/>
          <w:vertAlign w:val="baseline"/>
        </w:rPr>
        <w:t> </w:t>
      </w:r>
      <w:r>
        <w:rPr>
          <w:color w:val="231F20"/>
          <w:sz w:val="22"/>
          <w:vertAlign w:val="baseline"/>
        </w:rPr>
        <w:t>Buchelli,</w:t>
      </w:r>
      <w:r>
        <w:rPr>
          <w:color w:val="231F20"/>
          <w:spacing w:val="-2"/>
          <w:sz w:val="22"/>
          <w:vertAlign w:val="baseline"/>
        </w:rPr>
        <w:t> </w:t>
      </w:r>
      <w:r>
        <w:rPr>
          <w:color w:val="231F20"/>
          <w:sz w:val="22"/>
          <w:vertAlign w:val="baseline"/>
        </w:rPr>
        <w:t>M.</w:t>
      </w:r>
      <w:r>
        <w:rPr>
          <w:color w:val="231F20"/>
          <w:spacing w:val="-3"/>
          <w:sz w:val="22"/>
          <w:vertAlign w:val="baseline"/>
        </w:rPr>
        <w:t> </w:t>
      </w:r>
      <w:r>
        <w:rPr>
          <w:color w:val="231F20"/>
          <w:sz w:val="22"/>
          <w:vertAlign w:val="baseline"/>
        </w:rPr>
        <w:t>(2015,</w:t>
      </w:r>
      <w:r>
        <w:rPr>
          <w:color w:val="231F20"/>
          <w:spacing w:val="-2"/>
          <w:sz w:val="22"/>
          <w:vertAlign w:val="baseline"/>
        </w:rPr>
        <w:t> </w:t>
      </w:r>
      <w:r>
        <w:rPr>
          <w:color w:val="231F20"/>
          <w:sz w:val="22"/>
          <w:vertAlign w:val="baseline"/>
        </w:rPr>
        <w:t>June</w:t>
      </w:r>
      <w:r>
        <w:rPr>
          <w:color w:val="231F20"/>
          <w:spacing w:val="-3"/>
          <w:sz w:val="22"/>
          <w:vertAlign w:val="baseline"/>
        </w:rPr>
        <w:t> </w:t>
      </w:r>
      <w:r>
        <w:rPr>
          <w:color w:val="231F20"/>
          <w:sz w:val="22"/>
          <w:vertAlign w:val="baseline"/>
        </w:rPr>
        <w:t>4).</w:t>
      </w:r>
      <w:r>
        <w:rPr>
          <w:color w:val="231F20"/>
          <w:spacing w:val="-2"/>
          <w:sz w:val="22"/>
          <w:vertAlign w:val="baseline"/>
        </w:rPr>
        <w:t> </w:t>
      </w:r>
      <w:r>
        <w:rPr>
          <w:i/>
          <w:color w:val="231F20"/>
          <w:sz w:val="22"/>
          <w:vertAlign w:val="baseline"/>
        </w:rPr>
        <w:t>Implementing</w:t>
      </w:r>
      <w:r>
        <w:rPr>
          <w:i/>
          <w:color w:val="231F20"/>
          <w:spacing w:val="-2"/>
          <w:sz w:val="22"/>
          <w:vertAlign w:val="baseline"/>
        </w:rPr>
        <w:t> </w:t>
      </w:r>
      <w:r>
        <w:rPr>
          <w:i/>
          <w:color w:val="231F20"/>
          <w:sz w:val="22"/>
          <w:vertAlign w:val="baseline"/>
        </w:rPr>
        <w:t>PrEP</w:t>
      </w:r>
      <w:r>
        <w:rPr>
          <w:i/>
          <w:color w:val="231F20"/>
          <w:spacing w:val="-7"/>
          <w:sz w:val="22"/>
          <w:vertAlign w:val="baseline"/>
        </w:rPr>
        <w:t> </w:t>
      </w:r>
      <w:r>
        <w:rPr>
          <w:i/>
          <w:color w:val="231F20"/>
          <w:sz w:val="22"/>
          <w:vertAlign w:val="baseline"/>
        </w:rPr>
        <w:t>for</w:t>
      </w:r>
      <w:r>
        <w:rPr>
          <w:i/>
          <w:color w:val="231F20"/>
          <w:spacing w:val="-52"/>
          <w:sz w:val="22"/>
          <w:vertAlign w:val="baseline"/>
        </w:rPr>
        <w:t> </w:t>
      </w:r>
      <w:r>
        <w:rPr>
          <w:i/>
          <w:color w:val="231F20"/>
          <w:sz w:val="22"/>
          <w:vertAlign w:val="baseline"/>
        </w:rPr>
        <w:t>HIV prevention: State-wide initiatives and provider</w:t>
      </w:r>
      <w:r>
        <w:rPr>
          <w:i/>
          <w:color w:val="231F20"/>
          <w:spacing w:val="1"/>
          <w:sz w:val="22"/>
          <w:vertAlign w:val="baseline"/>
        </w:rPr>
        <w:t> </w:t>
      </w:r>
      <w:r>
        <w:rPr>
          <w:i/>
          <w:color w:val="231F20"/>
          <w:sz w:val="22"/>
          <w:vertAlign w:val="baseline"/>
        </w:rPr>
        <w:t>experiences </w:t>
      </w:r>
      <w:r>
        <w:rPr>
          <w:color w:val="231F20"/>
          <w:sz w:val="22"/>
          <w:vertAlign w:val="baseline"/>
        </w:rPr>
        <w:t>[PowerPoint slides]. National LGBT</w:t>
      </w:r>
      <w:r>
        <w:rPr>
          <w:color w:val="231F20"/>
          <w:spacing w:val="1"/>
          <w:sz w:val="22"/>
          <w:vertAlign w:val="baseline"/>
        </w:rPr>
        <w:t> </w:t>
      </w:r>
      <w:r>
        <w:rPr>
          <w:color w:val="231F20"/>
          <w:sz w:val="22"/>
          <w:vertAlign w:val="baseline"/>
        </w:rPr>
        <w:t>Health Education Center, Fenway Institute. </w:t>
      </w:r>
      <w:hyperlink r:id="rId249">
        <w:r>
          <w:rPr>
            <w:color w:val="3953A4"/>
            <w:sz w:val="22"/>
            <w:u w:val="single" w:color="3953A4"/>
            <w:vertAlign w:val="baseline"/>
          </w:rPr>
          <w:t>https://</w:t>
        </w:r>
      </w:hyperlink>
      <w:r>
        <w:rPr>
          <w:color w:val="3953A4"/>
          <w:spacing w:val="1"/>
          <w:sz w:val="22"/>
          <w:vertAlign w:val="baseline"/>
        </w:rPr>
        <w:t> </w:t>
      </w:r>
      <w:hyperlink r:id="rId249">
        <w:r>
          <w:rPr>
            <w:color w:val="3953A4"/>
            <w:sz w:val="22"/>
            <w:u w:val="single" w:color="3953A4"/>
            <w:vertAlign w:val="baseline"/>
          </w:rPr>
          <w:t>www.lgbthealtheducation.org/wp-content/uploads/</w:t>
        </w:r>
      </w:hyperlink>
      <w:r>
        <w:rPr>
          <w:color w:val="3953A4"/>
          <w:spacing w:val="1"/>
          <w:sz w:val="22"/>
          <w:vertAlign w:val="baseline"/>
        </w:rPr>
        <w:t> </w:t>
      </w:r>
      <w:hyperlink r:id="rId249">
        <w:r>
          <w:rPr>
            <w:color w:val="3953A4"/>
            <w:sz w:val="22"/>
            <w:u w:val="single" w:color="3953A4"/>
            <w:vertAlign w:val="baseline"/>
          </w:rPr>
          <w:t>Implementing-PrEP-for-HIV-Prevention_Final.pdf</w:t>
        </w:r>
      </w:hyperlink>
    </w:p>
    <w:p>
      <w:pPr>
        <w:tabs>
          <w:tab w:pos="519" w:val="left" w:leader="none"/>
        </w:tabs>
        <w:spacing w:line="228" w:lineRule="auto" w:before="88"/>
        <w:ind w:left="520" w:right="63" w:hanging="360"/>
        <w:jc w:val="left"/>
        <w:rPr>
          <w:sz w:val="22"/>
        </w:rPr>
      </w:pPr>
      <w:r>
        <w:rPr>
          <w:color w:val="231F20"/>
          <w:sz w:val="22"/>
          <w:vertAlign w:val="superscript"/>
        </w:rPr>
        <w:t>73</w:t>
      </w:r>
      <w:r>
        <w:rPr>
          <w:color w:val="231F20"/>
          <w:sz w:val="22"/>
          <w:vertAlign w:val="baseline"/>
        </w:rPr>
        <w:tab/>
        <w:t>Harm Reduction Coalition. (n.d.). </w:t>
      </w:r>
      <w:r>
        <w:rPr>
          <w:i/>
          <w:color w:val="231F20"/>
          <w:sz w:val="22"/>
          <w:vertAlign w:val="baseline"/>
        </w:rPr>
        <w:t>Syringe access</w:t>
      </w:r>
      <w:r>
        <w:rPr>
          <w:i/>
          <w:color w:val="231F20"/>
          <w:spacing w:val="1"/>
          <w:sz w:val="22"/>
          <w:vertAlign w:val="baseline"/>
        </w:rPr>
        <w:t> </w:t>
      </w:r>
      <w:r>
        <w:rPr>
          <w:i/>
          <w:color w:val="231F20"/>
          <w:spacing w:val="-1"/>
          <w:sz w:val="22"/>
          <w:vertAlign w:val="baseline"/>
        </w:rPr>
        <w:t>implementation</w:t>
      </w:r>
      <w:r>
        <w:rPr>
          <w:color w:val="231F20"/>
          <w:spacing w:val="-1"/>
          <w:sz w:val="22"/>
          <w:vertAlign w:val="baseline"/>
        </w:rPr>
        <w:t>. </w:t>
      </w:r>
      <w:hyperlink r:id="rId250">
        <w:r>
          <w:rPr>
            <w:color w:val="3953A4"/>
            <w:sz w:val="22"/>
            <w:u w:val="single" w:color="3953A4"/>
            <w:vertAlign w:val="baseline"/>
          </w:rPr>
          <w:t>https://harmreduction.org/our-work/</w:t>
        </w:r>
      </w:hyperlink>
      <w:r>
        <w:rPr>
          <w:color w:val="3953A4"/>
          <w:spacing w:val="-52"/>
          <w:sz w:val="22"/>
          <w:vertAlign w:val="baseline"/>
        </w:rPr>
        <w:t> </w:t>
      </w:r>
      <w:hyperlink r:id="rId265">
        <w:r>
          <w:rPr>
            <w:color w:val="3953A4"/>
            <w:sz w:val="22"/>
            <w:u w:val="single" w:color="3953A4"/>
            <w:vertAlign w:val="baseline"/>
          </w:rPr>
          <w:t>syringe-access-implementation/</w:t>
        </w:r>
      </w:hyperlink>
    </w:p>
    <w:p>
      <w:pPr>
        <w:pStyle w:val="BodyText"/>
        <w:tabs>
          <w:tab w:pos="519" w:val="left" w:leader="none"/>
        </w:tabs>
        <w:spacing w:line="228" w:lineRule="auto" w:before="89"/>
        <w:ind w:left="520" w:right="201" w:hanging="360"/>
      </w:pPr>
      <w:r>
        <w:rPr>
          <w:color w:val="231F20"/>
          <w:vertAlign w:val="superscript"/>
        </w:rPr>
        <w:t>74</w:t>
      </w:r>
      <w:r>
        <w:rPr>
          <w:color w:val="231F20"/>
          <w:vertAlign w:val="baseline"/>
        </w:rPr>
        <w:tab/>
        <w:t>Centers for Disease Control and Prevention. (2020,</w:t>
      </w:r>
      <w:r>
        <w:rPr>
          <w:color w:val="231F20"/>
          <w:spacing w:val="-52"/>
          <w:vertAlign w:val="baseline"/>
        </w:rPr>
        <w:t> </w:t>
      </w:r>
      <w:r>
        <w:rPr>
          <w:color w:val="231F20"/>
          <w:vertAlign w:val="baseline"/>
        </w:rPr>
        <w:t>March 19). </w:t>
      </w:r>
      <w:r>
        <w:rPr>
          <w:i/>
          <w:color w:val="231F20"/>
          <w:vertAlign w:val="baseline"/>
        </w:rPr>
        <w:t>Capacity building assistance</w:t>
      </w:r>
      <w:r>
        <w:rPr>
          <w:color w:val="231F20"/>
          <w:vertAlign w:val="baseline"/>
        </w:rPr>
        <w:t>. U.S.</w:t>
      </w:r>
      <w:r>
        <w:rPr>
          <w:color w:val="231F20"/>
          <w:spacing w:val="1"/>
          <w:vertAlign w:val="baseline"/>
        </w:rPr>
        <w:t> </w:t>
      </w:r>
      <w:r>
        <w:rPr>
          <w:color w:val="231F20"/>
          <w:vertAlign w:val="baseline"/>
        </w:rPr>
        <w:t>Department of Health and Human Services. </w:t>
      </w:r>
      <w:hyperlink r:id="rId251">
        <w:r>
          <w:rPr>
            <w:color w:val="3953A4"/>
            <w:u w:val="single" w:color="3953A4"/>
            <w:vertAlign w:val="baseline"/>
          </w:rPr>
          <w:t>https://</w:t>
        </w:r>
      </w:hyperlink>
      <w:r>
        <w:rPr>
          <w:color w:val="3953A4"/>
          <w:spacing w:val="-52"/>
          <w:vertAlign w:val="baseline"/>
        </w:rPr>
        <w:t> </w:t>
      </w:r>
      <w:hyperlink r:id="rId251">
        <w:r>
          <w:rPr>
            <w:color w:val="3953A4"/>
            <w:u w:val="single" w:color="3953A4"/>
            <w:vertAlign w:val="baseline"/>
          </w:rPr>
          <w:t>www.cdc.gov/hiv/capacity-building-assistance/</w:t>
        </w:r>
      </w:hyperlink>
      <w:r>
        <w:rPr>
          <w:color w:val="3953A4"/>
          <w:spacing w:val="1"/>
          <w:vertAlign w:val="baseline"/>
        </w:rPr>
        <w:t> </w:t>
      </w:r>
      <w:hyperlink r:id="rId251">
        <w:r>
          <w:rPr>
            <w:color w:val="3953A4"/>
            <w:u w:val="single" w:color="3953A4"/>
            <w:vertAlign w:val="baseline"/>
          </w:rPr>
          <w:t>index.html</w:t>
        </w:r>
      </w:hyperlink>
    </w:p>
    <w:p>
      <w:pPr>
        <w:tabs>
          <w:tab w:pos="519" w:val="left" w:leader="none"/>
        </w:tabs>
        <w:spacing w:line="228" w:lineRule="auto" w:before="88"/>
        <w:ind w:left="520" w:right="38" w:hanging="360"/>
        <w:jc w:val="left"/>
        <w:rPr>
          <w:sz w:val="22"/>
        </w:rPr>
      </w:pPr>
      <w:r>
        <w:rPr>
          <w:color w:val="231F20"/>
          <w:sz w:val="22"/>
          <w:vertAlign w:val="superscript"/>
        </w:rPr>
        <w:t>75</w:t>
      </w:r>
      <w:r>
        <w:rPr>
          <w:color w:val="231F20"/>
          <w:sz w:val="22"/>
          <w:vertAlign w:val="baseline"/>
        </w:rPr>
        <w:tab/>
        <w:t>Winkelstein, E. (2010). </w:t>
      </w:r>
      <w:r>
        <w:rPr>
          <w:i/>
          <w:color w:val="231F20"/>
          <w:sz w:val="22"/>
          <w:vertAlign w:val="baseline"/>
        </w:rPr>
        <w:t>Guide to developing and</w:t>
      </w:r>
      <w:r>
        <w:rPr>
          <w:i/>
          <w:color w:val="231F20"/>
          <w:spacing w:val="1"/>
          <w:sz w:val="22"/>
          <w:vertAlign w:val="baseline"/>
        </w:rPr>
        <w:t> </w:t>
      </w:r>
      <w:r>
        <w:rPr>
          <w:i/>
          <w:color w:val="231F20"/>
          <w:sz w:val="22"/>
          <w:vertAlign w:val="baseline"/>
        </w:rPr>
        <w:t>managing</w:t>
      </w:r>
      <w:r>
        <w:rPr>
          <w:i/>
          <w:color w:val="231F20"/>
          <w:spacing w:val="-6"/>
          <w:sz w:val="22"/>
          <w:vertAlign w:val="baseline"/>
        </w:rPr>
        <w:t> </w:t>
      </w:r>
      <w:r>
        <w:rPr>
          <w:i/>
          <w:color w:val="231F20"/>
          <w:sz w:val="22"/>
          <w:vertAlign w:val="baseline"/>
        </w:rPr>
        <w:t>syringe</w:t>
      </w:r>
      <w:r>
        <w:rPr>
          <w:i/>
          <w:color w:val="231F20"/>
          <w:spacing w:val="-6"/>
          <w:sz w:val="22"/>
          <w:vertAlign w:val="baseline"/>
        </w:rPr>
        <w:t> </w:t>
      </w:r>
      <w:r>
        <w:rPr>
          <w:i/>
          <w:color w:val="231F20"/>
          <w:sz w:val="22"/>
          <w:vertAlign w:val="baseline"/>
        </w:rPr>
        <w:t>access</w:t>
      </w:r>
      <w:r>
        <w:rPr>
          <w:i/>
          <w:color w:val="231F20"/>
          <w:spacing w:val="-6"/>
          <w:sz w:val="22"/>
          <w:vertAlign w:val="baseline"/>
        </w:rPr>
        <w:t> </w:t>
      </w:r>
      <w:r>
        <w:rPr>
          <w:i/>
          <w:color w:val="231F20"/>
          <w:sz w:val="22"/>
          <w:vertAlign w:val="baseline"/>
        </w:rPr>
        <w:t>programs</w:t>
      </w:r>
      <w:r>
        <w:rPr>
          <w:color w:val="231F20"/>
          <w:sz w:val="22"/>
          <w:vertAlign w:val="baseline"/>
        </w:rPr>
        <w:t>.</w:t>
      </w:r>
      <w:r>
        <w:rPr>
          <w:color w:val="231F20"/>
          <w:spacing w:val="-5"/>
          <w:sz w:val="22"/>
          <w:vertAlign w:val="baseline"/>
        </w:rPr>
        <w:t> </w:t>
      </w:r>
      <w:r>
        <w:rPr>
          <w:color w:val="231F20"/>
          <w:sz w:val="22"/>
          <w:vertAlign w:val="baseline"/>
        </w:rPr>
        <w:t>Harm</w:t>
      </w:r>
      <w:r>
        <w:rPr>
          <w:color w:val="231F20"/>
          <w:spacing w:val="-6"/>
          <w:sz w:val="22"/>
          <w:vertAlign w:val="baseline"/>
        </w:rPr>
        <w:t> </w:t>
      </w:r>
      <w:r>
        <w:rPr>
          <w:color w:val="231F20"/>
          <w:sz w:val="22"/>
          <w:vertAlign w:val="baseline"/>
        </w:rPr>
        <w:t>Reduction</w:t>
      </w:r>
      <w:r>
        <w:rPr>
          <w:color w:val="231F20"/>
          <w:spacing w:val="-52"/>
          <w:sz w:val="22"/>
          <w:vertAlign w:val="baseline"/>
        </w:rPr>
        <w:t> </w:t>
      </w:r>
      <w:r>
        <w:rPr>
          <w:color w:val="231F20"/>
          <w:sz w:val="22"/>
          <w:vertAlign w:val="baseline"/>
        </w:rPr>
        <w:t>Coalition. </w:t>
      </w:r>
      <w:hyperlink r:id="rId319">
        <w:r>
          <w:rPr>
            <w:color w:val="3953A4"/>
            <w:sz w:val="22"/>
            <w:u w:val="single" w:color="3953A4"/>
            <w:vertAlign w:val="baseline"/>
          </w:rPr>
          <w:t>https://harmreduction.org/issues/syringe-</w:t>
        </w:r>
      </w:hyperlink>
      <w:r>
        <w:rPr>
          <w:color w:val="3953A4"/>
          <w:spacing w:val="1"/>
          <w:sz w:val="22"/>
          <w:vertAlign w:val="baseline"/>
        </w:rPr>
        <w:t> </w:t>
      </w:r>
      <w:hyperlink r:id="rId319">
        <w:r>
          <w:rPr>
            <w:color w:val="3953A4"/>
            <w:sz w:val="22"/>
            <w:u w:val="single" w:color="3953A4"/>
            <w:vertAlign w:val="baseline"/>
          </w:rPr>
          <w:t>access/guide-to-managing-programs/</w:t>
        </w:r>
      </w:hyperlink>
    </w:p>
    <w:p>
      <w:pPr>
        <w:tabs>
          <w:tab w:pos="519" w:val="left" w:leader="none"/>
        </w:tabs>
        <w:spacing w:line="228" w:lineRule="auto" w:before="89"/>
        <w:ind w:left="520" w:right="638" w:hanging="360"/>
        <w:jc w:val="left"/>
        <w:rPr>
          <w:sz w:val="22"/>
        </w:rPr>
      </w:pPr>
      <w:r>
        <w:rPr>
          <w:color w:val="231F20"/>
          <w:sz w:val="22"/>
          <w:vertAlign w:val="superscript"/>
        </w:rPr>
        <w:t>76</w:t>
      </w:r>
      <w:r>
        <w:rPr>
          <w:color w:val="231F20"/>
          <w:sz w:val="22"/>
          <w:vertAlign w:val="baseline"/>
        </w:rPr>
        <w:tab/>
        <w:t>La Belle, R. (2017). </w:t>
      </w:r>
      <w:r>
        <w:rPr>
          <w:i/>
          <w:color w:val="231F20"/>
          <w:sz w:val="22"/>
          <w:vertAlign w:val="baseline"/>
        </w:rPr>
        <w:t>A guide to establishing</w:t>
      </w:r>
      <w:r>
        <w:rPr>
          <w:i/>
          <w:color w:val="231F20"/>
          <w:spacing w:val="1"/>
          <w:sz w:val="22"/>
          <w:vertAlign w:val="baseline"/>
        </w:rPr>
        <w:t> </w:t>
      </w:r>
      <w:r>
        <w:rPr>
          <w:i/>
          <w:color w:val="231F20"/>
          <w:sz w:val="22"/>
          <w:vertAlign w:val="baseline"/>
        </w:rPr>
        <w:t>syringe services programs in rural, at-risk</w:t>
      </w:r>
      <w:r>
        <w:rPr>
          <w:i/>
          <w:color w:val="231F20"/>
          <w:spacing w:val="1"/>
          <w:sz w:val="22"/>
          <w:vertAlign w:val="baseline"/>
        </w:rPr>
        <w:t> </w:t>
      </w:r>
      <w:r>
        <w:rPr>
          <w:i/>
          <w:color w:val="231F20"/>
          <w:spacing w:val="-2"/>
          <w:sz w:val="22"/>
          <w:vertAlign w:val="baseline"/>
        </w:rPr>
        <w:t>areas</w:t>
      </w:r>
      <w:r>
        <w:rPr>
          <w:color w:val="231F20"/>
          <w:spacing w:val="-2"/>
          <w:sz w:val="22"/>
          <w:vertAlign w:val="baseline"/>
        </w:rPr>
        <w:t>.</w:t>
      </w:r>
      <w:r>
        <w:rPr>
          <w:color w:val="231F20"/>
          <w:spacing w:val="-11"/>
          <w:sz w:val="22"/>
          <w:vertAlign w:val="baseline"/>
        </w:rPr>
        <w:t> </w:t>
      </w:r>
      <w:r>
        <w:rPr>
          <w:color w:val="231F20"/>
          <w:spacing w:val="-2"/>
          <w:sz w:val="22"/>
          <w:vertAlign w:val="baseline"/>
        </w:rPr>
        <w:t>Comer</w:t>
      </w:r>
      <w:r>
        <w:rPr>
          <w:color w:val="231F20"/>
          <w:spacing w:val="-11"/>
          <w:sz w:val="22"/>
          <w:vertAlign w:val="baseline"/>
        </w:rPr>
        <w:t> </w:t>
      </w:r>
      <w:r>
        <w:rPr>
          <w:color w:val="231F20"/>
          <w:spacing w:val="-2"/>
          <w:sz w:val="22"/>
          <w:vertAlign w:val="baseline"/>
        </w:rPr>
        <w:t>Family</w:t>
      </w:r>
      <w:r>
        <w:rPr>
          <w:color w:val="231F20"/>
          <w:spacing w:val="-11"/>
          <w:sz w:val="22"/>
          <w:vertAlign w:val="baseline"/>
        </w:rPr>
        <w:t> </w:t>
      </w:r>
      <w:r>
        <w:rPr>
          <w:color w:val="231F20"/>
          <w:spacing w:val="-2"/>
          <w:sz w:val="22"/>
          <w:vertAlign w:val="baseline"/>
        </w:rPr>
        <w:t>Foundation.</w:t>
      </w:r>
      <w:r>
        <w:rPr>
          <w:color w:val="231F20"/>
          <w:spacing w:val="-11"/>
          <w:sz w:val="22"/>
          <w:vertAlign w:val="baseline"/>
        </w:rPr>
        <w:t> </w:t>
      </w:r>
      <w:hyperlink r:id="rId320">
        <w:r>
          <w:rPr>
            <w:color w:val="3953A4"/>
            <w:spacing w:val="-2"/>
            <w:sz w:val="22"/>
            <w:u w:val="single" w:color="3953A4"/>
            <w:vertAlign w:val="baseline"/>
          </w:rPr>
          <w:t>https://www.</w:t>
        </w:r>
      </w:hyperlink>
      <w:r>
        <w:rPr>
          <w:color w:val="3953A4"/>
          <w:spacing w:val="-52"/>
          <w:sz w:val="22"/>
          <w:vertAlign w:val="baseline"/>
        </w:rPr>
        <w:t> </w:t>
      </w:r>
      <w:hyperlink r:id="rId320">
        <w:r>
          <w:rPr>
            <w:color w:val="3953A4"/>
            <w:sz w:val="22"/>
            <w:u w:val="single" w:color="3953A4"/>
            <w:vertAlign w:val="baseline"/>
          </w:rPr>
          <w:t>comerfamilyfoundation.org/img/A-Guide-to-</w:t>
        </w:r>
      </w:hyperlink>
    </w:p>
    <w:p>
      <w:pPr>
        <w:pStyle w:val="BodyText"/>
        <w:spacing w:line="228" w:lineRule="auto"/>
        <w:ind w:left="520" w:right="62"/>
      </w:pPr>
      <w:hyperlink r:id="rId320">
        <w:r>
          <w:rPr>
            <w:color w:val="3953A4"/>
            <w:spacing w:val="-2"/>
            <w:u w:val="single" w:color="3953A4"/>
          </w:rPr>
          <w:t>Establishing-Syringe-Services-Programs-in-Rural-At-</w:t>
        </w:r>
      </w:hyperlink>
      <w:r>
        <w:rPr>
          <w:color w:val="3953A4"/>
          <w:spacing w:val="-52"/>
        </w:rPr>
        <w:t> </w:t>
      </w:r>
      <w:hyperlink r:id="rId320">
        <w:r>
          <w:rPr>
            <w:color w:val="3953A4"/>
            <w:u w:val="single" w:color="3953A4"/>
          </w:rPr>
          <w:t>Risk-Areas.pdf</w:t>
        </w:r>
      </w:hyperlink>
    </w:p>
    <w:p>
      <w:pPr>
        <w:tabs>
          <w:tab w:pos="519" w:val="left" w:leader="none"/>
        </w:tabs>
        <w:spacing w:line="228" w:lineRule="auto" w:before="101"/>
        <w:ind w:left="520" w:right="768" w:hanging="360"/>
        <w:jc w:val="left"/>
        <w:rPr>
          <w:sz w:val="22"/>
        </w:rPr>
      </w:pPr>
      <w:r>
        <w:rPr/>
        <w:br w:type="column"/>
      </w:r>
      <w:r>
        <w:rPr>
          <w:color w:val="231F20"/>
          <w:sz w:val="22"/>
          <w:vertAlign w:val="superscript"/>
        </w:rPr>
        <w:t>77</w:t>
      </w:r>
      <w:r>
        <w:rPr>
          <w:color w:val="231F20"/>
          <w:sz w:val="22"/>
          <w:vertAlign w:val="baseline"/>
        </w:rPr>
        <w:tab/>
      </w:r>
      <w:r>
        <w:rPr>
          <w:color w:val="231F20"/>
          <w:spacing w:val="-5"/>
          <w:sz w:val="22"/>
          <w:vertAlign w:val="baseline"/>
        </w:rPr>
        <w:t>Oregon Public Health </w:t>
      </w:r>
      <w:r>
        <w:rPr>
          <w:color w:val="231F20"/>
          <w:spacing w:val="-4"/>
          <w:sz w:val="22"/>
          <w:vertAlign w:val="baseline"/>
        </w:rPr>
        <w:t>Division.(2019) </w:t>
      </w:r>
      <w:r>
        <w:rPr>
          <w:i/>
          <w:color w:val="231F20"/>
          <w:spacing w:val="-4"/>
          <w:sz w:val="22"/>
          <w:vertAlign w:val="baseline"/>
        </w:rPr>
        <w:t>Harm reduction</w:t>
      </w:r>
      <w:r>
        <w:rPr>
          <w:i/>
          <w:color w:val="231F20"/>
          <w:spacing w:val="-52"/>
          <w:sz w:val="22"/>
          <w:vertAlign w:val="baseline"/>
        </w:rPr>
        <w:t> </w:t>
      </w:r>
      <w:r>
        <w:rPr>
          <w:i/>
          <w:color w:val="231F20"/>
          <w:spacing w:val="-4"/>
          <w:sz w:val="22"/>
          <w:vertAlign w:val="baseline"/>
        </w:rPr>
        <w:t>and SSP planning and resource manual</w:t>
      </w:r>
      <w:r>
        <w:rPr>
          <w:color w:val="231F20"/>
          <w:spacing w:val="-4"/>
          <w:sz w:val="22"/>
          <w:vertAlign w:val="baseline"/>
        </w:rPr>
        <w:t>. Oregon</w:t>
      </w:r>
      <w:r>
        <w:rPr>
          <w:color w:val="231F20"/>
          <w:spacing w:val="-3"/>
          <w:sz w:val="22"/>
          <w:vertAlign w:val="baseline"/>
        </w:rPr>
        <w:t> </w:t>
      </w:r>
      <w:r>
        <w:rPr>
          <w:color w:val="231F20"/>
          <w:spacing w:val="-5"/>
          <w:sz w:val="22"/>
          <w:vertAlign w:val="baseline"/>
        </w:rPr>
        <w:t>Health Authority. </w:t>
      </w:r>
      <w:hyperlink r:id="rId257">
        <w:r>
          <w:rPr>
            <w:color w:val="3953A4"/>
            <w:spacing w:val="-5"/>
            <w:sz w:val="22"/>
            <w:u w:val="single" w:color="3953A4"/>
            <w:vertAlign w:val="baseline"/>
          </w:rPr>
          <w:t>https://www.oregon.gov/oha/PH/</w:t>
        </w:r>
      </w:hyperlink>
      <w:r>
        <w:rPr>
          <w:color w:val="3953A4"/>
          <w:spacing w:val="-4"/>
          <w:sz w:val="22"/>
          <w:vertAlign w:val="baseline"/>
        </w:rPr>
        <w:t> </w:t>
      </w:r>
      <w:hyperlink r:id="rId257">
        <w:r>
          <w:rPr>
            <w:color w:val="3953A4"/>
            <w:sz w:val="22"/>
            <w:u w:val="single" w:color="3953A4"/>
            <w:vertAlign w:val="baseline"/>
          </w:rPr>
          <w:t>PREVENTIONWELLNESS/SUBSTANCEUSE/</w:t>
        </w:r>
      </w:hyperlink>
      <w:r>
        <w:rPr>
          <w:color w:val="3953A4"/>
          <w:spacing w:val="1"/>
          <w:sz w:val="22"/>
          <w:vertAlign w:val="baseline"/>
        </w:rPr>
        <w:t> </w:t>
      </w:r>
      <w:hyperlink r:id="rId257">
        <w:r>
          <w:rPr>
            <w:color w:val="3953A4"/>
            <w:sz w:val="22"/>
            <w:u w:val="single" w:color="3953A4"/>
            <w:vertAlign w:val="baseline"/>
          </w:rPr>
          <w:t>Pages/harm-reduction-library.aspx</w:t>
        </w:r>
      </w:hyperlink>
    </w:p>
    <w:p>
      <w:pPr>
        <w:pStyle w:val="BodyText"/>
        <w:tabs>
          <w:tab w:pos="519" w:val="left" w:leader="none"/>
        </w:tabs>
        <w:spacing w:line="246" w:lineRule="exact" w:before="78"/>
        <w:ind w:left="160"/>
      </w:pPr>
      <w:r>
        <w:rPr>
          <w:color w:val="231F20"/>
          <w:vertAlign w:val="superscript"/>
        </w:rPr>
        <w:t>78</w:t>
      </w:r>
      <w:r>
        <w:rPr>
          <w:color w:val="231F20"/>
          <w:vertAlign w:val="baseline"/>
        </w:rPr>
        <w:tab/>
      </w:r>
      <w:r>
        <w:rPr>
          <w:color w:val="231F20"/>
          <w:spacing w:val="-2"/>
          <w:vertAlign w:val="baseline"/>
        </w:rPr>
        <w:t>Petry,</w:t>
      </w:r>
      <w:r>
        <w:rPr>
          <w:color w:val="231F20"/>
          <w:spacing w:val="-12"/>
          <w:vertAlign w:val="baseline"/>
        </w:rPr>
        <w:t> </w:t>
      </w:r>
      <w:r>
        <w:rPr>
          <w:color w:val="231F20"/>
          <w:spacing w:val="-2"/>
          <w:vertAlign w:val="baseline"/>
        </w:rPr>
        <w:t>N.M.</w:t>
      </w:r>
      <w:r>
        <w:rPr>
          <w:color w:val="231F20"/>
          <w:spacing w:val="-11"/>
          <w:vertAlign w:val="baseline"/>
        </w:rPr>
        <w:t> </w:t>
      </w:r>
      <w:r>
        <w:rPr>
          <w:color w:val="231F20"/>
          <w:spacing w:val="-2"/>
          <w:vertAlign w:val="baseline"/>
        </w:rPr>
        <w:t>&amp;</w:t>
      </w:r>
      <w:r>
        <w:rPr>
          <w:color w:val="231F20"/>
          <w:spacing w:val="-11"/>
          <w:vertAlign w:val="baseline"/>
        </w:rPr>
        <w:t> </w:t>
      </w:r>
      <w:r>
        <w:rPr>
          <w:color w:val="231F20"/>
          <w:spacing w:val="-2"/>
          <w:vertAlign w:val="baseline"/>
        </w:rPr>
        <w:t>Stitzer,</w:t>
      </w:r>
      <w:r>
        <w:rPr>
          <w:color w:val="231F20"/>
          <w:spacing w:val="-11"/>
          <w:vertAlign w:val="baseline"/>
        </w:rPr>
        <w:t> </w:t>
      </w:r>
      <w:r>
        <w:rPr>
          <w:color w:val="231F20"/>
          <w:spacing w:val="-2"/>
          <w:vertAlign w:val="baseline"/>
        </w:rPr>
        <w:t>M.L.</w:t>
      </w:r>
      <w:r>
        <w:rPr>
          <w:color w:val="231F20"/>
          <w:spacing w:val="-11"/>
          <w:vertAlign w:val="baseline"/>
        </w:rPr>
        <w:t> </w:t>
      </w:r>
      <w:r>
        <w:rPr>
          <w:color w:val="231F20"/>
          <w:spacing w:val="-2"/>
          <w:vertAlign w:val="baseline"/>
        </w:rPr>
        <w:t>(2002).</w:t>
      </w:r>
      <w:r>
        <w:rPr>
          <w:color w:val="231F20"/>
          <w:spacing w:val="-11"/>
          <w:vertAlign w:val="baseline"/>
        </w:rPr>
        <w:t> </w:t>
      </w:r>
      <w:r>
        <w:rPr>
          <w:color w:val="231F20"/>
          <w:spacing w:val="-2"/>
          <w:vertAlign w:val="baseline"/>
        </w:rPr>
        <w:t>Contingency</w:t>
      </w:r>
    </w:p>
    <w:p>
      <w:pPr>
        <w:pStyle w:val="BodyText"/>
        <w:spacing w:line="228" w:lineRule="auto" w:before="4"/>
        <w:ind w:left="520" w:right="1533"/>
      </w:pPr>
      <w:r>
        <w:rPr>
          <w:color w:val="231F20"/>
          <w:spacing w:val="-3"/>
        </w:rPr>
        <w:t>Management: </w:t>
      </w:r>
      <w:r>
        <w:rPr>
          <w:color w:val="231F20"/>
          <w:spacing w:val="-2"/>
        </w:rPr>
        <w:t>Using Motivational Incentives</w:t>
      </w:r>
      <w:r>
        <w:rPr>
          <w:color w:val="231F20"/>
          <w:spacing w:val="-52"/>
        </w:rPr>
        <w:t> </w:t>
      </w:r>
      <w:r>
        <w:rPr>
          <w:color w:val="231F20"/>
          <w:spacing w:val="-4"/>
        </w:rPr>
        <w:t>to Improve Drug Abuse </w:t>
      </w:r>
      <w:r>
        <w:rPr>
          <w:color w:val="231F20"/>
          <w:spacing w:val="-3"/>
        </w:rPr>
        <w:t>Treatment. Yale</w:t>
      </w:r>
      <w:r>
        <w:rPr>
          <w:color w:val="231F20"/>
          <w:spacing w:val="-2"/>
        </w:rPr>
        <w:t> </w:t>
      </w:r>
      <w:r>
        <w:rPr>
          <w:color w:val="231F20"/>
          <w:spacing w:val="-1"/>
        </w:rPr>
        <w:t>University Psychotherapy </w:t>
      </w:r>
      <w:r>
        <w:rPr>
          <w:color w:val="231F20"/>
        </w:rPr>
        <w:t>Development</w:t>
      </w:r>
      <w:r>
        <w:rPr>
          <w:color w:val="231F20"/>
          <w:spacing w:val="1"/>
        </w:rPr>
        <w:t> </w:t>
      </w:r>
      <w:r>
        <w:rPr>
          <w:color w:val="231F20"/>
          <w:spacing w:val="-3"/>
        </w:rPr>
        <w:t>Center. </w:t>
      </w:r>
      <w:hyperlink r:id="rId258">
        <w:r>
          <w:rPr>
            <w:color w:val="3953A4"/>
            <w:spacing w:val="-3"/>
            <w:u w:val="single" w:color="3953A4"/>
          </w:rPr>
          <w:t>https://medicine.yale.edu/psychiatry/</w:t>
        </w:r>
      </w:hyperlink>
      <w:r>
        <w:rPr>
          <w:color w:val="3953A4"/>
          <w:spacing w:val="-52"/>
        </w:rPr>
        <w:t> </w:t>
      </w:r>
      <w:hyperlink r:id="rId258">
        <w:r>
          <w:rPr>
            <w:color w:val="3953A4"/>
            <w:u w:val="single" w:color="3953A4"/>
          </w:rPr>
          <w:t>research/programs/clinical_people/pdc/</w:t>
        </w:r>
      </w:hyperlink>
    </w:p>
    <w:p>
      <w:pPr>
        <w:pStyle w:val="BodyText"/>
        <w:spacing w:line="228" w:lineRule="auto"/>
        <w:ind w:left="520" w:right="1189"/>
      </w:pPr>
      <w:hyperlink r:id="rId258">
        <w:r>
          <w:rPr>
            <w:color w:val="3953A4"/>
            <w:spacing w:val="-3"/>
            <w:u w:val="single" w:color="3953A4"/>
          </w:rPr>
          <w:t>ContingencyManagement_176454_284_46619_</w:t>
        </w:r>
      </w:hyperlink>
      <w:r>
        <w:rPr>
          <w:color w:val="3953A4"/>
          <w:spacing w:val="-52"/>
        </w:rPr>
        <w:t> </w:t>
      </w:r>
      <w:hyperlink r:id="rId258">
        <w:r>
          <w:rPr>
            <w:color w:val="3953A4"/>
            <w:u w:val="single" w:color="3953A4"/>
          </w:rPr>
          <w:t>v1.pdf</w:t>
        </w:r>
      </w:hyperlink>
    </w:p>
    <w:p>
      <w:pPr>
        <w:tabs>
          <w:tab w:pos="519" w:val="left" w:leader="none"/>
        </w:tabs>
        <w:spacing w:line="228" w:lineRule="auto" w:before="88"/>
        <w:ind w:left="520" w:right="1085" w:hanging="360"/>
        <w:jc w:val="left"/>
        <w:rPr>
          <w:sz w:val="22"/>
        </w:rPr>
      </w:pPr>
      <w:r>
        <w:rPr>
          <w:color w:val="231F20"/>
          <w:sz w:val="22"/>
          <w:vertAlign w:val="superscript"/>
        </w:rPr>
        <w:t>79</w:t>
      </w:r>
      <w:r>
        <w:rPr>
          <w:color w:val="231F20"/>
          <w:sz w:val="22"/>
          <w:vertAlign w:val="baseline"/>
        </w:rPr>
        <w:tab/>
      </w:r>
      <w:r>
        <w:rPr>
          <w:color w:val="231F20"/>
          <w:spacing w:val="-1"/>
          <w:sz w:val="22"/>
          <w:vertAlign w:val="baseline"/>
        </w:rPr>
        <w:t>Prendergast, M., Hall, </w:t>
      </w:r>
      <w:r>
        <w:rPr>
          <w:color w:val="231F20"/>
          <w:sz w:val="22"/>
          <w:vertAlign w:val="baseline"/>
        </w:rPr>
        <w:t>E., &amp; Rokke, A. (2011). </w:t>
      </w:r>
      <w:r>
        <w:rPr>
          <w:i/>
          <w:color w:val="231F20"/>
          <w:sz w:val="22"/>
          <w:vertAlign w:val="baseline"/>
        </w:rPr>
        <w:t>A</w:t>
      </w:r>
      <w:r>
        <w:rPr>
          <w:i/>
          <w:color w:val="231F20"/>
          <w:spacing w:val="-52"/>
          <w:sz w:val="22"/>
          <w:vertAlign w:val="baseline"/>
        </w:rPr>
        <w:t> </w:t>
      </w:r>
      <w:r>
        <w:rPr>
          <w:i/>
          <w:color w:val="231F20"/>
          <w:sz w:val="22"/>
          <w:vertAlign w:val="baseline"/>
        </w:rPr>
        <w:t>treatment manual for implementing contingency</w:t>
      </w:r>
      <w:r>
        <w:rPr>
          <w:i/>
          <w:color w:val="231F20"/>
          <w:spacing w:val="1"/>
          <w:sz w:val="22"/>
          <w:vertAlign w:val="baseline"/>
        </w:rPr>
        <w:t> </w:t>
      </w:r>
      <w:r>
        <w:rPr>
          <w:i/>
          <w:color w:val="231F20"/>
          <w:spacing w:val="-1"/>
          <w:sz w:val="22"/>
          <w:vertAlign w:val="baseline"/>
        </w:rPr>
        <w:t>management</w:t>
      </w:r>
      <w:r>
        <w:rPr>
          <w:color w:val="231F20"/>
          <w:spacing w:val="-1"/>
          <w:sz w:val="22"/>
          <w:vertAlign w:val="baseline"/>
        </w:rPr>
        <w:t>.</w:t>
      </w:r>
      <w:r>
        <w:rPr>
          <w:color w:val="231F20"/>
          <w:sz w:val="22"/>
          <w:vertAlign w:val="baseline"/>
        </w:rPr>
        <w:t> UCLA Integrated</w:t>
      </w:r>
      <w:r>
        <w:rPr>
          <w:color w:val="231F20"/>
          <w:spacing w:val="55"/>
          <w:sz w:val="22"/>
          <w:vertAlign w:val="baseline"/>
        </w:rPr>
        <w:t> </w:t>
      </w:r>
      <w:r>
        <w:rPr>
          <w:color w:val="231F20"/>
          <w:sz w:val="22"/>
          <w:vertAlign w:val="baseline"/>
        </w:rPr>
        <w:t>Substance</w:t>
      </w:r>
      <w:r>
        <w:rPr>
          <w:color w:val="231F20"/>
          <w:spacing w:val="1"/>
          <w:sz w:val="22"/>
          <w:vertAlign w:val="baseline"/>
        </w:rPr>
        <w:t> </w:t>
      </w:r>
      <w:r>
        <w:rPr>
          <w:color w:val="231F20"/>
          <w:spacing w:val="-1"/>
          <w:sz w:val="22"/>
          <w:vertAlign w:val="baseline"/>
        </w:rPr>
        <w:t>Abuse</w:t>
      </w:r>
      <w:r>
        <w:rPr>
          <w:color w:val="231F20"/>
          <w:spacing w:val="-13"/>
          <w:sz w:val="22"/>
          <w:vertAlign w:val="baseline"/>
        </w:rPr>
        <w:t> </w:t>
      </w:r>
      <w:r>
        <w:rPr>
          <w:color w:val="231F20"/>
          <w:sz w:val="22"/>
          <w:vertAlign w:val="baseline"/>
        </w:rPr>
        <w:t>Programs.</w:t>
      </w:r>
      <w:r>
        <w:rPr>
          <w:color w:val="231F20"/>
          <w:spacing w:val="-13"/>
          <w:sz w:val="22"/>
          <w:vertAlign w:val="baseline"/>
        </w:rPr>
        <w:t> </w:t>
      </w:r>
      <w:hyperlink r:id="rId259">
        <w:r>
          <w:rPr>
            <w:color w:val="3953A4"/>
            <w:sz w:val="22"/>
            <w:u w:val="single" w:color="3953A4"/>
            <w:vertAlign w:val="baseline"/>
          </w:rPr>
          <w:t>http://www.uclaisap.org/assets/</w:t>
        </w:r>
      </w:hyperlink>
    </w:p>
    <w:p>
      <w:pPr>
        <w:pStyle w:val="BodyText"/>
        <w:spacing w:line="228" w:lineRule="auto"/>
        <w:ind w:left="520" w:right="789"/>
      </w:pPr>
      <w:hyperlink r:id="rId259">
        <w:r>
          <w:rPr>
            <w:color w:val="3953A4"/>
            <w:u w:val="single" w:color="3953A4"/>
          </w:rPr>
          <w:t>documents/Manual%20for%20Implementing%20</w:t>
        </w:r>
      </w:hyperlink>
      <w:r>
        <w:rPr>
          <w:color w:val="3953A4"/>
          <w:spacing w:val="1"/>
        </w:rPr>
        <w:t> </w:t>
      </w:r>
      <w:hyperlink r:id="rId259">
        <w:r>
          <w:rPr>
            <w:color w:val="3953A4"/>
            <w:spacing w:val="-1"/>
            <w:u w:val="single" w:color="3953A4"/>
          </w:rPr>
          <w:t>Contingency%20Management_11-8-2011%20clean.</w:t>
        </w:r>
      </w:hyperlink>
      <w:r>
        <w:rPr>
          <w:color w:val="3953A4"/>
          <w:spacing w:val="-52"/>
        </w:rPr>
        <w:t> </w:t>
      </w:r>
      <w:hyperlink r:id="rId259">
        <w:r>
          <w:rPr>
            <w:color w:val="3953A4"/>
            <w:u w:val="single" w:color="3953A4"/>
          </w:rPr>
          <w:t>pdf</w:t>
        </w:r>
      </w:hyperlink>
    </w:p>
    <w:p>
      <w:pPr>
        <w:tabs>
          <w:tab w:pos="519" w:val="left" w:leader="none"/>
        </w:tabs>
        <w:spacing w:line="228" w:lineRule="auto" w:before="88"/>
        <w:ind w:left="520" w:right="785" w:hanging="360"/>
        <w:jc w:val="left"/>
        <w:rPr>
          <w:sz w:val="22"/>
        </w:rPr>
      </w:pPr>
      <w:r>
        <w:rPr>
          <w:color w:val="231F20"/>
          <w:sz w:val="22"/>
          <w:vertAlign w:val="superscript"/>
        </w:rPr>
        <w:t>80</w:t>
      </w:r>
      <w:r>
        <w:rPr>
          <w:color w:val="231F20"/>
          <w:sz w:val="22"/>
          <w:vertAlign w:val="baseline"/>
        </w:rPr>
        <w:tab/>
      </w:r>
      <w:r>
        <w:rPr>
          <w:color w:val="231F20"/>
          <w:spacing w:val="-3"/>
          <w:sz w:val="22"/>
          <w:vertAlign w:val="baseline"/>
        </w:rPr>
        <w:t>Petry,</w:t>
      </w:r>
      <w:r>
        <w:rPr>
          <w:color w:val="231F20"/>
          <w:spacing w:val="-9"/>
          <w:sz w:val="22"/>
          <w:vertAlign w:val="baseline"/>
        </w:rPr>
        <w:t> </w:t>
      </w:r>
      <w:r>
        <w:rPr>
          <w:color w:val="231F20"/>
          <w:spacing w:val="-2"/>
          <w:sz w:val="22"/>
          <w:vertAlign w:val="baseline"/>
        </w:rPr>
        <w:t>N.</w:t>
      </w:r>
      <w:r>
        <w:rPr>
          <w:color w:val="231F20"/>
          <w:spacing w:val="-9"/>
          <w:sz w:val="22"/>
          <w:vertAlign w:val="baseline"/>
        </w:rPr>
        <w:t> </w:t>
      </w:r>
      <w:r>
        <w:rPr>
          <w:color w:val="231F20"/>
          <w:spacing w:val="-2"/>
          <w:sz w:val="22"/>
          <w:vertAlign w:val="baseline"/>
        </w:rPr>
        <w:t>(2001).</w:t>
      </w:r>
      <w:r>
        <w:rPr>
          <w:color w:val="231F20"/>
          <w:spacing w:val="-8"/>
          <w:sz w:val="22"/>
          <w:vertAlign w:val="baseline"/>
        </w:rPr>
        <w:t> </w:t>
      </w:r>
      <w:r>
        <w:rPr>
          <w:i/>
          <w:color w:val="231F20"/>
          <w:spacing w:val="-2"/>
          <w:sz w:val="22"/>
          <w:vertAlign w:val="baseline"/>
        </w:rPr>
        <w:t>A</w:t>
      </w:r>
      <w:r>
        <w:rPr>
          <w:i/>
          <w:color w:val="231F20"/>
          <w:spacing w:val="-11"/>
          <w:sz w:val="22"/>
          <w:vertAlign w:val="baseline"/>
        </w:rPr>
        <w:t> </w:t>
      </w:r>
      <w:r>
        <w:rPr>
          <w:i/>
          <w:color w:val="231F20"/>
          <w:spacing w:val="-2"/>
          <w:sz w:val="22"/>
          <w:vertAlign w:val="baseline"/>
        </w:rPr>
        <w:t>clinician’s</w:t>
      </w:r>
      <w:r>
        <w:rPr>
          <w:i/>
          <w:color w:val="231F20"/>
          <w:spacing w:val="-9"/>
          <w:sz w:val="22"/>
          <w:vertAlign w:val="baseline"/>
        </w:rPr>
        <w:t> </w:t>
      </w:r>
      <w:r>
        <w:rPr>
          <w:i/>
          <w:color w:val="231F20"/>
          <w:spacing w:val="-2"/>
          <w:sz w:val="22"/>
          <w:vertAlign w:val="baseline"/>
        </w:rPr>
        <w:t>guide</w:t>
      </w:r>
      <w:r>
        <w:rPr>
          <w:i/>
          <w:color w:val="231F20"/>
          <w:spacing w:val="-8"/>
          <w:sz w:val="22"/>
          <w:vertAlign w:val="baseline"/>
        </w:rPr>
        <w:t> </w:t>
      </w:r>
      <w:r>
        <w:rPr>
          <w:i/>
          <w:color w:val="231F20"/>
          <w:spacing w:val="-2"/>
          <w:sz w:val="22"/>
          <w:vertAlign w:val="baseline"/>
        </w:rPr>
        <w:t>for</w:t>
      </w:r>
      <w:r>
        <w:rPr>
          <w:i/>
          <w:color w:val="231F20"/>
          <w:spacing w:val="-8"/>
          <w:sz w:val="22"/>
          <w:vertAlign w:val="baseline"/>
        </w:rPr>
        <w:t> </w:t>
      </w:r>
      <w:r>
        <w:rPr>
          <w:i/>
          <w:color w:val="231F20"/>
          <w:spacing w:val="-2"/>
          <w:sz w:val="22"/>
          <w:vertAlign w:val="baseline"/>
        </w:rPr>
        <w:t>implementing</w:t>
      </w:r>
      <w:r>
        <w:rPr>
          <w:i/>
          <w:color w:val="231F20"/>
          <w:spacing w:val="-52"/>
          <w:sz w:val="22"/>
          <w:vertAlign w:val="baseline"/>
        </w:rPr>
        <w:t> </w:t>
      </w:r>
      <w:r>
        <w:rPr>
          <w:i/>
          <w:color w:val="231F20"/>
          <w:spacing w:val="-1"/>
          <w:sz w:val="22"/>
          <w:vertAlign w:val="baseline"/>
        </w:rPr>
        <w:t>contingency</w:t>
      </w:r>
      <w:r>
        <w:rPr>
          <w:i/>
          <w:color w:val="231F20"/>
          <w:spacing w:val="-13"/>
          <w:sz w:val="22"/>
          <w:vertAlign w:val="baseline"/>
        </w:rPr>
        <w:t> </w:t>
      </w:r>
      <w:r>
        <w:rPr>
          <w:i/>
          <w:color w:val="231F20"/>
          <w:sz w:val="22"/>
          <w:vertAlign w:val="baseline"/>
        </w:rPr>
        <w:t>management</w:t>
      </w:r>
      <w:r>
        <w:rPr>
          <w:i/>
          <w:color w:val="231F20"/>
          <w:spacing w:val="-12"/>
          <w:sz w:val="22"/>
          <w:vertAlign w:val="baseline"/>
        </w:rPr>
        <w:t> </w:t>
      </w:r>
      <w:r>
        <w:rPr>
          <w:i/>
          <w:color w:val="231F20"/>
          <w:sz w:val="22"/>
          <w:vertAlign w:val="baseline"/>
        </w:rPr>
        <w:t>programs</w:t>
      </w:r>
      <w:r>
        <w:rPr>
          <w:color w:val="231F20"/>
          <w:sz w:val="22"/>
          <w:vertAlign w:val="baseline"/>
        </w:rPr>
        <w:t>.</w:t>
      </w:r>
      <w:r>
        <w:rPr>
          <w:color w:val="231F20"/>
          <w:spacing w:val="-13"/>
          <w:sz w:val="22"/>
          <w:vertAlign w:val="baseline"/>
        </w:rPr>
        <w:t> </w:t>
      </w:r>
      <w:r>
        <w:rPr>
          <w:color w:val="231F20"/>
          <w:sz w:val="22"/>
          <w:vertAlign w:val="baseline"/>
        </w:rPr>
        <w:t>Department</w:t>
      </w:r>
    </w:p>
    <w:p>
      <w:pPr>
        <w:pStyle w:val="BodyText"/>
        <w:spacing w:line="228" w:lineRule="auto"/>
        <w:ind w:left="520" w:right="912"/>
      </w:pPr>
      <w:r>
        <w:rPr>
          <w:color w:val="231F20"/>
          <w:spacing w:val="-1"/>
        </w:rPr>
        <w:t>of Psychiatry, University of Connecticut School of</w:t>
      </w:r>
      <w:r>
        <w:rPr>
          <w:color w:val="231F20"/>
        </w:rPr>
        <w:t> </w:t>
      </w:r>
      <w:r>
        <w:rPr>
          <w:color w:val="231F20"/>
          <w:spacing w:val="-3"/>
        </w:rPr>
        <w:t>Medicine.</w:t>
      </w:r>
      <w:r>
        <w:rPr>
          <w:color w:val="231F20"/>
          <w:spacing w:val="17"/>
        </w:rPr>
        <w:t> </w:t>
      </w:r>
      <w:hyperlink r:id="rId260">
        <w:r>
          <w:rPr>
            <w:color w:val="3953A4"/>
            <w:spacing w:val="-3"/>
            <w:u w:val="single" w:color="3953A4"/>
          </w:rPr>
          <w:t>https://www.drugsandalcohol.ie/13618/1/</w:t>
        </w:r>
      </w:hyperlink>
      <w:r>
        <w:rPr>
          <w:color w:val="3953A4"/>
          <w:spacing w:val="-52"/>
        </w:rPr>
        <w:t> </w:t>
      </w:r>
      <w:hyperlink r:id="rId260">
        <w:r>
          <w:rPr>
            <w:color w:val="3953A4"/>
            <w:u w:val="single" w:color="3953A4"/>
          </w:rPr>
          <w:t>NTA_Contingency_management_Petry.pdf</w:t>
        </w:r>
      </w:hyperlink>
    </w:p>
    <w:p>
      <w:pPr>
        <w:tabs>
          <w:tab w:pos="519" w:val="left" w:leader="none"/>
        </w:tabs>
        <w:spacing w:line="228" w:lineRule="auto" w:before="88"/>
        <w:ind w:left="520" w:right="919" w:hanging="360"/>
        <w:jc w:val="left"/>
        <w:rPr>
          <w:sz w:val="22"/>
        </w:rPr>
      </w:pPr>
      <w:r>
        <w:rPr>
          <w:color w:val="231F20"/>
          <w:sz w:val="22"/>
          <w:vertAlign w:val="superscript"/>
        </w:rPr>
        <w:t>81</w:t>
      </w:r>
      <w:r>
        <w:rPr>
          <w:color w:val="231F20"/>
          <w:sz w:val="22"/>
          <w:vertAlign w:val="baseline"/>
        </w:rPr>
        <w:tab/>
      </w:r>
      <w:r>
        <w:rPr>
          <w:color w:val="231F20"/>
          <w:spacing w:val="-1"/>
          <w:sz w:val="22"/>
          <w:vertAlign w:val="baseline"/>
        </w:rPr>
        <w:t>National Association </w:t>
      </w:r>
      <w:r>
        <w:rPr>
          <w:color w:val="231F20"/>
          <w:sz w:val="22"/>
          <w:vertAlign w:val="baseline"/>
        </w:rPr>
        <w:t>of Cognitive-Behavioral</w:t>
      </w:r>
      <w:r>
        <w:rPr>
          <w:color w:val="231F20"/>
          <w:spacing w:val="1"/>
          <w:sz w:val="22"/>
          <w:vertAlign w:val="baseline"/>
        </w:rPr>
        <w:t> </w:t>
      </w:r>
      <w:r>
        <w:rPr>
          <w:color w:val="231F20"/>
          <w:sz w:val="22"/>
          <w:vertAlign w:val="baseline"/>
        </w:rPr>
        <w:t>Therapists. (n.d.). </w:t>
      </w:r>
      <w:r>
        <w:rPr>
          <w:i/>
          <w:color w:val="231F20"/>
          <w:sz w:val="22"/>
          <w:vertAlign w:val="baseline"/>
        </w:rPr>
        <w:t>CBT: Cognitive-behavioral</w:t>
      </w:r>
      <w:r>
        <w:rPr>
          <w:i/>
          <w:color w:val="231F20"/>
          <w:spacing w:val="1"/>
          <w:sz w:val="22"/>
          <w:vertAlign w:val="baseline"/>
        </w:rPr>
        <w:t> </w:t>
      </w:r>
      <w:r>
        <w:rPr>
          <w:i/>
          <w:color w:val="231F20"/>
          <w:sz w:val="22"/>
          <w:vertAlign w:val="baseline"/>
        </w:rPr>
        <w:t>therapy</w:t>
      </w:r>
      <w:r>
        <w:rPr>
          <w:i/>
          <w:color w:val="231F20"/>
          <w:spacing w:val="-11"/>
          <w:sz w:val="22"/>
          <w:vertAlign w:val="baseline"/>
        </w:rPr>
        <w:t> </w:t>
      </w:r>
      <w:r>
        <w:rPr>
          <w:i/>
          <w:color w:val="231F20"/>
          <w:sz w:val="22"/>
          <w:vertAlign w:val="baseline"/>
        </w:rPr>
        <w:t>onsite</w:t>
      </w:r>
      <w:r>
        <w:rPr>
          <w:i/>
          <w:color w:val="231F20"/>
          <w:spacing w:val="-11"/>
          <w:sz w:val="22"/>
          <w:vertAlign w:val="baseline"/>
        </w:rPr>
        <w:t> </w:t>
      </w:r>
      <w:r>
        <w:rPr>
          <w:i/>
          <w:color w:val="231F20"/>
          <w:sz w:val="22"/>
          <w:vertAlign w:val="baseline"/>
        </w:rPr>
        <w:t>training</w:t>
      </w:r>
      <w:r>
        <w:rPr>
          <w:color w:val="231F20"/>
          <w:sz w:val="22"/>
          <w:vertAlign w:val="baseline"/>
        </w:rPr>
        <w:t>.</w:t>
      </w:r>
      <w:r>
        <w:rPr>
          <w:color w:val="231F20"/>
          <w:spacing w:val="-11"/>
          <w:sz w:val="22"/>
          <w:vertAlign w:val="baseline"/>
        </w:rPr>
        <w:t> </w:t>
      </w:r>
      <w:hyperlink r:id="rId261">
        <w:r>
          <w:rPr>
            <w:color w:val="3953A4"/>
            <w:sz w:val="22"/>
            <w:u w:val="single" w:color="3953A4"/>
            <w:vertAlign w:val="baseline"/>
          </w:rPr>
          <w:t>https://www.nacbt.org/cbt-</w:t>
        </w:r>
      </w:hyperlink>
      <w:r>
        <w:rPr>
          <w:color w:val="3953A4"/>
          <w:spacing w:val="-52"/>
          <w:sz w:val="22"/>
          <w:vertAlign w:val="baseline"/>
        </w:rPr>
        <w:t> </w:t>
      </w:r>
      <w:hyperlink r:id="rId261">
        <w:r>
          <w:rPr>
            <w:color w:val="3953A4"/>
            <w:sz w:val="22"/>
            <w:u w:val="single" w:color="3953A4"/>
            <w:vertAlign w:val="baseline"/>
          </w:rPr>
          <w:t>cognitive-behavioral-therapy-onsite-training/</w:t>
        </w:r>
      </w:hyperlink>
    </w:p>
    <w:p>
      <w:pPr>
        <w:tabs>
          <w:tab w:pos="519" w:val="left" w:leader="none"/>
        </w:tabs>
        <w:spacing w:line="228" w:lineRule="auto" w:before="89"/>
        <w:ind w:left="520" w:right="1039" w:hanging="360"/>
        <w:jc w:val="left"/>
        <w:rPr>
          <w:sz w:val="22"/>
        </w:rPr>
      </w:pPr>
      <w:r>
        <w:rPr>
          <w:color w:val="231F20"/>
          <w:sz w:val="22"/>
          <w:vertAlign w:val="superscript"/>
        </w:rPr>
        <w:t>82</w:t>
      </w:r>
      <w:r>
        <w:rPr>
          <w:color w:val="231F20"/>
          <w:sz w:val="22"/>
          <w:vertAlign w:val="baseline"/>
        </w:rPr>
        <w:tab/>
      </w:r>
      <w:r>
        <w:rPr>
          <w:color w:val="231F20"/>
          <w:spacing w:val="-1"/>
          <w:sz w:val="22"/>
          <w:vertAlign w:val="baseline"/>
        </w:rPr>
        <w:t>Beck Institute. (2019). </w:t>
      </w:r>
      <w:r>
        <w:rPr>
          <w:i/>
          <w:color w:val="231F20"/>
          <w:sz w:val="22"/>
          <w:vertAlign w:val="baseline"/>
        </w:rPr>
        <w:t>Beck cognitive behavior</w:t>
      </w:r>
      <w:r>
        <w:rPr>
          <w:i/>
          <w:color w:val="231F20"/>
          <w:spacing w:val="1"/>
          <w:sz w:val="22"/>
          <w:vertAlign w:val="baseline"/>
        </w:rPr>
        <w:t> </w:t>
      </w:r>
      <w:r>
        <w:rPr>
          <w:i/>
          <w:color w:val="231F20"/>
          <w:spacing w:val="-3"/>
          <w:sz w:val="22"/>
          <w:vertAlign w:val="baseline"/>
        </w:rPr>
        <w:t>therapy: Get training</w:t>
      </w:r>
      <w:r>
        <w:rPr>
          <w:color w:val="231F20"/>
          <w:spacing w:val="-3"/>
          <w:sz w:val="22"/>
          <w:vertAlign w:val="baseline"/>
        </w:rPr>
        <w:t>. </w:t>
      </w:r>
      <w:hyperlink r:id="rId321">
        <w:r>
          <w:rPr>
            <w:color w:val="3953A4"/>
            <w:spacing w:val="-3"/>
            <w:sz w:val="22"/>
            <w:u w:val="single" w:color="3953A4"/>
            <w:vertAlign w:val="baseline"/>
          </w:rPr>
          <w:t>https://beckinstitute.org/get-</w:t>
        </w:r>
      </w:hyperlink>
      <w:r>
        <w:rPr>
          <w:color w:val="3953A4"/>
          <w:spacing w:val="-52"/>
          <w:sz w:val="22"/>
          <w:vertAlign w:val="baseline"/>
        </w:rPr>
        <w:t> </w:t>
      </w:r>
      <w:hyperlink r:id="rId322">
        <w:r>
          <w:rPr>
            <w:color w:val="3953A4"/>
            <w:sz w:val="22"/>
            <w:u w:val="single" w:color="3953A4"/>
            <w:vertAlign w:val="baseline"/>
          </w:rPr>
          <w:t>training/</w:t>
        </w:r>
      </w:hyperlink>
    </w:p>
    <w:p>
      <w:pPr>
        <w:tabs>
          <w:tab w:pos="519" w:val="left" w:leader="none"/>
        </w:tabs>
        <w:spacing w:line="228" w:lineRule="auto" w:before="89"/>
        <w:ind w:left="520" w:right="754" w:hanging="360"/>
        <w:jc w:val="left"/>
        <w:rPr>
          <w:sz w:val="22"/>
        </w:rPr>
      </w:pPr>
      <w:r>
        <w:rPr>
          <w:color w:val="231F20"/>
          <w:sz w:val="22"/>
          <w:vertAlign w:val="superscript"/>
        </w:rPr>
        <w:t>83</w:t>
      </w:r>
      <w:r>
        <w:rPr>
          <w:color w:val="231F20"/>
          <w:sz w:val="22"/>
          <w:vertAlign w:val="baseline"/>
        </w:rPr>
        <w:tab/>
        <w:t>Safren, S. (2020). </w:t>
      </w:r>
      <w:r>
        <w:rPr>
          <w:i/>
          <w:color w:val="231F20"/>
          <w:sz w:val="22"/>
          <w:vertAlign w:val="baseline"/>
        </w:rPr>
        <w:t>Intersecting epidemics: Evidenced</w:t>
      </w:r>
      <w:r>
        <w:rPr>
          <w:i/>
          <w:color w:val="231F20"/>
          <w:spacing w:val="-52"/>
          <w:sz w:val="22"/>
          <w:vertAlign w:val="baseline"/>
        </w:rPr>
        <w:t> </w:t>
      </w:r>
      <w:r>
        <w:rPr>
          <w:i/>
          <w:color w:val="231F20"/>
          <w:sz w:val="22"/>
          <w:vertAlign w:val="baseline"/>
        </w:rPr>
        <w:t>based approaches for treating depression and HIV/</w:t>
      </w:r>
      <w:r>
        <w:rPr>
          <w:i/>
          <w:color w:val="231F20"/>
          <w:spacing w:val="1"/>
          <w:sz w:val="22"/>
          <w:vertAlign w:val="baseline"/>
        </w:rPr>
        <w:t> </w:t>
      </w:r>
      <w:r>
        <w:rPr>
          <w:i/>
          <w:color w:val="231F20"/>
          <w:sz w:val="22"/>
          <w:vertAlign w:val="baseline"/>
        </w:rPr>
        <w:t>AIDS</w:t>
      </w:r>
      <w:r>
        <w:rPr>
          <w:color w:val="231F20"/>
          <w:sz w:val="22"/>
          <w:vertAlign w:val="baseline"/>
        </w:rPr>
        <w:t>. PracticeGround. </w:t>
      </w:r>
      <w:hyperlink r:id="rId263">
        <w:r>
          <w:rPr>
            <w:color w:val="3953A4"/>
            <w:sz w:val="22"/>
            <w:u w:val="single" w:color="3953A4"/>
            <w:vertAlign w:val="baseline"/>
          </w:rPr>
          <w:t>https://www.practiceground.</w:t>
        </w:r>
      </w:hyperlink>
      <w:r>
        <w:rPr>
          <w:color w:val="3953A4"/>
          <w:spacing w:val="-52"/>
          <w:sz w:val="22"/>
          <w:vertAlign w:val="baseline"/>
        </w:rPr>
        <w:t> </w:t>
      </w:r>
      <w:hyperlink r:id="rId263">
        <w:r>
          <w:rPr>
            <w:color w:val="3953A4"/>
            <w:sz w:val="22"/>
            <w:u w:val="single" w:color="3953A4"/>
            <w:vertAlign w:val="baseline"/>
          </w:rPr>
          <w:t>org/abct-2018-safren</w:t>
        </w:r>
      </w:hyperlink>
    </w:p>
    <w:p>
      <w:pPr>
        <w:pStyle w:val="BodyText"/>
        <w:tabs>
          <w:tab w:pos="519" w:val="left" w:leader="none"/>
        </w:tabs>
        <w:spacing w:line="228" w:lineRule="auto" w:before="88"/>
        <w:ind w:left="519" w:right="777" w:hanging="360"/>
      </w:pPr>
      <w:r>
        <w:rPr>
          <w:color w:val="231F20"/>
          <w:vertAlign w:val="superscript"/>
        </w:rPr>
        <w:t>84</w:t>
      </w:r>
      <w:r>
        <w:rPr>
          <w:color w:val="231F20"/>
          <w:vertAlign w:val="baseline"/>
        </w:rPr>
        <w:tab/>
        <w:t>Massachusetts General Hospital Psychiatry</w:t>
      </w:r>
      <w:r>
        <w:rPr>
          <w:color w:val="231F20"/>
          <w:spacing w:val="1"/>
          <w:vertAlign w:val="baseline"/>
        </w:rPr>
        <w:t> </w:t>
      </w:r>
      <w:r>
        <w:rPr>
          <w:color w:val="231F20"/>
          <w:vertAlign w:val="baseline"/>
        </w:rPr>
        <w:t>Academy. (2020). </w:t>
      </w:r>
      <w:r>
        <w:rPr>
          <w:i/>
          <w:color w:val="231F20"/>
          <w:vertAlign w:val="baseline"/>
        </w:rPr>
        <w:t>Cognitive behavioral therapy</w:t>
      </w:r>
      <w:r>
        <w:rPr>
          <w:color w:val="231F20"/>
          <w:vertAlign w:val="baseline"/>
        </w:rPr>
        <w:t>.</w:t>
      </w:r>
      <w:r>
        <w:rPr>
          <w:color w:val="231F20"/>
          <w:spacing w:val="1"/>
          <w:vertAlign w:val="baseline"/>
        </w:rPr>
        <w:t> </w:t>
      </w:r>
      <w:r>
        <w:rPr>
          <w:color w:val="231F20"/>
          <w:vertAlign w:val="baseline"/>
        </w:rPr>
        <w:t>Massachusetts General Hospital. </w:t>
      </w:r>
      <w:hyperlink r:id="rId264">
        <w:r>
          <w:rPr>
            <w:color w:val="3953A4"/>
            <w:u w:val="single" w:color="3953A4"/>
            <w:vertAlign w:val="baseline"/>
          </w:rPr>
          <w:t>https://www.</w:t>
        </w:r>
      </w:hyperlink>
      <w:r>
        <w:rPr>
          <w:color w:val="3953A4"/>
          <w:spacing w:val="1"/>
          <w:vertAlign w:val="baseline"/>
        </w:rPr>
        <w:t> </w:t>
      </w:r>
      <w:hyperlink r:id="rId264">
        <w:r>
          <w:rPr>
            <w:color w:val="3953A4"/>
            <w:spacing w:val="-1"/>
            <w:u w:val="single" w:color="3953A4"/>
            <w:vertAlign w:val="baseline"/>
          </w:rPr>
          <w:t>massgeneral.org/psychiatry/treatments-and-services/</w:t>
        </w:r>
      </w:hyperlink>
      <w:r>
        <w:rPr>
          <w:color w:val="3953A4"/>
          <w:spacing w:val="-52"/>
          <w:vertAlign w:val="baseline"/>
        </w:rPr>
        <w:t> </w:t>
      </w:r>
      <w:hyperlink r:id="rId264">
        <w:r>
          <w:rPr>
            <w:color w:val="3953A4"/>
            <w:u w:val="single" w:color="3953A4"/>
            <w:vertAlign w:val="baseline"/>
          </w:rPr>
          <w:t>cognitive-behavioral-therapy-program</w:t>
        </w:r>
      </w:hyperlink>
    </w:p>
    <w:p>
      <w:pPr>
        <w:tabs>
          <w:tab w:pos="519" w:val="left" w:leader="none"/>
        </w:tabs>
        <w:spacing w:line="228" w:lineRule="auto" w:before="89"/>
        <w:ind w:left="519" w:right="894" w:hanging="360"/>
        <w:jc w:val="left"/>
        <w:rPr>
          <w:sz w:val="22"/>
        </w:rPr>
      </w:pPr>
      <w:r>
        <w:rPr>
          <w:color w:val="231F20"/>
          <w:sz w:val="22"/>
          <w:vertAlign w:val="superscript"/>
        </w:rPr>
        <w:t>85</w:t>
      </w:r>
      <w:r>
        <w:rPr>
          <w:color w:val="231F20"/>
          <w:sz w:val="22"/>
          <w:vertAlign w:val="baseline"/>
        </w:rPr>
        <w:tab/>
        <w:t>Kaufman, L., Kuhn, W., Stevens Manser, S., &amp;</w:t>
      </w:r>
      <w:r>
        <w:rPr>
          <w:color w:val="231F20"/>
          <w:spacing w:val="1"/>
          <w:sz w:val="22"/>
          <w:vertAlign w:val="baseline"/>
        </w:rPr>
        <w:t> </w:t>
      </w:r>
      <w:r>
        <w:rPr>
          <w:color w:val="231F20"/>
          <w:sz w:val="22"/>
          <w:vertAlign w:val="baseline"/>
        </w:rPr>
        <w:t>Texas Institute for Excellence in Mental Health.</w:t>
      </w:r>
      <w:r>
        <w:rPr>
          <w:color w:val="231F20"/>
          <w:spacing w:val="1"/>
          <w:sz w:val="22"/>
          <w:vertAlign w:val="baseline"/>
        </w:rPr>
        <w:t> </w:t>
      </w:r>
      <w:r>
        <w:rPr>
          <w:color w:val="231F20"/>
          <w:sz w:val="22"/>
          <w:vertAlign w:val="baseline"/>
        </w:rPr>
        <w:t>(2016). </w:t>
      </w:r>
      <w:r>
        <w:rPr>
          <w:i/>
          <w:color w:val="231F20"/>
          <w:sz w:val="22"/>
          <w:vertAlign w:val="baseline"/>
        </w:rPr>
        <w:t>Peer specialist training and certification</w:t>
      </w:r>
      <w:r>
        <w:rPr>
          <w:i/>
          <w:color w:val="231F20"/>
          <w:spacing w:val="1"/>
          <w:sz w:val="22"/>
          <w:vertAlign w:val="baseline"/>
        </w:rPr>
        <w:t> </w:t>
      </w:r>
      <w:r>
        <w:rPr>
          <w:i/>
          <w:color w:val="231F20"/>
          <w:sz w:val="22"/>
          <w:vertAlign w:val="baseline"/>
        </w:rPr>
        <w:t>programs: A national overview</w:t>
      </w:r>
      <w:r>
        <w:rPr>
          <w:color w:val="231F20"/>
          <w:sz w:val="22"/>
          <w:vertAlign w:val="baseline"/>
        </w:rPr>
        <w:t>. Health Resources</w:t>
      </w:r>
      <w:r>
        <w:rPr>
          <w:color w:val="231F20"/>
          <w:spacing w:val="1"/>
          <w:sz w:val="22"/>
          <w:vertAlign w:val="baseline"/>
        </w:rPr>
        <w:t> </w:t>
      </w:r>
      <w:r>
        <w:rPr>
          <w:color w:val="231F20"/>
          <w:spacing w:val="-1"/>
          <w:sz w:val="22"/>
          <w:vertAlign w:val="baseline"/>
        </w:rPr>
        <w:t>and Services Administration. </w:t>
      </w:r>
      <w:hyperlink r:id="rId265">
        <w:r>
          <w:rPr>
            <w:color w:val="3953A4"/>
            <w:sz w:val="22"/>
            <w:u w:val="single" w:color="3953A4"/>
            <w:vertAlign w:val="baseline"/>
          </w:rPr>
          <w:t>https://bhta.hrsa.gov/</w:t>
        </w:r>
      </w:hyperlink>
      <w:r>
        <w:rPr>
          <w:color w:val="3953A4"/>
          <w:spacing w:val="1"/>
          <w:sz w:val="22"/>
          <w:vertAlign w:val="baseline"/>
        </w:rPr>
        <w:t> </w:t>
      </w:r>
      <w:hyperlink r:id="rId265">
        <w:r>
          <w:rPr>
            <w:color w:val="3953A4"/>
            <w:spacing w:val="-1"/>
            <w:sz w:val="22"/>
            <w:u w:val="single" w:color="3953A4"/>
            <w:vertAlign w:val="baseline"/>
          </w:rPr>
          <w:t>resources/peer-specialist-training-and-certification-</w:t>
        </w:r>
      </w:hyperlink>
      <w:r>
        <w:rPr>
          <w:color w:val="3953A4"/>
          <w:spacing w:val="-52"/>
          <w:sz w:val="22"/>
          <w:vertAlign w:val="baseline"/>
        </w:rPr>
        <w:t> </w:t>
      </w:r>
      <w:hyperlink r:id="rId265">
        <w:r>
          <w:rPr>
            <w:color w:val="3953A4"/>
            <w:sz w:val="22"/>
            <w:u w:val="single" w:color="3953A4"/>
            <w:vertAlign w:val="baseline"/>
          </w:rPr>
          <w:t>programs-national-overview</w:t>
        </w:r>
      </w:hyperlink>
    </w:p>
    <w:p>
      <w:pPr>
        <w:tabs>
          <w:tab w:pos="519" w:val="left" w:leader="none"/>
        </w:tabs>
        <w:spacing w:line="228" w:lineRule="auto" w:before="87"/>
        <w:ind w:left="520" w:right="839" w:hanging="360"/>
        <w:jc w:val="left"/>
        <w:rPr>
          <w:sz w:val="22"/>
        </w:rPr>
      </w:pPr>
      <w:r>
        <w:rPr>
          <w:color w:val="231F20"/>
          <w:sz w:val="22"/>
          <w:vertAlign w:val="superscript"/>
        </w:rPr>
        <w:t>86</w:t>
      </w:r>
      <w:r>
        <w:rPr>
          <w:color w:val="231F20"/>
          <w:sz w:val="22"/>
          <w:vertAlign w:val="baseline"/>
        </w:rPr>
        <w:tab/>
        <w:t>AIDS United. (2015). </w:t>
      </w:r>
      <w:r>
        <w:rPr>
          <w:i/>
          <w:color w:val="231F20"/>
          <w:sz w:val="22"/>
          <w:vertAlign w:val="baseline"/>
        </w:rPr>
        <w:t>Best practices for integrating</w:t>
      </w:r>
      <w:r>
        <w:rPr>
          <w:i/>
          <w:color w:val="231F20"/>
          <w:spacing w:val="-52"/>
          <w:sz w:val="22"/>
          <w:vertAlign w:val="baseline"/>
        </w:rPr>
        <w:t> </w:t>
      </w:r>
      <w:r>
        <w:rPr>
          <w:i/>
          <w:color w:val="231F20"/>
          <w:sz w:val="22"/>
          <w:vertAlign w:val="baseline"/>
        </w:rPr>
        <w:t>peer navigators into HIV models of care</w:t>
      </w:r>
      <w:r>
        <w:rPr>
          <w:color w:val="231F20"/>
          <w:sz w:val="22"/>
          <w:vertAlign w:val="baseline"/>
        </w:rPr>
        <w:t>. </w:t>
      </w:r>
      <w:hyperlink r:id="rId224">
        <w:r>
          <w:rPr>
            <w:color w:val="3953A4"/>
            <w:sz w:val="22"/>
            <w:u w:val="single" w:color="3953A4"/>
            <w:vertAlign w:val="baseline"/>
          </w:rPr>
          <w:t>https://</w:t>
        </w:r>
      </w:hyperlink>
      <w:r>
        <w:rPr>
          <w:color w:val="3953A4"/>
          <w:spacing w:val="1"/>
          <w:sz w:val="22"/>
          <w:vertAlign w:val="baseline"/>
        </w:rPr>
        <w:t> </w:t>
      </w:r>
      <w:hyperlink r:id="rId224">
        <w:r>
          <w:rPr>
            <w:color w:val="3953A4"/>
            <w:sz w:val="22"/>
            <w:u w:val="single" w:color="3953A4"/>
            <w:vertAlign w:val="baseline"/>
          </w:rPr>
          <w:t>www.aidsunited.org/data/files/Site_18/PeerNav_</w:t>
        </w:r>
      </w:hyperlink>
      <w:r>
        <w:rPr>
          <w:color w:val="3953A4"/>
          <w:spacing w:val="1"/>
          <w:sz w:val="22"/>
          <w:vertAlign w:val="baseline"/>
        </w:rPr>
        <w:t> </w:t>
      </w:r>
      <w:hyperlink r:id="rId224">
        <w:r>
          <w:rPr>
            <w:color w:val="3953A4"/>
            <w:sz w:val="22"/>
            <w:u w:val="single" w:color="3953A4"/>
            <w:vertAlign w:val="baseline"/>
          </w:rPr>
          <w:t>v8.pdf</w:t>
        </w:r>
      </w:hyperlink>
    </w:p>
    <w:p>
      <w:pPr>
        <w:spacing w:after="0" w:line="228" w:lineRule="auto"/>
        <w:jc w:val="left"/>
        <w:rPr>
          <w:sz w:val="22"/>
        </w:rPr>
        <w:sectPr>
          <w:type w:val="continuous"/>
          <w:pgSz w:w="12240" w:h="15840"/>
          <w:pgMar w:header="0" w:footer="666" w:top="1500" w:bottom="0" w:left="560" w:right="0"/>
          <w:cols w:num="2" w:equalWidth="0">
            <w:col w:w="5239" w:space="521"/>
            <w:col w:w="5920"/>
          </w:cols>
        </w:sectPr>
      </w:pPr>
    </w:p>
    <w:p>
      <w:pPr>
        <w:pStyle w:val="BodyText"/>
        <w:rPr>
          <w:sz w:val="20"/>
        </w:rPr>
      </w:pPr>
    </w:p>
    <w:p>
      <w:pPr>
        <w:pStyle w:val="BodyText"/>
        <w:spacing w:before="2"/>
        <w:rPr>
          <w:sz w:val="27"/>
        </w:rPr>
      </w:pPr>
    </w:p>
    <w:p>
      <w:pPr>
        <w:spacing w:after="0"/>
        <w:rPr>
          <w:sz w:val="27"/>
        </w:rPr>
        <w:sectPr>
          <w:pgSz w:w="12240" w:h="15840"/>
          <w:pgMar w:header="0" w:footer="666" w:top="380" w:bottom="860" w:left="560" w:right="0"/>
        </w:sectPr>
      </w:pPr>
    </w:p>
    <w:p>
      <w:pPr>
        <w:tabs>
          <w:tab w:pos="519" w:val="left" w:leader="none"/>
        </w:tabs>
        <w:spacing w:line="228" w:lineRule="auto" w:before="101"/>
        <w:ind w:left="520" w:right="38" w:hanging="360"/>
        <w:jc w:val="left"/>
        <w:rPr>
          <w:sz w:val="22"/>
        </w:rPr>
      </w:pPr>
      <w:r>
        <w:rPr>
          <w:color w:val="231F20"/>
          <w:sz w:val="22"/>
          <w:vertAlign w:val="superscript"/>
        </w:rPr>
        <w:t>87</w:t>
      </w:r>
      <w:r>
        <w:rPr>
          <w:color w:val="231F20"/>
          <w:sz w:val="22"/>
          <w:vertAlign w:val="baseline"/>
        </w:rPr>
        <w:tab/>
      </w:r>
      <w:r>
        <w:rPr>
          <w:color w:val="231F20"/>
          <w:spacing w:val="-1"/>
          <w:sz w:val="22"/>
          <w:vertAlign w:val="baseline"/>
        </w:rPr>
        <w:t>National </w:t>
      </w:r>
      <w:r>
        <w:rPr>
          <w:color w:val="231F20"/>
          <w:sz w:val="22"/>
          <w:vertAlign w:val="baseline"/>
        </w:rPr>
        <w:t>Minority AIDS Council, &amp; Linking and</w:t>
      </w:r>
      <w:r>
        <w:rPr>
          <w:color w:val="231F20"/>
          <w:spacing w:val="1"/>
          <w:sz w:val="22"/>
          <w:vertAlign w:val="baseline"/>
        </w:rPr>
        <w:t> </w:t>
      </w:r>
      <w:r>
        <w:rPr>
          <w:color w:val="231F20"/>
          <w:sz w:val="22"/>
          <w:vertAlign w:val="baseline"/>
        </w:rPr>
        <w:t>Integrating Networks for Collaboration. (2015).</w:t>
      </w:r>
      <w:r>
        <w:rPr>
          <w:color w:val="231F20"/>
          <w:spacing w:val="1"/>
          <w:sz w:val="22"/>
          <w:vertAlign w:val="baseline"/>
        </w:rPr>
        <w:t> </w:t>
      </w:r>
      <w:r>
        <w:rPr>
          <w:i/>
          <w:color w:val="231F20"/>
          <w:sz w:val="22"/>
          <w:vertAlign w:val="baseline"/>
        </w:rPr>
        <w:t>HIV navigation services: A guide to peer &amp; patient</w:t>
      </w:r>
      <w:r>
        <w:rPr>
          <w:i/>
          <w:color w:val="231F20"/>
          <w:spacing w:val="-52"/>
          <w:sz w:val="22"/>
          <w:vertAlign w:val="baseline"/>
        </w:rPr>
        <w:t> </w:t>
      </w:r>
      <w:r>
        <w:rPr>
          <w:i/>
          <w:color w:val="231F20"/>
          <w:sz w:val="22"/>
          <w:vertAlign w:val="baseline"/>
        </w:rPr>
        <w:t>navigation</w:t>
      </w:r>
      <w:r>
        <w:rPr>
          <w:i/>
          <w:color w:val="231F20"/>
          <w:spacing w:val="-6"/>
          <w:sz w:val="22"/>
          <w:vertAlign w:val="baseline"/>
        </w:rPr>
        <w:t> </w:t>
      </w:r>
      <w:r>
        <w:rPr>
          <w:i/>
          <w:color w:val="231F20"/>
          <w:sz w:val="22"/>
          <w:vertAlign w:val="baseline"/>
        </w:rPr>
        <w:t>programs.</w:t>
      </w:r>
      <w:r>
        <w:rPr>
          <w:i/>
          <w:color w:val="231F20"/>
          <w:spacing w:val="-6"/>
          <w:sz w:val="22"/>
          <w:vertAlign w:val="baseline"/>
        </w:rPr>
        <w:t> </w:t>
      </w:r>
      <w:r>
        <w:rPr>
          <w:color w:val="231F20"/>
          <w:sz w:val="22"/>
          <w:vertAlign w:val="baseline"/>
        </w:rPr>
        <w:t>Organizational</w:t>
      </w:r>
      <w:r>
        <w:rPr>
          <w:color w:val="231F20"/>
          <w:spacing w:val="-6"/>
          <w:sz w:val="22"/>
          <w:vertAlign w:val="baseline"/>
        </w:rPr>
        <w:t> </w:t>
      </w:r>
      <w:r>
        <w:rPr>
          <w:color w:val="231F20"/>
          <w:sz w:val="22"/>
          <w:vertAlign w:val="baseline"/>
        </w:rPr>
        <w:t>Effectiveness</w:t>
      </w:r>
      <w:r>
        <w:rPr>
          <w:color w:val="231F20"/>
          <w:spacing w:val="-52"/>
          <w:sz w:val="22"/>
          <w:vertAlign w:val="baseline"/>
        </w:rPr>
        <w:t> </w:t>
      </w:r>
      <w:r>
        <w:rPr>
          <w:color w:val="231F20"/>
          <w:sz w:val="22"/>
          <w:vertAlign w:val="baseline"/>
        </w:rPr>
        <w:t>Series: Building Healthy Organizations.</w:t>
      </w:r>
      <w:hyperlink r:id="rId266">
        <w:r>
          <w:rPr>
            <w:color w:val="3953A4"/>
            <w:sz w:val="22"/>
            <w:u w:val="single" w:color="3953A4"/>
            <w:vertAlign w:val="baseline"/>
          </w:rPr>
          <w:t> http://</w:t>
        </w:r>
      </w:hyperlink>
      <w:r>
        <w:rPr>
          <w:color w:val="3953A4"/>
          <w:spacing w:val="1"/>
          <w:sz w:val="22"/>
          <w:vertAlign w:val="baseline"/>
        </w:rPr>
        <w:t> </w:t>
      </w:r>
      <w:hyperlink r:id="rId266">
        <w:r>
          <w:rPr>
            <w:color w:val="3953A4"/>
            <w:spacing w:val="-1"/>
            <w:sz w:val="22"/>
            <w:u w:val="single" w:color="3953A4"/>
            <w:vertAlign w:val="baseline"/>
          </w:rPr>
          <w:t>nmac.org/wp-content/uploads/2012/08/OES-HNS_</w:t>
        </w:r>
      </w:hyperlink>
      <w:r>
        <w:rPr>
          <w:color w:val="3953A4"/>
          <w:spacing w:val="-52"/>
          <w:sz w:val="22"/>
          <w:vertAlign w:val="baseline"/>
        </w:rPr>
        <w:t> </w:t>
      </w:r>
      <w:hyperlink r:id="rId266">
        <w:r>
          <w:rPr>
            <w:color w:val="3953A4"/>
            <w:sz w:val="22"/>
            <w:u w:val="single" w:color="3953A4"/>
            <w:vertAlign w:val="baseline"/>
          </w:rPr>
          <w:t>FINAL_9-3-2015.pdf</w:t>
        </w:r>
      </w:hyperlink>
    </w:p>
    <w:p>
      <w:pPr>
        <w:pStyle w:val="BodyText"/>
        <w:tabs>
          <w:tab w:pos="519" w:val="left" w:leader="none"/>
        </w:tabs>
        <w:spacing w:line="228" w:lineRule="auto" w:before="88"/>
        <w:ind w:left="520" w:right="55" w:hanging="360"/>
      </w:pPr>
      <w:r>
        <w:rPr>
          <w:color w:val="231F20"/>
          <w:vertAlign w:val="superscript"/>
        </w:rPr>
        <w:t>88</w:t>
      </w:r>
      <w:r>
        <w:rPr>
          <w:color w:val="231F20"/>
          <w:vertAlign w:val="baseline"/>
        </w:rPr>
        <w:tab/>
        <w:t>Centers for Health Policy &amp; Inequalities Research.</w:t>
      </w:r>
      <w:r>
        <w:rPr>
          <w:color w:val="231F20"/>
          <w:spacing w:val="-52"/>
          <w:vertAlign w:val="baseline"/>
        </w:rPr>
        <w:t> </w:t>
      </w:r>
      <w:r>
        <w:rPr>
          <w:color w:val="231F20"/>
          <w:vertAlign w:val="baseline"/>
        </w:rPr>
        <w:t>(n.d.). Including peers as part of a substance use</w:t>
      </w:r>
      <w:r>
        <w:rPr>
          <w:color w:val="231F20"/>
          <w:spacing w:val="1"/>
          <w:vertAlign w:val="baseline"/>
        </w:rPr>
        <w:t> </w:t>
      </w:r>
      <w:r>
        <w:rPr>
          <w:color w:val="231F20"/>
          <w:vertAlign w:val="baseline"/>
        </w:rPr>
        <w:t>treatment</w:t>
      </w:r>
      <w:r>
        <w:rPr>
          <w:color w:val="231F20"/>
          <w:spacing w:val="-4"/>
          <w:vertAlign w:val="baseline"/>
        </w:rPr>
        <w:t> </w:t>
      </w:r>
      <w:r>
        <w:rPr>
          <w:color w:val="231F20"/>
          <w:vertAlign w:val="baseline"/>
        </w:rPr>
        <w:t>program</w:t>
      </w:r>
      <w:r>
        <w:rPr>
          <w:color w:val="231F20"/>
          <w:spacing w:val="-4"/>
          <w:vertAlign w:val="baseline"/>
        </w:rPr>
        <w:t> </w:t>
      </w:r>
      <w:r>
        <w:rPr>
          <w:color w:val="231F20"/>
          <w:vertAlign w:val="baseline"/>
        </w:rPr>
        <w:t>for</w:t>
      </w:r>
      <w:r>
        <w:rPr>
          <w:color w:val="231F20"/>
          <w:spacing w:val="-3"/>
          <w:vertAlign w:val="baseline"/>
        </w:rPr>
        <w:t> </w:t>
      </w:r>
      <w:r>
        <w:rPr>
          <w:color w:val="231F20"/>
          <w:vertAlign w:val="baseline"/>
        </w:rPr>
        <w:t>individuals</w:t>
      </w:r>
      <w:r>
        <w:rPr>
          <w:color w:val="231F20"/>
          <w:spacing w:val="-4"/>
          <w:vertAlign w:val="baseline"/>
        </w:rPr>
        <w:t> </w:t>
      </w:r>
      <w:r>
        <w:rPr>
          <w:color w:val="231F20"/>
          <w:vertAlign w:val="baseline"/>
        </w:rPr>
        <w:t>living</w:t>
      </w:r>
      <w:r>
        <w:rPr>
          <w:color w:val="231F20"/>
          <w:spacing w:val="-3"/>
          <w:vertAlign w:val="baseline"/>
        </w:rPr>
        <w:t> </w:t>
      </w:r>
      <w:r>
        <w:rPr>
          <w:color w:val="231F20"/>
          <w:vertAlign w:val="baseline"/>
        </w:rPr>
        <w:t>with</w:t>
      </w:r>
      <w:r>
        <w:rPr>
          <w:color w:val="231F20"/>
          <w:spacing w:val="-5"/>
          <w:vertAlign w:val="baseline"/>
        </w:rPr>
        <w:t> </w:t>
      </w:r>
      <w:r>
        <w:rPr>
          <w:color w:val="231F20"/>
          <w:vertAlign w:val="baseline"/>
        </w:rPr>
        <w:t>HIV:</w:t>
      </w:r>
      <w:r>
        <w:rPr>
          <w:color w:val="231F20"/>
          <w:spacing w:val="-52"/>
          <w:vertAlign w:val="baseline"/>
        </w:rPr>
        <w:t> </w:t>
      </w:r>
      <w:r>
        <w:rPr>
          <w:color w:val="231F20"/>
          <w:vertAlign w:val="baseline"/>
        </w:rPr>
        <w:t>The peer assisted treatment of HIV and substance</w:t>
      </w:r>
      <w:r>
        <w:rPr>
          <w:color w:val="231F20"/>
          <w:spacing w:val="1"/>
          <w:vertAlign w:val="baseline"/>
        </w:rPr>
        <w:t> </w:t>
      </w:r>
      <w:r>
        <w:rPr>
          <w:color w:val="231F20"/>
          <w:spacing w:val="-1"/>
          <w:vertAlign w:val="baseline"/>
        </w:rPr>
        <w:t>(PATHS) model. Duke University. </w:t>
      </w:r>
      <w:hyperlink r:id="rId221">
        <w:r>
          <w:rPr>
            <w:color w:val="3953A4"/>
            <w:spacing w:val="-1"/>
            <w:u w:val="single" w:color="3953A4"/>
            <w:vertAlign w:val="baseline"/>
          </w:rPr>
          <w:t>http://chpir.org/</w:t>
        </w:r>
      </w:hyperlink>
      <w:r>
        <w:rPr>
          <w:color w:val="3953A4"/>
          <w:spacing w:val="-52"/>
          <w:vertAlign w:val="baseline"/>
        </w:rPr>
        <w:t> </w:t>
      </w:r>
      <w:hyperlink r:id="rId221">
        <w:r>
          <w:rPr>
            <w:color w:val="3953A4"/>
            <w:u w:val="single" w:color="3953A4"/>
            <w:vertAlign w:val="baseline"/>
          </w:rPr>
          <w:t>wp-content/uploads/paths_model.pdf</w:t>
        </w:r>
      </w:hyperlink>
    </w:p>
    <w:p>
      <w:pPr>
        <w:pStyle w:val="BodyText"/>
        <w:tabs>
          <w:tab w:pos="519" w:val="left" w:leader="none"/>
        </w:tabs>
        <w:spacing w:line="228" w:lineRule="auto" w:before="101"/>
        <w:ind w:left="520" w:right="907" w:hanging="360"/>
        <w:rPr>
          <w:i/>
        </w:rPr>
      </w:pPr>
      <w:r>
        <w:rPr/>
        <w:br w:type="column"/>
      </w:r>
      <w:r>
        <w:rPr>
          <w:color w:val="231F20"/>
          <w:vertAlign w:val="superscript"/>
        </w:rPr>
        <w:t>89</w:t>
      </w:r>
      <w:r>
        <w:rPr>
          <w:color w:val="231F20"/>
          <w:vertAlign w:val="baseline"/>
        </w:rPr>
        <w:tab/>
        <w:t>Rural Health Information Hub, Health Resources</w:t>
      </w:r>
      <w:r>
        <w:rPr>
          <w:color w:val="231F20"/>
          <w:spacing w:val="1"/>
          <w:vertAlign w:val="baseline"/>
        </w:rPr>
        <w:t> </w:t>
      </w:r>
      <w:r>
        <w:rPr>
          <w:color w:val="231F20"/>
          <w:spacing w:val="-1"/>
          <w:vertAlign w:val="baseline"/>
        </w:rPr>
        <w:t>and</w:t>
      </w:r>
      <w:r>
        <w:rPr>
          <w:color w:val="231F20"/>
          <w:spacing w:val="8"/>
          <w:vertAlign w:val="baseline"/>
        </w:rPr>
        <w:t> </w:t>
      </w:r>
      <w:r>
        <w:rPr>
          <w:color w:val="231F20"/>
          <w:spacing w:val="-1"/>
          <w:vertAlign w:val="baseline"/>
        </w:rPr>
        <w:t>Services</w:t>
      </w:r>
      <w:r>
        <w:rPr>
          <w:color w:val="231F20"/>
          <w:spacing w:val="-6"/>
          <w:vertAlign w:val="baseline"/>
        </w:rPr>
        <w:t> </w:t>
      </w:r>
      <w:r>
        <w:rPr>
          <w:color w:val="231F20"/>
          <w:spacing w:val="-1"/>
          <w:vertAlign w:val="baseline"/>
        </w:rPr>
        <w:t>Administration,</w:t>
      </w:r>
      <w:r>
        <w:rPr>
          <w:color w:val="231F20"/>
          <w:spacing w:val="7"/>
          <w:vertAlign w:val="baseline"/>
        </w:rPr>
        <w:t> </w:t>
      </w:r>
      <w:r>
        <w:rPr>
          <w:color w:val="231F20"/>
          <w:spacing w:val="-1"/>
          <w:vertAlign w:val="baseline"/>
        </w:rPr>
        <w:t>&amp;</w:t>
      </w:r>
      <w:r>
        <w:rPr>
          <w:color w:val="231F20"/>
          <w:spacing w:val="8"/>
          <w:vertAlign w:val="baseline"/>
        </w:rPr>
        <w:t> </w:t>
      </w:r>
      <w:r>
        <w:rPr>
          <w:color w:val="231F20"/>
          <w:spacing w:val="-1"/>
          <w:vertAlign w:val="baseline"/>
        </w:rPr>
        <w:t>U.S.</w:t>
      </w:r>
      <w:r>
        <w:rPr>
          <w:color w:val="231F20"/>
          <w:spacing w:val="7"/>
          <w:vertAlign w:val="baseline"/>
        </w:rPr>
        <w:t> </w:t>
      </w:r>
      <w:r>
        <w:rPr>
          <w:color w:val="231F20"/>
          <w:spacing w:val="-1"/>
          <w:vertAlign w:val="baseline"/>
        </w:rPr>
        <w:t>Department</w:t>
      </w:r>
      <w:r>
        <w:rPr>
          <w:color w:val="231F20"/>
          <w:vertAlign w:val="baseline"/>
        </w:rPr>
        <w:t> of</w:t>
      </w:r>
      <w:r>
        <w:rPr>
          <w:color w:val="231F20"/>
          <w:spacing w:val="-3"/>
          <w:vertAlign w:val="baseline"/>
        </w:rPr>
        <w:t> </w:t>
      </w:r>
      <w:r>
        <w:rPr>
          <w:color w:val="231F20"/>
          <w:vertAlign w:val="baseline"/>
        </w:rPr>
        <w:t>Health</w:t>
      </w:r>
      <w:r>
        <w:rPr>
          <w:color w:val="231F20"/>
          <w:spacing w:val="-4"/>
          <w:vertAlign w:val="baseline"/>
        </w:rPr>
        <w:t> </w:t>
      </w:r>
      <w:r>
        <w:rPr>
          <w:color w:val="231F20"/>
          <w:vertAlign w:val="baseline"/>
        </w:rPr>
        <w:t>and</w:t>
      </w:r>
      <w:r>
        <w:rPr>
          <w:color w:val="231F20"/>
          <w:spacing w:val="-3"/>
          <w:vertAlign w:val="baseline"/>
        </w:rPr>
        <w:t> </w:t>
      </w:r>
      <w:r>
        <w:rPr>
          <w:color w:val="231F20"/>
          <w:vertAlign w:val="baseline"/>
        </w:rPr>
        <w:t>Human</w:t>
      </w:r>
      <w:r>
        <w:rPr>
          <w:color w:val="231F20"/>
          <w:spacing w:val="-4"/>
          <w:vertAlign w:val="baseline"/>
        </w:rPr>
        <w:t> </w:t>
      </w:r>
      <w:r>
        <w:rPr>
          <w:color w:val="231F20"/>
          <w:vertAlign w:val="baseline"/>
        </w:rPr>
        <w:t>Services.</w:t>
      </w:r>
      <w:r>
        <w:rPr>
          <w:color w:val="231F20"/>
          <w:spacing w:val="-3"/>
          <w:vertAlign w:val="baseline"/>
        </w:rPr>
        <w:t> </w:t>
      </w:r>
      <w:r>
        <w:rPr>
          <w:color w:val="231F20"/>
          <w:vertAlign w:val="baseline"/>
        </w:rPr>
        <w:t>(2020).</w:t>
      </w:r>
      <w:r>
        <w:rPr>
          <w:color w:val="231F20"/>
          <w:spacing w:val="-2"/>
          <w:vertAlign w:val="baseline"/>
        </w:rPr>
        <w:t> </w:t>
      </w:r>
      <w:r>
        <w:rPr>
          <w:i/>
          <w:color w:val="231F20"/>
          <w:vertAlign w:val="baseline"/>
        </w:rPr>
        <w:t>Rural</w:t>
      </w:r>
      <w:r>
        <w:rPr>
          <w:i/>
          <w:color w:val="231F20"/>
          <w:spacing w:val="-3"/>
          <w:vertAlign w:val="baseline"/>
        </w:rPr>
        <w:t> </w:t>
      </w:r>
      <w:r>
        <w:rPr>
          <w:i/>
          <w:color w:val="231F20"/>
          <w:vertAlign w:val="baseline"/>
        </w:rPr>
        <w:t>HIV/</w:t>
      </w:r>
    </w:p>
    <w:p>
      <w:pPr>
        <w:spacing w:line="228" w:lineRule="auto" w:before="0"/>
        <w:ind w:left="520" w:right="803" w:firstLine="0"/>
        <w:jc w:val="left"/>
        <w:rPr>
          <w:sz w:val="22"/>
        </w:rPr>
      </w:pPr>
      <w:r>
        <w:rPr>
          <w:i/>
          <w:color w:val="231F20"/>
          <w:sz w:val="22"/>
        </w:rPr>
        <w:t>AIDS</w:t>
      </w:r>
      <w:r>
        <w:rPr>
          <w:i/>
          <w:color w:val="231F20"/>
          <w:spacing w:val="-10"/>
          <w:sz w:val="22"/>
        </w:rPr>
        <w:t> </w:t>
      </w:r>
      <w:r>
        <w:rPr>
          <w:i/>
          <w:color w:val="231F20"/>
          <w:sz w:val="22"/>
        </w:rPr>
        <w:t>prevention</w:t>
      </w:r>
      <w:r>
        <w:rPr>
          <w:i/>
          <w:color w:val="231F20"/>
          <w:spacing w:val="-9"/>
          <w:sz w:val="22"/>
        </w:rPr>
        <w:t> </w:t>
      </w:r>
      <w:r>
        <w:rPr>
          <w:i/>
          <w:color w:val="231F20"/>
          <w:sz w:val="22"/>
        </w:rPr>
        <w:t>and</w:t>
      </w:r>
      <w:r>
        <w:rPr>
          <w:i/>
          <w:color w:val="231F20"/>
          <w:spacing w:val="-9"/>
          <w:sz w:val="22"/>
        </w:rPr>
        <w:t> </w:t>
      </w:r>
      <w:r>
        <w:rPr>
          <w:i/>
          <w:color w:val="231F20"/>
          <w:sz w:val="22"/>
        </w:rPr>
        <w:t>treatment</w:t>
      </w:r>
      <w:r>
        <w:rPr>
          <w:i/>
          <w:color w:val="231F20"/>
          <w:spacing w:val="-9"/>
          <w:sz w:val="22"/>
        </w:rPr>
        <w:t> </w:t>
      </w:r>
      <w:r>
        <w:rPr>
          <w:i/>
          <w:color w:val="231F20"/>
          <w:sz w:val="22"/>
        </w:rPr>
        <w:t>toolkit</w:t>
      </w:r>
      <w:r>
        <w:rPr>
          <w:color w:val="231F20"/>
          <w:sz w:val="22"/>
        </w:rPr>
        <w:t>.</w:t>
      </w:r>
      <w:r>
        <w:rPr>
          <w:color w:val="231F20"/>
          <w:spacing w:val="-9"/>
          <w:sz w:val="22"/>
        </w:rPr>
        <w:t> </w:t>
      </w:r>
      <w:hyperlink r:id="rId267">
        <w:r>
          <w:rPr>
            <w:color w:val="3953A4"/>
            <w:sz w:val="22"/>
            <w:u w:val="single" w:color="3953A4"/>
          </w:rPr>
          <w:t>https://www.</w:t>
        </w:r>
      </w:hyperlink>
      <w:r>
        <w:rPr>
          <w:color w:val="3953A4"/>
          <w:spacing w:val="-52"/>
          <w:sz w:val="22"/>
        </w:rPr>
        <w:t> </w:t>
      </w:r>
      <w:hyperlink r:id="rId267">
        <w:r>
          <w:rPr>
            <w:color w:val="3953A4"/>
            <w:sz w:val="22"/>
            <w:u w:val="single" w:color="3953A4"/>
          </w:rPr>
          <w:t>ruralhealthinfo.org/toolkits/hiv-aids</w:t>
        </w:r>
      </w:hyperlink>
    </w:p>
    <w:p>
      <w:pPr>
        <w:spacing w:after="0" w:line="228" w:lineRule="auto"/>
        <w:jc w:val="left"/>
        <w:rPr>
          <w:sz w:val="22"/>
        </w:rPr>
        <w:sectPr>
          <w:type w:val="continuous"/>
          <w:pgSz w:w="12240" w:h="15840"/>
          <w:pgMar w:header="0" w:footer="666" w:top="1500" w:bottom="0" w:left="560" w:right="0"/>
          <w:cols w:num="2" w:equalWidth="0">
            <w:col w:w="5060" w:space="700"/>
            <w:col w:w="5920"/>
          </w:cols>
        </w:sectPr>
      </w:pPr>
    </w:p>
    <w:p>
      <w:pPr>
        <w:pStyle w:val="BodyText"/>
        <w:ind w:left="-560"/>
        <w:rPr>
          <w:sz w:val="20"/>
        </w:rPr>
      </w:pPr>
      <w:r>
        <w:rPr>
          <w:sz w:val="20"/>
        </w:rPr>
        <w:pict>
          <v:group style="width:119.55pt;height:111.25pt;mso-position-horizontal-relative:char;mso-position-vertical-relative:line" id="docshapegroup157" coordorigin="0,0" coordsize="2391,2225">
            <v:rect style="position:absolute;left:0;top:0;width:720;height:394" id="docshape158" filled="true" fillcolor="#1d384a" stroked="false">
              <v:fill type="solid"/>
            </v:rect>
            <v:shape style="position:absolute;left:720;top:0;width:1671;height:2225" type="#_x0000_t202" id="docshape159" filled="true" fillcolor="#cf382d" stroked="false">
              <v:textbox inset="0,0,0,0">
                <w:txbxContent>
                  <w:p>
                    <w:pPr>
                      <w:spacing w:line="1580" w:lineRule="exact" w:before="644"/>
                      <w:ind w:left="354" w:right="0" w:firstLine="0"/>
                      <w:jc w:val="left"/>
                      <w:rPr>
                        <w:rFonts w:ascii="Arial"/>
                        <w:color w:val="000000"/>
                        <w:sz w:val="16"/>
                      </w:rPr>
                    </w:pPr>
                    <w:bookmarkStart w:name="CHAPTER 4 Examples of Effective Programs" w:id="105"/>
                    <w:bookmarkEnd w:id="105"/>
                    <w:r>
                      <w:rPr>
                        <w:color w:val="000000"/>
                      </w:rPr>
                    </w:r>
                    <w:bookmarkStart w:name="_bookmark4" w:id="106"/>
                    <w:bookmarkEnd w:id="106"/>
                    <w:r>
                      <w:rPr>
                        <w:color w:val="000000"/>
                      </w:rPr>
                    </w:r>
                    <w:r>
                      <w:rPr>
                        <w:rFonts w:ascii="Arial Black"/>
                        <w:color w:val="FFFFFF"/>
                        <w:spacing w:val="-911"/>
                        <w:position w:val="-119"/>
                        <w:sz w:val="144"/>
                      </w:rPr>
                      <w:t>4</w:t>
                    </w:r>
                    <w:r>
                      <w:rPr>
                        <w:rFonts w:ascii="Arial"/>
                        <w:color w:val="FFFFFF"/>
                        <w:spacing w:val="15"/>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6"/>
        </w:rPr>
      </w:pPr>
    </w:p>
    <w:p>
      <w:pPr>
        <w:pStyle w:val="Heading1"/>
        <w:spacing w:line="196" w:lineRule="auto"/>
        <w:ind w:right="6795"/>
      </w:pPr>
      <w:r>
        <w:rPr/>
        <w:pict>
          <v:group style="position:absolute;margin-left:119.519997pt;margin-top:-185.586807pt;width:492.5pt;height:516.3pt;mso-position-horizontal-relative:page;mso-position-vertical-relative:paragraph;z-index:-18125312" id="docshapegroup160" coordorigin="2390,-3712" coordsize="9850,10326">
            <v:rect style="position:absolute;left:2390;top:-3712;width:9850;height:394" id="docshape161" filled="true" fillcolor="#1d384a" stroked="false">
              <v:fill type="solid"/>
            </v:rect>
            <v:shape style="position:absolute;left:6480;top:-3319;width:5760;height:9933" type="#_x0000_t75" id="docshape162" stroked="false">
              <v:imagedata r:id="rId325" o:title=""/>
            </v:shape>
            <w10:wrap type="none"/>
          </v:group>
        </w:pict>
      </w:r>
      <w:r>
        <w:rPr>
          <w:color w:val="1C384B"/>
          <w:spacing w:val="-2"/>
        </w:rPr>
        <w:t>Examples</w:t>
      </w:r>
      <w:r>
        <w:rPr>
          <w:color w:val="1C384B"/>
          <w:spacing w:val="-28"/>
        </w:rPr>
        <w:t> </w:t>
      </w:r>
      <w:r>
        <w:rPr>
          <w:color w:val="1C384B"/>
          <w:spacing w:val="-2"/>
        </w:rPr>
        <w:t>of</w:t>
      </w:r>
      <w:r>
        <w:rPr>
          <w:color w:val="1C384B"/>
          <w:spacing w:val="-8"/>
        </w:rPr>
        <w:t> </w:t>
      </w:r>
      <w:r>
        <w:rPr>
          <w:color w:val="1C384B"/>
          <w:spacing w:val="-2"/>
        </w:rPr>
        <w:t>Effective</w:t>
      </w:r>
      <w:r>
        <w:rPr>
          <w:color w:val="1C384B"/>
          <w:spacing w:val="-130"/>
        </w:rPr>
        <w:t> </w:t>
      </w:r>
      <w:r>
        <w:rPr>
          <w:color w:val="1C384B"/>
        </w:rPr>
        <w:t>Programs and</w:t>
      </w:r>
      <w:r>
        <w:rPr>
          <w:color w:val="1C384B"/>
          <w:spacing w:val="1"/>
        </w:rPr>
        <w:t> </w:t>
      </w:r>
      <w:r>
        <w:rPr>
          <w:color w:val="1C384B"/>
        </w:rPr>
        <w:t>Strategies</w:t>
      </w:r>
    </w:p>
    <w:p>
      <w:pPr>
        <w:pStyle w:val="BodyText"/>
        <w:spacing w:before="4"/>
        <w:rPr>
          <w:rFonts w:ascii="Arial Black"/>
          <w:sz w:val="25"/>
        </w:rPr>
      </w:pPr>
      <w:r>
        <w:rPr/>
        <w:pict>
          <v:shape style="position:absolute;margin-left:35.5pt;margin-top:19.026464pt;width:252.5pt;height:.1pt;mso-position-horizontal-relative:page;mso-position-vertical-relative:paragraph;z-index:-15690240;mso-wrap-distance-left:0;mso-wrap-distance-right:0" id="docshape163" coordorigin="710,381" coordsize="5050,0" path="m710,381l5760,381e" filled="false" stroked="true" strokeweight="1pt" strokecolor="#ce372e">
            <v:path arrowok="t"/>
            <v:stroke dashstyle="solid"/>
            <w10:wrap type="topAndBottom"/>
          </v:shape>
        </w:pict>
      </w:r>
    </w:p>
    <w:p>
      <w:pPr>
        <w:pStyle w:val="BodyText"/>
        <w:spacing w:before="4"/>
        <w:rPr>
          <w:rFonts w:ascii="Arial Black"/>
          <w:sz w:val="18"/>
        </w:rPr>
      </w:pPr>
    </w:p>
    <w:p>
      <w:pPr>
        <w:spacing w:after="0"/>
        <w:rPr>
          <w:rFonts w:ascii="Arial Black"/>
          <w:sz w:val="18"/>
        </w:rPr>
        <w:sectPr>
          <w:headerReference w:type="default" r:id="rId323"/>
          <w:footerReference w:type="default" r:id="rId324"/>
          <w:pgSz w:w="12240" w:h="15840"/>
          <w:pgMar w:header="0" w:footer="666" w:top="0" w:bottom="860" w:left="560" w:right="0"/>
        </w:sectPr>
      </w:pPr>
    </w:p>
    <w:p>
      <w:pPr>
        <w:pStyle w:val="BodyText"/>
        <w:spacing w:line="266" w:lineRule="auto" w:before="91"/>
        <w:ind w:left="160" w:right="89"/>
      </w:pPr>
      <w:r>
        <w:rPr>
          <w:color w:val="231F20"/>
        </w:rPr>
        <w:t>The chapter describes how practitioners have</w:t>
      </w:r>
      <w:r>
        <w:rPr>
          <w:color w:val="231F20"/>
          <w:spacing w:val="1"/>
        </w:rPr>
        <w:t> </w:t>
      </w:r>
      <w:r>
        <w:rPr>
          <w:color w:val="231F20"/>
          <w:spacing w:val="-1"/>
        </w:rPr>
        <w:t>implemented</w:t>
      </w:r>
      <w:r>
        <w:rPr>
          <w:color w:val="231F20"/>
          <w:spacing w:val="-13"/>
        </w:rPr>
        <w:t> </w:t>
      </w:r>
      <w:r>
        <w:rPr>
          <w:color w:val="231F20"/>
          <w:spacing w:val="-1"/>
        </w:rPr>
        <w:t>three</w:t>
      </w:r>
      <w:r>
        <w:rPr>
          <w:color w:val="231F20"/>
          <w:spacing w:val="-12"/>
        </w:rPr>
        <w:t> </w:t>
      </w:r>
      <w:r>
        <w:rPr>
          <w:color w:val="231F20"/>
          <w:spacing w:val="-1"/>
        </w:rPr>
        <w:t>prevention</w:t>
      </w:r>
      <w:r>
        <w:rPr>
          <w:color w:val="231F20"/>
          <w:spacing w:val="-12"/>
        </w:rPr>
        <w:t> </w:t>
      </w:r>
      <w:r>
        <w:rPr>
          <w:color w:val="231F20"/>
        </w:rPr>
        <w:t>and</w:t>
      </w:r>
      <w:r>
        <w:rPr>
          <w:color w:val="231F20"/>
          <w:spacing w:val="-12"/>
        </w:rPr>
        <w:t> </w:t>
      </w:r>
      <w:r>
        <w:rPr>
          <w:color w:val="231F20"/>
        </w:rPr>
        <w:t>treatment</w:t>
      </w:r>
      <w:r>
        <w:rPr>
          <w:color w:val="231F20"/>
          <w:spacing w:val="-13"/>
        </w:rPr>
        <w:t> </w:t>
      </w:r>
      <w:r>
        <w:rPr>
          <w:color w:val="231F20"/>
        </w:rPr>
        <w:t>programs</w:t>
      </w:r>
      <w:r>
        <w:rPr>
          <w:color w:val="231F20"/>
          <w:spacing w:val="-12"/>
        </w:rPr>
        <w:t> </w:t>
      </w:r>
      <w:r>
        <w:rPr>
          <w:color w:val="231F20"/>
        </w:rPr>
        <w:t>as</w:t>
      </w:r>
      <w:r>
        <w:rPr>
          <w:color w:val="231F20"/>
          <w:spacing w:val="-52"/>
        </w:rPr>
        <w:t> </w:t>
      </w:r>
      <w:r>
        <w:rPr>
          <w:color w:val="231F20"/>
          <w:spacing w:val="-1"/>
        </w:rPr>
        <w:t>part</w:t>
      </w:r>
      <w:r>
        <w:rPr>
          <w:color w:val="231F20"/>
          <w:spacing w:val="-13"/>
        </w:rPr>
        <w:t> </w:t>
      </w:r>
      <w:r>
        <w:rPr>
          <w:color w:val="231F20"/>
          <w:spacing w:val="-1"/>
        </w:rPr>
        <w:t>of</w:t>
      </w:r>
      <w:r>
        <w:rPr>
          <w:color w:val="231F20"/>
          <w:spacing w:val="-13"/>
        </w:rPr>
        <w:t> </w:t>
      </w:r>
      <w:r>
        <w:rPr>
          <w:color w:val="231F20"/>
          <w:spacing w:val="-1"/>
        </w:rPr>
        <w:t>a</w:t>
      </w:r>
      <w:r>
        <w:rPr>
          <w:color w:val="231F20"/>
          <w:spacing w:val="-13"/>
        </w:rPr>
        <w:t> </w:t>
      </w:r>
      <w:r>
        <w:rPr>
          <w:color w:val="231F20"/>
        </w:rPr>
        <w:t>comprehensive</w:t>
      </w:r>
      <w:r>
        <w:rPr>
          <w:color w:val="231F20"/>
          <w:spacing w:val="-12"/>
        </w:rPr>
        <w:t> </w:t>
      </w:r>
      <w:r>
        <w:rPr>
          <w:color w:val="231F20"/>
        </w:rPr>
        <w:t>strategy</w:t>
      </w:r>
      <w:r>
        <w:rPr>
          <w:color w:val="231F20"/>
          <w:spacing w:val="-14"/>
        </w:rPr>
        <w:t> </w:t>
      </w:r>
      <w:r>
        <w:rPr>
          <w:color w:val="231F20"/>
        </w:rPr>
        <w:t>to</w:t>
      </w:r>
      <w:r>
        <w:rPr>
          <w:color w:val="231F20"/>
          <w:spacing w:val="-13"/>
        </w:rPr>
        <w:t> </w:t>
      </w:r>
      <w:r>
        <w:rPr>
          <w:color w:val="231F20"/>
        </w:rPr>
        <w:t>prevent</w:t>
      </w:r>
      <w:r>
        <w:rPr>
          <w:color w:val="231F20"/>
          <w:spacing w:val="-12"/>
        </w:rPr>
        <w:t> </w:t>
      </w:r>
      <w:r>
        <w:rPr>
          <w:color w:val="231F20"/>
        </w:rPr>
        <w:t>and</w:t>
      </w:r>
      <w:r>
        <w:rPr>
          <w:color w:val="231F20"/>
          <w:spacing w:val="-13"/>
        </w:rPr>
        <w:t> </w:t>
      </w:r>
      <w:r>
        <w:rPr>
          <w:color w:val="231F20"/>
        </w:rPr>
        <w:t>treat</w:t>
      </w:r>
      <w:r>
        <w:rPr>
          <w:color w:val="231F20"/>
          <w:spacing w:val="-13"/>
        </w:rPr>
        <w:t> </w:t>
      </w:r>
      <w:r>
        <w:rPr>
          <w:color w:val="231F20"/>
        </w:rPr>
        <w:t>HIV</w:t>
      </w:r>
      <w:r>
        <w:rPr>
          <w:color w:val="231F20"/>
          <w:spacing w:val="-52"/>
        </w:rPr>
        <w:t> </w:t>
      </w:r>
      <w:r>
        <w:rPr>
          <w:color w:val="231F20"/>
          <w:spacing w:val="-1"/>
        </w:rPr>
        <w:t>among</w:t>
      </w:r>
      <w:r>
        <w:rPr>
          <w:color w:val="231F20"/>
          <w:spacing w:val="-12"/>
        </w:rPr>
        <w:t> </w:t>
      </w:r>
      <w:r>
        <w:rPr>
          <w:color w:val="231F20"/>
          <w:spacing w:val="-1"/>
        </w:rPr>
        <w:t>people</w:t>
      </w:r>
      <w:r>
        <w:rPr>
          <w:color w:val="231F20"/>
          <w:spacing w:val="-11"/>
        </w:rPr>
        <w:t> </w:t>
      </w:r>
      <w:r>
        <w:rPr>
          <w:color w:val="231F20"/>
          <w:spacing w:val="-1"/>
        </w:rPr>
        <w:t>living</w:t>
      </w:r>
      <w:r>
        <w:rPr>
          <w:color w:val="231F20"/>
          <w:spacing w:val="-11"/>
        </w:rPr>
        <w:t> </w:t>
      </w:r>
      <w:r>
        <w:rPr>
          <w:color w:val="231F20"/>
          <w:spacing w:val="-1"/>
        </w:rPr>
        <w:t>with</w:t>
      </w:r>
      <w:r>
        <w:rPr>
          <w:color w:val="231F20"/>
          <w:spacing w:val="-12"/>
        </w:rPr>
        <w:t> </w:t>
      </w:r>
      <w:r>
        <w:rPr>
          <w:color w:val="231F20"/>
          <w:spacing w:val="-1"/>
        </w:rPr>
        <w:t>mental</w:t>
      </w:r>
      <w:r>
        <w:rPr>
          <w:color w:val="231F20"/>
          <w:spacing w:val="-11"/>
        </w:rPr>
        <w:t> </w:t>
      </w:r>
      <w:r>
        <w:rPr>
          <w:color w:val="231F20"/>
          <w:spacing w:val="-1"/>
        </w:rPr>
        <w:t>illness</w:t>
      </w:r>
      <w:r>
        <w:rPr>
          <w:color w:val="231F20"/>
          <w:spacing w:val="-12"/>
        </w:rPr>
        <w:t> </w:t>
      </w:r>
      <w:r>
        <w:rPr>
          <w:color w:val="231F20"/>
          <w:spacing w:val="-1"/>
        </w:rPr>
        <w:t>and/or</w:t>
      </w:r>
      <w:r>
        <w:rPr>
          <w:color w:val="231F20"/>
          <w:spacing w:val="-11"/>
        </w:rPr>
        <w:t> </w:t>
      </w:r>
      <w:r>
        <w:rPr>
          <w:color w:val="231F20"/>
        </w:rPr>
        <w:t>substance</w:t>
      </w:r>
      <w:r>
        <w:rPr>
          <w:color w:val="231F20"/>
          <w:spacing w:val="-52"/>
        </w:rPr>
        <w:t> </w:t>
      </w:r>
      <w:r>
        <w:rPr>
          <w:color w:val="231F20"/>
        </w:rPr>
        <w:t>use</w:t>
      </w:r>
      <w:r>
        <w:rPr>
          <w:color w:val="231F20"/>
          <w:spacing w:val="-5"/>
        </w:rPr>
        <w:t> </w:t>
      </w:r>
      <w:r>
        <w:rPr>
          <w:color w:val="231F20"/>
        </w:rPr>
        <w:t>disorders</w:t>
      </w:r>
      <w:r>
        <w:rPr>
          <w:color w:val="231F20"/>
          <w:spacing w:val="-4"/>
        </w:rPr>
        <w:t> </w:t>
      </w:r>
      <w:r>
        <w:rPr>
          <w:color w:val="231F20"/>
        </w:rPr>
        <w:t>(SUD):</w:t>
      </w:r>
    </w:p>
    <w:p>
      <w:pPr>
        <w:pStyle w:val="ListParagraph"/>
        <w:numPr>
          <w:ilvl w:val="0"/>
          <w:numId w:val="19"/>
        </w:numPr>
        <w:tabs>
          <w:tab w:pos="879" w:val="left" w:leader="none"/>
          <w:tab w:pos="880" w:val="left" w:leader="none"/>
        </w:tabs>
        <w:spacing w:line="249" w:lineRule="auto" w:before="144" w:after="0"/>
        <w:ind w:left="879" w:right="59" w:hanging="360"/>
        <w:jc w:val="left"/>
        <w:rPr>
          <w:sz w:val="22"/>
        </w:rPr>
      </w:pPr>
      <w:r>
        <w:rPr>
          <w:color w:val="010202"/>
          <w:sz w:val="22"/>
        </w:rPr>
        <w:t>Faster Paths to Treatment: a SUD bridge clinic</w:t>
      </w:r>
      <w:r>
        <w:rPr>
          <w:color w:val="010202"/>
          <w:spacing w:val="1"/>
          <w:sz w:val="22"/>
        </w:rPr>
        <w:t> </w:t>
      </w:r>
      <w:r>
        <w:rPr>
          <w:color w:val="010202"/>
          <w:sz w:val="22"/>
        </w:rPr>
        <w:t>program implementing practices to Increase</w:t>
      </w:r>
      <w:r>
        <w:rPr>
          <w:color w:val="010202"/>
          <w:spacing w:val="1"/>
          <w:sz w:val="22"/>
        </w:rPr>
        <w:t> </w:t>
      </w:r>
      <w:r>
        <w:rPr>
          <w:color w:val="010202"/>
          <w:spacing w:val="-1"/>
          <w:sz w:val="22"/>
        </w:rPr>
        <w:t>Uptake and Improve Adherence </w:t>
      </w:r>
      <w:r>
        <w:rPr>
          <w:color w:val="010202"/>
          <w:sz w:val="22"/>
        </w:rPr>
        <w:t>to Pre-Exposure</w:t>
      </w:r>
      <w:r>
        <w:rPr>
          <w:color w:val="010202"/>
          <w:spacing w:val="-52"/>
          <w:sz w:val="22"/>
        </w:rPr>
        <w:t> </w:t>
      </w:r>
      <w:r>
        <w:rPr>
          <w:color w:val="010202"/>
          <w:sz w:val="22"/>
        </w:rPr>
        <w:t>Prophylaxis</w:t>
      </w:r>
      <w:r>
        <w:rPr>
          <w:color w:val="010202"/>
          <w:spacing w:val="-2"/>
          <w:sz w:val="22"/>
        </w:rPr>
        <w:t> </w:t>
      </w:r>
      <w:r>
        <w:rPr>
          <w:color w:val="010202"/>
          <w:sz w:val="22"/>
        </w:rPr>
        <w:t>(PrEP)</w:t>
      </w:r>
    </w:p>
    <w:p>
      <w:pPr>
        <w:pStyle w:val="ListParagraph"/>
        <w:numPr>
          <w:ilvl w:val="0"/>
          <w:numId w:val="19"/>
        </w:numPr>
        <w:tabs>
          <w:tab w:pos="879" w:val="left" w:leader="none"/>
          <w:tab w:pos="880" w:val="left" w:leader="none"/>
        </w:tabs>
        <w:spacing w:line="249" w:lineRule="auto" w:before="0" w:after="0"/>
        <w:ind w:left="879" w:right="351" w:hanging="360"/>
        <w:jc w:val="left"/>
        <w:rPr>
          <w:sz w:val="22"/>
        </w:rPr>
      </w:pPr>
      <w:r>
        <w:rPr>
          <w:color w:val="010202"/>
          <w:sz w:val="22"/>
        </w:rPr>
        <w:t>Louisville Metro Syringe Exchange Program</w:t>
      </w:r>
      <w:r>
        <w:rPr>
          <w:color w:val="010202"/>
          <w:spacing w:val="-52"/>
          <w:sz w:val="22"/>
        </w:rPr>
        <w:t> </w:t>
      </w:r>
      <w:r>
        <w:rPr>
          <w:color w:val="010202"/>
          <w:sz w:val="22"/>
        </w:rPr>
        <w:t>(LMSEP):</w:t>
      </w:r>
      <w:r>
        <w:rPr>
          <w:color w:val="010202"/>
          <w:spacing w:val="-4"/>
          <w:sz w:val="22"/>
        </w:rPr>
        <w:t> </w:t>
      </w:r>
      <w:r>
        <w:rPr>
          <w:color w:val="010202"/>
          <w:sz w:val="22"/>
        </w:rPr>
        <w:t>a</w:t>
      </w:r>
      <w:r>
        <w:rPr>
          <w:color w:val="010202"/>
          <w:spacing w:val="-4"/>
          <w:sz w:val="22"/>
        </w:rPr>
        <w:t> </w:t>
      </w:r>
      <w:r>
        <w:rPr>
          <w:color w:val="010202"/>
          <w:sz w:val="22"/>
        </w:rPr>
        <w:t>Syringe</w:t>
      </w:r>
      <w:r>
        <w:rPr>
          <w:color w:val="010202"/>
          <w:spacing w:val="-4"/>
          <w:sz w:val="22"/>
        </w:rPr>
        <w:t> </w:t>
      </w:r>
      <w:r>
        <w:rPr>
          <w:color w:val="010202"/>
          <w:sz w:val="22"/>
        </w:rPr>
        <w:t>Services</w:t>
      </w:r>
      <w:r>
        <w:rPr>
          <w:color w:val="010202"/>
          <w:spacing w:val="-4"/>
          <w:sz w:val="22"/>
        </w:rPr>
        <w:t> </w:t>
      </w:r>
      <w:r>
        <w:rPr>
          <w:color w:val="010202"/>
          <w:sz w:val="22"/>
        </w:rPr>
        <w:t>Program</w:t>
      </w:r>
      <w:r>
        <w:rPr>
          <w:color w:val="010202"/>
          <w:spacing w:val="-5"/>
          <w:sz w:val="22"/>
        </w:rPr>
        <w:t> </w:t>
      </w:r>
      <w:r>
        <w:rPr>
          <w:color w:val="010202"/>
          <w:sz w:val="22"/>
        </w:rPr>
        <w:t>(SSP)</w:t>
      </w:r>
    </w:p>
    <w:p>
      <w:pPr>
        <w:pStyle w:val="ListParagraph"/>
        <w:numPr>
          <w:ilvl w:val="0"/>
          <w:numId w:val="19"/>
        </w:numPr>
        <w:tabs>
          <w:tab w:pos="879" w:val="left" w:leader="none"/>
          <w:tab w:pos="880" w:val="left" w:leader="none"/>
        </w:tabs>
        <w:spacing w:line="254" w:lineRule="exact" w:before="0" w:after="0"/>
        <w:ind w:left="879" w:right="0" w:hanging="361"/>
        <w:jc w:val="left"/>
        <w:rPr>
          <w:sz w:val="22"/>
        </w:rPr>
      </w:pPr>
      <w:r>
        <w:rPr>
          <w:color w:val="010202"/>
          <w:spacing w:val="-1"/>
          <w:sz w:val="22"/>
        </w:rPr>
        <w:t>The</w:t>
      </w:r>
      <w:r>
        <w:rPr>
          <w:color w:val="010202"/>
          <w:spacing w:val="-13"/>
          <w:sz w:val="22"/>
        </w:rPr>
        <w:t> </w:t>
      </w:r>
      <w:r>
        <w:rPr>
          <w:color w:val="010202"/>
          <w:spacing w:val="-1"/>
          <w:sz w:val="22"/>
        </w:rPr>
        <w:t>Alexis Project:</w:t>
      </w:r>
      <w:r>
        <w:rPr>
          <w:color w:val="010202"/>
          <w:sz w:val="22"/>
        </w:rPr>
        <w:t> a HIV</w:t>
      </w:r>
      <w:r>
        <w:rPr>
          <w:color w:val="010202"/>
          <w:spacing w:val="-5"/>
          <w:sz w:val="22"/>
        </w:rPr>
        <w:t> </w:t>
      </w:r>
      <w:r>
        <w:rPr>
          <w:color w:val="010202"/>
          <w:sz w:val="22"/>
        </w:rPr>
        <w:t>linkage</w:t>
      </w:r>
      <w:r>
        <w:rPr>
          <w:color w:val="010202"/>
          <w:spacing w:val="1"/>
          <w:sz w:val="22"/>
        </w:rPr>
        <w:t> </w:t>
      </w:r>
      <w:r>
        <w:rPr>
          <w:color w:val="010202"/>
          <w:sz w:val="22"/>
        </w:rPr>
        <w:t>and retention</w:t>
      </w:r>
    </w:p>
    <w:p>
      <w:pPr>
        <w:pStyle w:val="BodyText"/>
        <w:spacing w:line="249" w:lineRule="auto"/>
        <w:ind w:left="879" w:right="89"/>
      </w:pPr>
      <w:r>
        <w:rPr>
          <w:color w:val="010202"/>
        </w:rPr>
        <w:t>program implementing both Contingency</w:t>
      </w:r>
      <w:r>
        <w:rPr>
          <w:color w:val="010202"/>
          <w:spacing w:val="1"/>
        </w:rPr>
        <w:t> </w:t>
      </w:r>
      <w:r>
        <w:rPr>
          <w:color w:val="010202"/>
        </w:rPr>
        <w:t>Management</w:t>
      </w:r>
      <w:r>
        <w:rPr>
          <w:color w:val="010202"/>
          <w:spacing w:val="-7"/>
        </w:rPr>
        <w:t> </w:t>
      </w:r>
      <w:r>
        <w:rPr>
          <w:color w:val="010202"/>
        </w:rPr>
        <w:t>(CM)</w:t>
      </w:r>
      <w:r>
        <w:rPr>
          <w:color w:val="010202"/>
          <w:spacing w:val="-6"/>
        </w:rPr>
        <w:t> </w:t>
      </w:r>
      <w:r>
        <w:rPr>
          <w:color w:val="010202"/>
        </w:rPr>
        <w:t>and</w:t>
      </w:r>
      <w:r>
        <w:rPr>
          <w:color w:val="010202"/>
          <w:spacing w:val="-5"/>
        </w:rPr>
        <w:t> </w:t>
      </w:r>
      <w:r>
        <w:rPr>
          <w:color w:val="010202"/>
        </w:rPr>
        <w:t>Patient</w:t>
      </w:r>
      <w:r>
        <w:rPr>
          <w:color w:val="010202"/>
          <w:spacing w:val="-7"/>
        </w:rPr>
        <w:t> </w:t>
      </w:r>
      <w:r>
        <w:rPr>
          <w:color w:val="010202"/>
        </w:rPr>
        <w:t>Navigation</w:t>
      </w:r>
    </w:p>
    <w:p>
      <w:pPr>
        <w:pStyle w:val="BodyText"/>
        <w:spacing w:line="266" w:lineRule="auto" w:before="195"/>
        <w:ind w:left="159" w:right="36"/>
      </w:pPr>
      <w:r>
        <w:rPr>
          <w:color w:val="231F20"/>
        </w:rPr>
        <w:t>The three examples highlighted in this chapter were</w:t>
      </w:r>
      <w:r>
        <w:rPr>
          <w:color w:val="231F20"/>
          <w:spacing w:val="1"/>
        </w:rPr>
        <w:t> </w:t>
      </w:r>
      <w:r>
        <w:rPr>
          <w:color w:val="231F20"/>
        </w:rPr>
        <w:t>identified through an environmental scan and in</w:t>
      </w:r>
      <w:r>
        <w:rPr>
          <w:color w:val="231F20"/>
          <w:spacing w:val="1"/>
        </w:rPr>
        <w:t> </w:t>
      </w:r>
      <w:r>
        <w:rPr>
          <w:color w:val="231F20"/>
        </w:rPr>
        <w:t>consultation with experts. While there are additional</w:t>
      </w:r>
      <w:r>
        <w:rPr>
          <w:color w:val="231F20"/>
          <w:spacing w:val="1"/>
        </w:rPr>
        <w:t> </w:t>
      </w:r>
      <w:r>
        <w:rPr>
          <w:color w:val="231F20"/>
        </w:rPr>
        <w:t>programs that could have been featured in this chapter,</w:t>
      </w:r>
      <w:r>
        <w:rPr>
          <w:color w:val="231F20"/>
          <w:spacing w:val="1"/>
        </w:rPr>
        <w:t> </w:t>
      </w:r>
      <w:r>
        <w:rPr>
          <w:color w:val="231F20"/>
          <w:spacing w:val="-1"/>
        </w:rPr>
        <w:t>those</w:t>
      </w:r>
      <w:r>
        <w:rPr>
          <w:color w:val="231F20"/>
          <w:spacing w:val="-13"/>
        </w:rPr>
        <w:t> </w:t>
      </w:r>
      <w:r>
        <w:rPr>
          <w:color w:val="231F20"/>
          <w:spacing w:val="-1"/>
        </w:rPr>
        <w:t>highlighted</w:t>
      </w:r>
      <w:r>
        <w:rPr>
          <w:color w:val="231F20"/>
          <w:spacing w:val="-12"/>
        </w:rPr>
        <w:t> </w:t>
      </w:r>
      <w:r>
        <w:rPr>
          <w:color w:val="231F20"/>
        </w:rPr>
        <w:t>below</w:t>
      </w:r>
      <w:r>
        <w:rPr>
          <w:color w:val="231F20"/>
          <w:spacing w:val="-12"/>
        </w:rPr>
        <w:t> </w:t>
      </w:r>
      <w:r>
        <w:rPr>
          <w:color w:val="231F20"/>
        </w:rPr>
        <w:t>were</w:t>
      </w:r>
      <w:r>
        <w:rPr>
          <w:color w:val="231F20"/>
          <w:spacing w:val="-13"/>
        </w:rPr>
        <w:t> </w:t>
      </w:r>
      <w:r>
        <w:rPr>
          <w:color w:val="231F20"/>
        </w:rPr>
        <w:t>included</w:t>
      </w:r>
      <w:r>
        <w:rPr>
          <w:color w:val="231F20"/>
          <w:spacing w:val="-12"/>
        </w:rPr>
        <w:t> </w:t>
      </w:r>
      <w:r>
        <w:rPr>
          <w:color w:val="231F20"/>
        </w:rPr>
        <w:t>to</w:t>
      </w:r>
      <w:r>
        <w:rPr>
          <w:color w:val="231F20"/>
          <w:spacing w:val="-12"/>
        </w:rPr>
        <w:t> </w:t>
      </w:r>
      <w:r>
        <w:rPr>
          <w:color w:val="231F20"/>
        </w:rPr>
        <w:t>provide</w:t>
      </w:r>
      <w:r>
        <w:rPr>
          <w:color w:val="231F20"/>
          <w:spacing w:val="-12"/>
        </w:rPr>
        <w:t> </w:t>
      </w:r>
      <w:r>
        <w:rPr>
          <w:color w:val="231F20"/>
        </w:rPr>
        <w:t>diverse</w:t>
      </w:r>
      <w:r>
        <w:rPr>
          <w:color w:val="231F20"/>
          <w:spacing w:val="1"/>
        </w:rPr>
        <w:t> </w:t>
      </w:r>
      <w:r>
        <w:rPr>
          <w:color w:val="231F20"/>
          <w:spacing w:val="-1"/>
        </w:rPr>
        <w:t>examples</w:t>
      </w:r>
      <w:r>
        <w:rPr>
          <w:color w:val="231F20"/>
          <w:spacing w:val="-10"/>
        </w:rPr>
        <w:t> </w:t>
      </w:r>
      <w:r>
        <w:rPr>
          <w:color w:val="231F20"/>
          <w:spacing w:val="-1"/>
        </w:rPr>
        <w:t>of</w:t>
      </w:r>
      <w:r>
        <w:rPr>
          <w:color w:val="231F20"/>
          <w:spacing w:val="-9"/>
        </w:rPr>
        <w:t> </w:t>
      </w:r>
      <w:r>
        <w:rPr>
          <w:color w:val="231F20"/>
          <w:spacing w:val="-1"/>
        </w:rPr>
        <w:t>settings</w:t>
      </w:r>
      <w:r>
        <w:rPr>
          <w:color w:val="231F20"/>
          <w:spacing w:val="-10"/>
        </w:rPr>
        <w:t> </w:t>
      </w:r>
      <w:r>
        <w:rPr>
          <w:color w:val="231F20"/>
          <w:spacing w:val="-1"/>
        </w:rPr>
        <w:t>in</w:t>
      </w:r>
      <w:r>
        <w:rPr>
          <w:color w:val="231F20"/>
          <w:spacing w:val="-9"/>
        </w:rPr>
        <w:t> </w:t>
      </w:r>
      <w:r>
        <w:rPr>
          <w:color w:val="231F20"/>
          <w:spacing w:val="-1"/>
        </w:rPr>
        <w:t>which</w:t>
      </w:r>
      <w:r>
        <w:rPr>
          <w:color w:val="231F20"/>
          <w:spacing w:val="-10"/>
        </w:rPr>
        <w:t> </w:t>
      </w:r>
      <w:r>
        <w:rPr>
          <w:color w:val="231F20"/>
          <w:spacing w:val="-1"/>
        </w:rPr>
        <w:t>HIV</w:t>
      </w:r>
      <w:r>
        <w:rPr>
          <w:color w:val="231F20"/>
          <w:spacing w:val="-12"/>
        </w:rPr>
        <w:t> </w:t>
      </w:r>
      <w:r>
        <w:rPr>
          <w:color w:val="231F20"/>
          <w:spacing w:val="-1"/>
        </w:rPr>
        <w:t>and</w:t>
      </w:r>
      <w:r>
        <w:rPr>
          <w:color w:val="231F20"/>
          <w:spacing w:val="-9"/>
        </w:rPr>
        <w:t> </w:t>
      </w:r>
      <w:r>
        <w:rPr>
          <w:color w:val="231F20"/>
          <w:spacing w:val="-1"/>
        </w:rPr>
        <w:t>mental</w:t>
      </w:r>
      <w:r>
        <w:rPr>
          <w:color w:val="231F20"/>
          <w:spacing w:val="-9"/>
        </w:rPr>
        <w:t> </w:t>
      </w:r>
      <w:r>
        <w:rPr>
          <w:color w:val="231F20"/>
          <w:spacing w:val="-1"/>
        </w:rPr>
        <w:t>illness</w:t>
      </w:r>
      <w:r>
        <w:rPr>
          <w:color w:val="231F20"/>
          <w:spacing w:val="-9"/>
        </w:rPr>
        <w:t> </w:t>
      </w:r>
      <w:r>
        <w:rPr>
          <w:color w:val="231F20"/>
        </w:rPr>
        <w:t>and/</w:t>
      </w:r>
      <w:r>
        <w:rPr>
          <w:color w:val="231F20"/>
          <w:spacing w:val="-52"/>
        </w:rPr>
        <w:t> </w:t>
      </w:r>
      <w:r>
        <w:rPr>
          <w:color w:val="231F20"/>
        </w:rPr>
        <w:t>or</w:t>
      </w:r>
      <w:r>
        <w:rPr>
          <w:color w:val="231F20"/>
          <w:spacing w:val="-5"/>
        </w:rPr>
        <w:t> </w:t>
      </w:r>
      <w:r>
        <w:rPr>
          <w:color w:val="231F20"/>
        </w:rPr>
        <w:t>SUD</w:t>
      </w:r>
      <w:r>
        <w:rPr>
          <w:color w:val="231F20"/>
          <w:spacing w:val="-6"/>
        </w:rPr>
        <w:t> </w:t>
      </w:r>
      <w:r>
        <w:rPr>
          <w:color w:val="231F20"/>
        </w:rPr>
        <w:t>can</w:t>
      </w:r>
      <w:r>
        <w:rPr>
          <w:color w:val="231F20"/>
          <w:spacing w:val="-4"/>
        </w:rPr>
        <w:t> </w:t>
      </w:r>
      <w:r>
        <w:rPr>
          <w:color w:val="231F20"/>
        </w:rPr>
        <w:t>be</w:t>
      </w:r>
      <w:r>
        <w:rPr>
          <w:color w:val="231F20"/>
          <w:spacing w:val="-5"/>
        </w:rPr>
        <w:t> </w:t>
      </w:r>
      <w:r>
        <w:rPr>
          <w:color w:val="231F20"/>
        </w:rPr>
        <w:t>addressed.</w:t>
      </w:r>
    </w:p>
    <w:p>
      <w:pPr>
        <w:pStyle w:val="BodyText"/>
        <w:spacing w:before="175"/>
        <w:ind w:left="159"/>
      </w:pPr>
      <w:r>
        <w:rPr>
          <w:color w:val="231F20"/>
          <w:spacing w:val="-1"/>
        </w:rPr>
        <w:t>To</w:t>
      </w:r>
      <w:r>
        <w:rPr>
          <w:color w:val="231F20"/>
          <w:spacing w:val="-13"/>
        </w:rPr>
        <w:t> </w:t>
      </w:r>
      <w:r>
        <w:rPr>
          <w:color w:val="231F20"/>
          <w:spacing w:val="-1"/>
        </w:rPr>
        <w:t>be</w:t>
      </w:r>
      <w:r>
        <w:rPr>
          <w:color w:val="231F20"/>
          <w:spacing w:val="-12"/>
        </w:rPr>
        <w:t> </w:t>
      </w:r>
      <w:r>
        <w:rPr>
          <w:color w:val="231F20"/>
          <w:spacing w:val="-1"/>
        </w:rPr>
        <w:t>included,</w:t>
      </w:r>
      <w:r>
        <w:rPr>
          <w:color w:val="231F20"/>
          <w:spacing w:val="-12"/>
        </w:rPr>
        <w:t> </w:t>
      </w:r>
      <w:r>
        <w:rPr>
          <w:color w:val="231F20"/>
        </w:rPr>
        <w:t>the</w:t>
      </w:r>
      <w:r>
        <w:rPr>
          <w:color w:val="231F20"/>
          <w:spacing w:val="-12"/>
        </w:rPr>
        <w:t> </w:t>
      </w:r>
      <w:r>
        <w:rPr>
          <w:color w:val="231F20"/>
        </w:rPr>
        <w:t>interventions</w:t>
      </w:r>
      <w:r>
        <w:rPr>
          <w:color w:val="231F20"/>
          <w:spacing w:val="-12"/>
        </w:rPr>
        <w:t> </w:t>
      </w:r>
      <w:r>
        <w:rPr>
          <w:color w:val="231F20"/>
        </w:rPr>
        <w:t>had</w:t>
      </w:r>
      <w:r>
        <w:rPr>
          <w:color w:val="231F20"/>
          <w:spacing w:val="-13"/>
        </w:rPr>
        <w:t> </w:t>
      </w:r>
      <w:r>
        <w:rPr>
          <w:color w:val="231F20"/>
        </w:rPr>
        <w:t>to:</w:t>
      </w:r>
    </w:p>
    <w:p>
      <w:pPr>
        <w:pStyle w:val="ListParagraph"/>
        <w:numPr>
          <w:ilvl w:val="0"/>
          <w:numId w:val="19"/>
        </w:numPr>
        <w:tabs>
          <w:tab w:pos="879" w:val="left" w:leader="none"/>
          <w:tab w:pos="880" w:val="left" w:leader="none"/>
        </w:tabs>
        <w:spacing w:line="240" w:lineRule="auto" w:before="175" w:after="0"/>
        <w:ind w:left="879" w:right="0" w:hanging="361"/>
        <w:jc w:val="left"/>
        <w:rPr>
          <w:sz w:val="22"/>
        </w:rPr>
      </w:pPr>
      <w:r>
        <w:rPr>
          <w:color w:val="010202"/>
          <w:sz w:val="22"/>
        </w:rPr>
        <w:t>Include</w:t>
      </w:r>
      <w:r>
        <w:rPr>
          <w:color w:val="010202"/>
          <w:spacing w:val="-2"/>
          <w:sz w:val="22"/>
        </w:rPr>
        <w:t> </w:t>
      </w:r>
      <w:r>
        <w:rPr>
          <w:color w:val="010202"/>
          <w:sz w:val="22"/>
        </w:rPr>
        <w:t>one</w:t>
      </w:r>
      <w:r>
        <w:rPr>
          <w:color w:val="010202"/>
          <w:spacing w:val="-1"/>
          <w:sz w:val="22"/>
        </w:rPr>
        <w:t> </w:t>
      </w:r>
      <w:r>
        <w:rPr>
          <w:color w:val="010202"/>
          <w:sz w:val="22"/>
        </w:rPr>
        <w:t>or</w:t>
      </w:r>
      <w:r>
        <w:rPr>
          <w:color w:val="010202"/>
          <w:spacing w:val="-1"/>
          <w:sz w:val="22"/>
        </w:rPr>
        <w:t> </w:t>
      </w:r>
      <w:r>
        <w:rPr>
          <w:color w:val="010202"/>
          <w:sz w:val="22"/>
        </w:rPr>
        <w:t>more</w:t>
      </w:r>
      <w:r>
        <w:rPr>
          <w:color w:val="010202"/>
          <w:spacing w:val="-2"/>
          <w:sz w:val="22"/>
        </w:rPr>
        <w:t> </w:t>
      </w:r>
      <w:r>
        <w:rPr>
          <w:color w:val="010202"/>
          <w:sz w:val="22"/>
        </w:rPr>
        <w:t>of</w:t>
      </w:r>
      <w:r>
        <w:rPr>
          <w:color w:val="010202"/>
          <w:spacing w:val="-1"/>
          <w:sz w:val="22"/>
        </w:rPr>
        <w:t> </w:t>
      </w:r>
      <w:r>
        <w:rPr>
          <w:color w:val="010202"/>
          <w:sz w:val="22"/>
        </w:rPr>
        <w:t>the</w:t>
      </w:r>
      <w:r>
        <w:rPr>
          <w:color w:val="010202"/>
          <w:spacing w:val="-2"/>
          <w:sz w:val="22"/>
        </w:rPr>
        <w:t> </w:t>
      </w:r>
      <w:r>
        <w:rPr>
          <w:color w:val="010202"/>
          <w:sz w:val="22"/>
        </w:rPr>
        <w:t>practices</w:t>
      </w:r>
      <w:r>
        <w:rPr>
          <w:color w:val="010202"/>
          <w:spacing w:val="-1"/>
          <w:sz w:val="22"/>
        </w:rPr>
        <w:t> </w:t>
      </w:r>
      <w:r>
        <w:rPr>
          <w:color w:val="010202"/>
          <w:sz w:val="22"/>
        </w:rPr>
        <w:t>identified</w:t>
      </w:r>
      <w:r>
        <w:rPr>
          <w:color w:val="010202"/>
          <w:spacing w:val="-1"/>
          <w:sz w:val="22"/>
        </w:rPr>
        <w:t> </w:t>
      </w:r>
      <w:r>
        <w:rPr>
          <w:color w:val="010202"/>
          <w:sz w:val="22"/>
        </w:rPr>
        <w:t>in</w:t>
      </w:r>
    </w:p>
    <w:p>
      <w:pPr>
        <w:pStyle w:val="BodyText"/>
        <w:spacing w:line="251" w:lineRule="exact" w:before="10"/>
        <w:ind w:left="879"/>
      </w:pPr>
      <w:r>
        <w:rPr>
          <w:color w:val="010202"/>
        </w:rPr>
        <w:t>Chapter 2</w:t>
      </w:r>
    </w:p>
    <w:p>
      <w:pPr>
        <w:pStyle w:val="ListParagraph"/>
        <w:numPr>
          <w:ilvl w:val="0"/>
          <w:numId w:val="19"/>
        </w:numPr>
        <w:tabs>
          <w:tab w:pos="879" w:val="left" w:leader="none"/>
          <w:tab w:pos="880" w:val="left" w:leader="none"/>
        </w:tabs>
        <w:spacing w:line="267" w:lineRule="exact" w:before="0" w:after="0"/>
        <w:ind w:left="879" w:right="0" w:hanging="361"/>
        <w:jc w:val="left"/>
        <w:rPr>
          <w:sz w:val="22"/>
        </w:rPr>
      </w:pPr>
      <w:r>
        <w:rPr>
          <w:color w:val="010202"/>
          <w:sz w:val="22"/>
        </w:rPr>
        <w:t>Be</w:t>
      </w:r>
      <w:r>
        <w:rPr>
          <w:color w:val="010202"/>
          <w:spacing w:val="-4"/>
          <w:sz w:val="22"/>
        </w:rPr>
        <w:t> </w:t>
      </w:r>
      <w:r>
        <w:rPr>
          <w:color w:val="010202"/>
          <w:sz w:val="22"/>
        </w:rPr>
        <w:t>replicable</w:t>
      </w:r>
      <w:r>
        <w:rPr>
          <w:color w:val="010202"/>
          <w:spacing w:val="-4"/>
          <w:sz w:val="22"/>
        </w:rPr>
        <w:t> </w:t>
      </w:r>
      <w:r>
        <w:rPr>
          <w:color w:val="010202"/>
          <w:sz w:val="22"/>
        </w:rPr>
        <w:t>(well-defined</w:t>
      </w:r>
      <w:r>
        <w:rPr>
          <w:color w:val="010202"/>
          <w:spacing w:val="-4"/>
          <w:sz w:val="22"/>
        </w:rPr>
        <w:t> </w:t>
      </w:r>
      <w:r>
        <w:rPr>
          <w:color w:val="010202"/>
          <w:sz w:val="22"/>
        </w:rPr>
        <w:t>with</w:t>
      </w:r>
      <w:r>
        <w:rPr>
          <w:color w:val="010202"/>
          <w:spacing w:val="-5"/>
          <w:sz w:val="22"/>
        </w:rPr>
        <w:t> </w:t>
      </w:r>
      <w:r>
        <w:rPr>
          <w:color w:val="010202"/>
          <w:sz w:val="22"/>
        </w:rPr>
        <w:t>guidance</w:t>
      </w:r>
    </w:p>
    <w:p>
      <w:pPr>
        <w:pStyle w:val="BodyText"/>
        <w:spacing w:line="251" w:lineRule="exact" w:before="10"/>
        <w:ind w:left="879"/>
      </w:pPr>
      <w:r>
        <w:rPr>
          <w:color w:val="010202"/>
        </w:rPr>
        <w:t>materials or a manual)</w:t>
      </w:r>
    </w:p>
    <w:p>
      <w:pPr>
        <w:pStyle w:val="ListParagraph"/>
        <w:numPr>
          <w:ilvl w:val="0"/>
          <w:numId w:val="19"/>
        </w:numPr>
        <w:tabs>
          <w:tab w:pos="879" w:val="left" w:leader="none"/>
          <w:tab w:pos="880" w:val="left" w:leader="none"/>
        </w:tabs>
        <w:spacing w:line="249" w:lineRule="auto" w:before="0" w:after="0"/>
        <w:ind w:left="879" w:right="196" w:hanging="360"/>
        <w:jc w:val="left"/>
        <w:rPr>
          <w:sz w:val="22"/>
        </w:rPr>
      </w:pPr>
      <w:r>
        <w:rPr>
          <w:color w:val="010202"/>
          <w:sz w:val="22"/>
        </w:rPr>
        <w:t>Have research to support their impact on HIV</w:t>
      </w:r>
      <w:r>
        <w:rPr>
          <w:color w:val="010202"/>
          <w:spacing w:val="1"/>
          <w:sz w:val="22"/>
        </w:rPr>
        <w:t> </w:t>
      </w:r>
      <w:r>
        <w:rPr>
          <w:color w:val="010202"/>
          <w:sz w:val="22"/>
        </w:rPr>
        <w:t>and</w:t>
      </w:r>
      <w:r>
        <w:rPr>
          <w:color w:val="010202"/>
          <w:spacing w:val="-4"/>
          <w:sz w:val="22"/>
        </w:rPr>
        <w:t> </w:t>
      </w:r>
      <w:r>
        <w:rPr>
          <w:color w:val="010202"/>
          <w:sz w:val="22"/>
        </w:rPr>
        <w:t>mental</w:t>
      </w:r>
      <w:r>
        <w:rPr>
          <w:color w:val="010202"/>
          <w:spacing w:val="-4"/>
          <w:sz w:val="22"/>
        </w:rPr>
        <w:t> </w:t>
      </w:r>
      <w:r>
        <w:rPr>
          <w:color w:val="010202"/>
          <w:sz w:val="22"/>
        </w:rPr>
        <w:t>illness</w:t>
      </w:r>
      <w:r>
        <w:rPr>
          <w:color w:val="010202"/>
          <w:spacing w:val="-3"/>
          <w:sz w:val="22"/>
        </w:rPr>
        <w:t> </w:t>
      </w:r>
      <w:r>
        <w:rPr>
          <w:color w:val="010202"/>
          <w:sz w:val="22"/>
        </w:rPr>
        <w:t>and/or</w:t>
      </w:r>
      <w:r>
        <w:rPr>
          <w:color w:val="010202"/>
          <w:spacing w:val="-4"/>
          <w:sz w:val="22"/>
        </w:rPr>
        <w:t> </w:t>
      </w:r>
      <w:r>
        <w:rPr>
          <w:color w:val="010202"/>
          <w:sz w:val="22"/>
        </w:rPr>
        <w:t>SUD,</w:t>
      </w:r>
      <w:r>
        <w:rPr>
          <w:color w:val="010202"/>
          <w:spacing w:val="-4"/>
          <w:sz w:val="22"/>
        </w:rPr>
        <w:t> </w:t>
      </w:r>
      <w:r>
        <w:rPr>
          <w:color w:val="010202"/>
          <w:sz w:val="22"/>
        </w:rPr>
        <w:t>or</w:t>
      </w:r>
      <w:r>
        <w:rPr>
          <w:color w:val="010202"/>
          <w:spacing w:val="-4"/>
          <w:sz w:val="22"/>
        </w:rPr>
        <w:t> </w:t>
      </w:r>
      <w:r>
        <w:rPr>
          <w:color w:val="010202"/>
          <w:sz w:val="22"/>
        </w:rPr>
        <w:t>be</w:t>
      </w:r>
      <w:r>
        <w:rPr>
          <w:color w:val="010202"/>
          <w:spacing w:val="-3"/>
          <w:sz w:val="22"/>
        </w:rPr>
        <w:t> </w:t>
      </w:r>
      <w:r>
        <w:rPr>
          <w:color w:val="010202"/>
          <w:sz w:val="22"/>
        </w:rPr>
        <w:t>identified</w:t>
      </w:r>
      <w:r>
        <w:rPr>
          <w:color w:val="010202"/>
          <w:spacing w:val="-52"/>
          <w:sz w:val="22"/>
        </w:rPr>
        <w:t> </w:t>
      </w:r>
      <w:r>
        <w:rPr>
          <w:color w:val="010202"/>
          <w:sz w:val="22"/>
        </w:rPr>
        <w:t>as a promising practice</w:t>
      </w:r>
    </w:p>
    <w:p>
      <w:pPr>
        <w:spacing w:line="240" w:lineRule="auto" w:before="0"/>
        <w:rPr>
          <w:sz w:val="24"/>
        </w:rPr>
      </w:pPr>
      <w:r>
        <w:rPr/>
        <w:br w:type="column"/>
      </w:r>
      <w:r>
        <w:rPr>
          <w:sz w:val="24"/>
        </w:rPr>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8"/>
        <w:rPr>
          <w:sz w:val="28"/>
        </w:rPr>
      </w:pPr>
    </w:p>
    <w:p>
      <w:pPr>
        <w:pStyle w:val="ListParagraph"/>
        <w:numPr>
          <w:ilvl w:val="0"/>
          <w:numId w:val="19"/>
        </w:numPr>
        <w:tabs>
          <w:tab w:pos="879" w:val="left" w:leader="none"/>
          <w:tab w:pos="880" w:val="left" w:leader="none"/>
        </w:tabs>
        <w:spacing w:line="249" w:lineRule="auto" w:before="1" w:after="0"/>
        <w:ind w:left="879" w:right="899" w:hanging="360"/>
        <w:jc w:val="left"/>
        <w:rPr>
          <w:sz w:val="22"/>
        </w:rPr>
      </w:pPr>
      <w:r>
        <w:rPr>
          <w:color w:val="010202"/>
          <w:sz w:val="22"/>
        </w:rPr>
        <w:t>Provide</w:t>
      </w:r>
      <w:r>
        <w:rPr>
          <w:color w:val="010202"/>
          <w:spacing w:val="-4"/>
          <w:sz w:val="22"/>
        </w:rPr>
        <w:t> </w:t>
      </w:r>
      <w:r>
        <w:rPr>
          <w:color w:val="010202"/>
          <w:sz w:val="22"/>
        </w:rPr>
        <w:t>appropriate</w:t>
      </w:r>
      <w:r>
        <w:rPr>
          <w:color w:val="010202"/>
          <w:spacing w:val="-3"/>
          <w:sz w:val="22"/>
        </w:rPr>
        <w:t> </w:t>
      </w:r>
      <w:r>
        <w:rPr>
          <w:color w:val="010202"/>
          <w:sz w:val="22"/>
        </w:rPr>
        <w:t>and</w:t>
      </w:r>
      <w:r>
        <w:rPr>
          <w:color w:val="010202"/>
          <w:spacing w:val="-2"/>
          <w:sz w:val="22"/>
        </w:rPr>
        <w:t> </w:t>
      </w:r>
      <w:r>
        <w:rPr>
          <w:color w:val="010202"/>
          <w:sz w:val="22"/>
        </w:rPr>
        <w:t>effective</w:t>
      </w:r>
      <w:r>
        <w:rPr>
          <w:color w:val="010202"/>
          <w:spacing w:val="-3"/>
          <w:sz w:val="22"/>
        </w:rPr>
        <w:t> </w:t>
      </w:r>
      <w:r>
        <w:rPr>
          <w:color w:val="010202"/>
          <w:sz w:val="22"/>
        </w:rPr>
        <w:t>interventions</w:t>
      </w:r>
      <w:r>
        <w:rPr>
          <w:color w:val="010202"/>
          <w:spacing w:val="-52"/>
          <w:sz w:val="22"/>
        </w:rPr>
        <w:t> </w:t>
      </w:r>
      <w:r>
        <w:rPr>
          <w:color w:val="010202"/>
          <w:sz w:val="22"/>
        </w:rPr>
        <w:t>for varied geographic areas, practice settings,</w:t>
      </w:r>
      <w:r>
        <w:rPr>
          <w:color w:val="010202"/>
          <w:spacing w:val="1"/>
          <w:sz w:val="22"/>
        </w:rPr>
        <w:t> </w:t>
      </w:r>
      <w:r>
        <w:rPr>
          <w:color w:val="010202"/>
          <w:sz w:val="22"/>
        </w:rPr>
        <w:t>and diverse populations</w:t>
      </w:r>
    </w:p>
    <w:p>
      <w:pPr>
        <w:pStyle w:val="BodyText"/>
        <w:spacing w:line="266" w:lineRule="auto" w:before="197"/>
        <w:ind w:left="159" w:right="755"/>
      </w:pPr>
      <w:r>
        <w:rPr>
          <w:color w:val="231F20"/>
        </w:rPr>
        <w:t>Programs should implement practices with fidelity to</w:t>
      </w:r>
      <w:r>
        <w:rPr>
          <w:color w:val="231F20"/>
          <w:spacing w:val="1"/>
        </w:rPr>
        <w:t> </w:t>
      </w:r>
      <w:r>
        <w:rPr>
          <w:color w:val="231F20"/>
        </w:rPr>
        <w:t>evaluated models. Fidelity is the degree to which a</w:t>
      </w:r>
      <w:r>
        <w:rPr>
          <w:color w:val="231F20"/>
          <w:spacing w:val="1"/>
        </w:rPr>
        <w:t> </w:t>
      </w:r>
      <w:r>
        <w:rPr>
          <w:color w:val="231F20"/>
        </w:rPr>
        <w:t>program delivers a practice as intended and must be</w:t>
      </w:r>
      <w:r>
        <w:rPr>
          <w:color w:val="231F20"/>
          <w:spacing w:val="1"/>
        </w:rPr>
        <w:t> </w:t>
      </w:r>
      <w:r>
        <w:rPr>
          <w:color w:val="231F20"/>
          <w:spacing w:val="-1"/>
        </w:rPr>
        <w:t>maintained</w:t>
      </w:r>
      <w:r>
        <w:rPr>
          <w:color w:val="231F20"/>
          <w:spacing w:val="-13"/>
        </w:rPr>
        <w:t> </w:t>
      </w:r>
      <w:r>
        <w:rPr>
          <w:color w:val="231F20"/>
          <w:spacing w:val="-1"/>
        </w:rPr>
        <w:t>for</w:t>
      </w:r>
      <w:r>
        <w:rPr>
          <w:color w:val="231F20"/>
          <w:spacing w:val="-12"/>
        </w:rPr>
        <w:t> </w:t>
      </w:r>
      <w:r>
        <w:rPr>
          <w:color w:val="231F20"/>
          <w:spacing w:val="-1"/>
        </w:rPr>
        <w:t>desired</w:t>
      </w:r>
      <w:r>
        <w:rPr>
          <w:color w:val="231F20"/>
          <w:spacing w:val="-12"/>
        </w:rPr>
        <w:t> </w:t>
      </w:r>
      <w:r>
        <w:rPr>
          <w:color w:val="231F20"/>
          <w:spacing w:val="-1"/>
        </w:rPr>
        <w:t>therapy</w:t>
      </w:r>
      <w:r>
        <w:rPr>
          <w:color w:val="231F20"/>
          <w:spacing w:val="-12"/>
        </w:rPr>
        <w:t> </w:t>
      </w:r>
      <w:r>
        <w:rPr>
          <w:color w:val="231F20"/>
          <w:spacing w:val="-1"/>
        </w:rPr>
        <w:t>outcomes.</w:t>
      </w:r>
      <w:r>
        <w:rPr>
          <w:color w:val="231F20"/>
          <w:spacing w:val="-13"/>
        </w:rPr>
        <w:t> </w:t>
      </w:r>
      <w:r>
        <w:rPr>
          <w:color w:val="231F20"/>
          <w:spacing w:val="-1"/>
        </w:rPr>
        <w:t>However,</w:t>
      </w:r>
      <w:r>
        <w:rPr>
          <w:color w:val="231F20"/>
          <w:spacing w:val="-12"/>
        </w:rPr>
        <w:t> </w:t>
      </w:r>
      <w:r>
        <w:rPr>
          <w:color w:val="231F20"/>
          <w:spacing w:val="-1"/>
        </w:rPr>
        <w:t>many</w:t>
      </w:r>
      <w:r>
        <w:rPr>
          <w:color w:val="231F20"/>
          <w:spacing w:val="-52"/>
        </w:rPr>
        <w:t> </w:t>
      </w:r>
      <w:r>
        <w:rPr>
          <w:color w:val="231F20"/>
        </w:rPr>
        <w:t>programs adapt chosen practices to better serve their</w:t>
      </w:r>
      <w:r>
        <w:rPr>
          <w:color w:val="231F20"/>
          <w:spacing w:val="1"/>
        </w:rPr>
        <w:t> </w:t>
      </w:r>
      <w:r>
        <w:rPr>
          <w:color w:val="231F20"/>
          <w:spacing w:val="-2"/>
        </w:rPr>
        <w:t>clients. As practitioners modify practices </w:t>
      </w:r>
      <w:r>
        <w:rPr>
          <w:color w:val="231F20"/>
          <w:spacing w:val="-1"/>
        </w:rPr>
        <w:t>to address the</w:t>
      </w:r>
      <w:r>
        <w:rPr>
          <w:color w:val="231F20"/>
        </w:rPr>
        <w:t> </w:t>
      </w:r>
      <w:r>
        <w:rPr>
          <w:color w:val="231F20"/>
          <w:spacing w:val="-1"/>
        </w:rPr>
        <w:t>needs</w:t>
      </w:r>
      <w:r>
        <w:rPr>
          <w:color w:val="231F20"/>
          <w:spacing w:val="-13"/>
        </w:rPr>
        <w:t> </w:t>
      </w:r>
      <w:r>
        <w:rPr>
          <w:color w:val="231F20"/>
          <w:spacing w:val="-1"/>
        </w:rPr>
        <w:t>and</w:t>
      </w:r>
      <w:r>
        <w:rPr>
          <w:color w:val="231F20"/>
          <w:spacing w:val="-12"/>
        </w:rPr>
        <w:t> </w:t>
      </w:r>
      <w:r>
        <w:rPr>
          <w:color w:val="231F20"/>
          <w:spacing w:val="-1"/>
        </w:rPr>
        <w:t>constraints</w:t>
      </w:r>
      <w:r>
        <w:rPr>
          <w:color w:val="231F20"/>
          <w:spacing w:val="-12"/>
        </w:rPr>
        <w:t> </w:t>
      </w:r>
      <w:r>
        <w:rPr>
          <w:color w:val="231F20"/>
          <w:spacing w:val="-1"/>
        </w:rPr>
        <w:t>of</w:t>
      </w:r>
      <w:r>
        <w:rPr>
          <w:color w:val="231F20"/>
          <w:spacing w:val="-13"/>
        </w:rPr>
        <w:t> </w:t>
      </w:r>
      <w:r>
        <w:rPr>
          <w:color w:val="231F20"/>
          <w:spacing w:val="-1"/>
        </w:rPr>
        <w:t>their</w:t>
      </w:r>
      <w:r>
        <w:rPr>
          <w:color w:val="231F20"/>
          <w:spacing w:val="-12"/>
        </w:rPr>
        <w:t> </w:t>
      </w:r>
      <w:r>
        <w:rPr>
          <w:color w:val="231F20"/>
        </w:rPr>
        <w:t>population,</w:t>
      </w:r>
      <w:r>
        <w:rPr>
          <w:color w:val="231F20"/>
          <w:spacing w:val="-12"/>
        </w:rPr>
        <w:t> </w:t>
      </w:r>
      <w:r>
        <w:rPr>
          <w:color w:val="231F20"/>
        </w:rPr>
        <w:t>budget,</w:t>
      </w:r>
      <w:r>
        <w:rPr>
          <w:color w:val="231F20"/>
          <w:spacing w:val="-12"/>
        </w:rPr>
        <w:t> </w:t>
      </w:r>
      <w:r>
        <w:rPr>
          <w:color w:val="231F20"/>
        </w:rPr>
        <w:t>setting,</w:t>
      </w:r>
      <w:r>
        <w:rPr>
          <w:color w:val="231F20"/>
          <w:spacing w:val="1"/>
        </w:rPr>
        <w:t> </w:t>
      </w:r>
      <w:r>
        <w:rPr>
          <w:color w:val="231F20"/>
        </w:rPr>
        <w:t>and</w:t>
      </w:r>
      <w:r>
        <w:rPr>
          <w:color w:val="231F20"/>
          <w:spacing w:val="-12"/>
        </w:rPr>
        <w:t> </w:t>
      </w:r>
      <w:r>
        <w:rPr>
          <w:color w:val="231F20"/>
        </w:rPr>
        <w:t>other</w:t>
      </w:r>
      <w:r>
        <w:rPr>
          <w:color w:val="231F20"/>
          <w:spacing w:val="-12"/>
        </w:rPr>
        <w:t> </w:t>
      </w:r>
      <w:r>
        <w:rPr>
          <w:color w:val="231F20"/>
        </w:rPr>
        <w:t>local</w:t>
      </w:r>
      <w:r>
        <w:rPr>
          <w:color w:val="231F20"/>
          <w:spacing w:val="-12"/>
        </w:rPr>
        <w:t> </w:t>
      </w:r>
      <w:r>
        <w:rPr>
          <w:color w:val="231F20"/>
        </w:rPr>
        <w:t>factors,</w:t>
      </w:r>
      <w:r>
        <w:rPr>
          <w:color w:val="231F20"/>
          <w:spacing w:val="-12"/>
        </w:rPr>
        <w:t> </w:t>
      </w:r>
      <w:r>
        <w:rPr>
          <w:color w:val="231F20"/>
        </w:rPr>
        <w:t>they</w:t>
      </w:r>
      <w:r>
        <w:rPr>
          <w:color w:val="231F20"/>
          <w:spacing w:val="-12"/>
        </w:rPr>
        <w:t> </w:t>
      </w:r>
      <w:r>
        <w:rPr>
          <w:color w:val="231F20"/>
        </w:rPr>
        <w:t>should</w:t>
      </w:r>
      <w:r>
        <w:rPr>
          <w:color w:val="231F20"/>
          <w:spacing w:val="-13"/>
        </w:rPr>
        <w:t> </w:t>
      </w:r>
      <w:r>
        <w:rPr>
          <w:color w:val="231F20"/>
        </w:rPr>
        <w:t>strive</w:t>
      </w:r>
      <w:r>
        <w:rPr>
          <w:color w:val="231F20"/>
          <w:spacing w:val="-12"/>
        </w:rPr>
        <w:t> </w:t>
      </w:r>
      <w:r>
        <w:rPr>
          <w:color w:val="231F20"/>
        </w:rPr>
        <w:t>to</w:t>
      </w:r>
      <w:r>
        <w:rPr>
          <w:color w:val="231F20"/>
          <w:spacing w:val="-12"/>
        </w:rPr>
        <w:t> </w:t>
      </w:r>
      <w:r>
        <w:rPr>
          <w:color w:val="231F20"/>
        </w:rPr>
        <w:t>adhere</w:t>
      </w:r>
      <w:r>
        <w:rPr>
          <w:color w:val="231F20"/>
          <w:spacing w:val="-12"/>
        </w:rPr>
        <w:t> </w:t>
      </w:r>
      <w:r>
        <w:rPr>
          <w:color w:val="231F20"/>
        </w:rPr>
        <w:t>to</w:t>
      </w:r>
      <w:r>
        <w:rPr>
          <w:color w:val="231F20"/>
          <w:spacing w:val="-12"/>
        </w:rPr>
        <w:t> </w:t>
      </w:r>
      <w:r>
        <w:rPr>
          <w:color w:val="231F20"/>
        </w:rPr>
        <w:t>the</w:t>
      </w:r>
      <w:r>
        <w:rPr>
          <w:color w:val="231F20"/>
          <w:spacing w:val="1"/>
        </w:rPr>
        <w:t> </w:t>
      </w:r>
      <w:r>
        <w:rPr>
          <w:color w:val="231F20"/>
        </w:rPr>
        <w:t>practice’s</w:t>
      </w:r>
      <w:r>
        <w:rPr>
          <w:color w:val="231F20"/>
          <w:spacing w:val="-7"/>
        </w:rPr>
        <w:t> </w:t>
      </w:r>
      <w:r>
        <w:rPr>
          <w:color w:val="231F20"/>
        </w:rPr>
        <w:t>foundational</w:t>
      </w:r>
      <w:r>
        <w:rPr>
          <w:color w:val="231F20"/>
          <w:spacing w:val="-6"/>
        </w:rPr>
        <w:t> </w:t>
      </w:r>
      <w:r>
        <w:rPr>
          <w:color w:val="231F20"/>
        </w:rPr>
        <w:t>principles.</w:t>
      </w:r>
    </w:p>
    <w:p>
      <w:pPr>
        <w:spacing w:after="0" w:line="266" w:lineRule="auto"/>
        <w:sectPr>
          <w:type w:val="continuous"/>
          <w:pgSz w:w="12240" w:h="15840"/>
          <w:pgMar w:header="0" w:footer="666" w:top="1500" w:bottom="0" w:left="560" w:right="0"/>
          <w:cols w:num="2" w:equalWidth="0">
            <w:col w:w="5223" w:space="537"/>
            <w:col w:w="5920"/>
          </w:cols>
        </w:sectPr>
      </w:pPr>
    </w:p>
    <w:p>
      <w:pPr>
        <w:pStyle w:val="BodyText"/>
        <w:rPr>
          <w:sz w:val="20"/>
        </w:rPr>
      </w:pPr>
    </w:p>
    <w:p>
      <w:pPr>
        <w:pStyle w:val="BodyText"/>
        <w:spacing w:before="3"/>
        <w:rPr>
          <w:sz w:val="19"/>
        </w:rPr>
      </w:pPr>
    </w:p>
    <w:p>
      <w:pPr>
        <w:pStyle w:val="Heading2"/>
      </w:pPr>
      <w:bookmarkStart w:name="Faster Paths to Treatment" w:id="107"/>
      <w:bookmarkEnd w:id="107"/>
      <w:r>
        <w:rPr/>
      </w:r>
      <w:bookmarkStart w:name="Model Features and Elements" w:id="108"/>
      <w:bookmarkEnd w:id="108"/>
      <w:r>
        <w:rPr/>
      </w:r>
      <w:bookmarkStart w:name="Evidence-Based Practice Implemented by t" w:id="109"/>
      <w:bookmarkEnd w:id="109"/>
      <w:r>
        <w:rPr/>
      </w:r>
      <w:bookmarkStart w:name="Population of Focus" w:id="110"/>
      <w:bookmarkEnd w:id="110"/>
      <w:r>
        <w:rPr/>
      </w:r>
      <w:bookmarkStart w:name="Approximate Time Period (Duration)" w:id="111"/>
      <w:bookmarkEnd w:id="111"/>
      <w:r>
        <w:rPr/>
      </w:r>
      <w:bookmarkStart w:name="Related Resources" w:id="112"/>
      <w:bookmarkEnd w:id="112"/>
      <w:r>
        <w:rPr/>
      </w:r>
      <w:bookmarkStart w:name="Findings and Outcomes" w:id="113"/>
      <w:bookmarkEnd w:id="113"/>
      <w:r>
        <w:rPr/>
      </w:r>
      <w:r>
        <w:rPr>
          <w:color w:val="1C384B"/>
          <w:spacing w:val="-3"/>
        </w:rPr>
        <w:t>Faster</w:t>
      </w:r>
      <w:r>
        <w:rPr>
          <w:color w:val="1C384B"/>
          <w:spacing w:val="-26"/>
        </w:rPr>
        <w:t> </w:t>
      </w:r>
      <w:r>
        <w:rPr>
          <w:color w:val="1C384B"/>
          <w:spacing w:val="-3"/>
        </w:rPr>
        <w:t>Paths</w:t>
      </w:r>
      <w:r>
        <w:rPr>
          <w:color w:val="1C384B"/>
          <w:spacing w:val="-26"/>
        </w:rPr>
        <w:t> </w:t>
      </w:r>
      <w:r>
        <w:rPr>
          <w:color w:val="1C384B"/>
          <w:spacing w:val="-2"/>
        </w:rPr>
        <w:t>to</w:t>
      </w:r>
      <w:r>
        <w:rPr>
          <w:color w:val="1C384B"/>
          <w:spacing w:val="-26"/>
        </w:rPr>
        <w:t> </w:t>
      </w:r>
      <w:r>
        <w:rPr>
          <w:color w:val="1C384B"/>
          <w:spacing w:val="-2"/>
        </w:rPr>
        <w:t>Treatment</w:t>
      </w:r>
    </w:p>
    <w:p>
      <w:pPr>
        <w:pStyle w:val="BodyText"/>
        <w:spacing w:before="55"/>
        <w:ind w:left="160"/>
        <w:rPr>
          <w:rFonts w:ascii="Arial"/>
        </w:rPr>
      </w:pPr>
      <w:r>
        <w:rPr>
          <w:rFonts w:ascii="Arial"/>
          <w:color w:val="CE372E"/>
        </w:rPr>
        <w:t>Boston</w:t>
      </w:r>
      <w:r>
        <w:rPr>
          <w:rFonts w:ascii="Arial"/>
          <w:color w:val="CE372E"/>
          <w:spacing w:val="-15"/>
        </w:rPr>
        <w:t> </w:t>
      </w:r>
      <w:r>
        <w:rPr>
          <w:rFonts w:ascii="Arial"/>
          <w:color w:val="CE372E"/>
        </w:rPr>
        <w:t>Medical</w:t>
      </w:r>
      <w:r>
        <w:rPr>
          <w:rFonts w:ascii="Arial"/>
          <w:color w:val="CE372E"/>
          <w:spacing w:val="-15"/>
        </w:rPr>
        <w:t> </w:t>
      </w:r>
      <w:r>
        <w:rPr>
          <w:rFonts w:ascii="Arial"/>
          <w:color w:val="CE372E"/>
        </w:rPr>
        <w:t>Center</w:t>
      </w:r>
      <w:r>
        <w:rPr>
          <w:rFonts w:ascii="Arial"/>
          <w:color w:val="CE372E"/>
          <w:spacing w:val="-15"/>
        </w:rPr>
        <w:t> </w:t>
      </w:r>
      <w:r>
        <w:rPr>
          <w:rFonts w:ascii="Arial"/>
          <w:color w:val="CE372E"/>
        </w:rPr>
        <w:t>(Boston,</w:t>
      </w:r>
      <w:r>
        <w:rPr>
          <w:rFonts w:ascii="Arial"/>
          <w:color w:val="CE372E"/>
          <w:spacing w:val="-15"/>
        </w:rPr>
        <w:t> </w:t>
      </w:r>
      <w:r>
        <w:rPr>
          <w:rFonts w:ascii="Arial"/>
          <w:color w:val="CE372E"/>
        </w:rPr>
        <w:t>MA)</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9"/>
        <w:rPr>
          <w:rFonts w:ascii="Arial"/>
          <w:sz w:val="19"/>
        </w:rPr>
      </w:pPr>
    </w:p>
    <w:p>
      <w:pPr>
        <w:spacing w:after="0"/>
        <w:rPr>
          <w:rFonts w:ascii="Arial"/>
          <w:sz w:val="19"/>
        </w:rPr>
        <w:sectPr>
          <w:headerReference w:type="default" r:id="rId326"/>
          <w:footerReference w:type="default" r:id="rId327"/>
          <w:pgSz w:w="12240" w:h="15840"/>
          <w:pgMar w:header="0" w:footer="666" w:top="380" w:bottom="860" w:left="560" w:right="0"/>
        </w:sectPr>
      </w:pPr>
    </w:p>
    <w:p>
      <w:pPr>
        <w:pStyle w:val="BodyText"/>
        <w:spacing w:line="266" w:lineRule="auto" w:before="91"/>
        <w:ind w:left="160" w:right="501"/>
      </w:pPr>
      <w:r>
        <w:rPr/>
        <w:pict>
          <v:rect style="position:absolute;margin-left:0pt;margin-top:116.329102pt;width:612pt;height:1pt;mso-position-horizontal-relative:page;mso-position-vertical-relative:page;z-index:-18124288" id="docshape168" filled="true" fillcolor="#1c384b" stroked="false">
            <v:fill type="solid"/>
            <w10:wrap type="none"/>
          </v:rect>
        </w:pict>
      </w:r>
      <w:r>
        <w:rPr>
          <w:color w:val="231F20"/>
        </w:rPr>
        <w:t>Faster Paths to Treatment is a low-barrier SUD bridge</w:t>
      </w:r>
      <w:r>
        <w:rPr>
          <w:color w:val="231F20"/>
          <w:spacing w:val="1"/>
        </w:rPr>
        <w:t> </w:t>
      </w:r>
      <w:r>
        <w:rPr>
          <w:color w:val="231F20"/>
        </w:rPr>
        <w:t>clinic that opened in 2016 to address the opioid use</w:t>
      </w:r>
      <w:r>
        <w:rPr>
          <w:color w:val="231F20"/>
          <w:spacing w:val="1"/>
        </w:rPr>
        <w:t> </w:t>
      </w:r>
      <w:r>
        <w:rPr>
          <w:color w:val="231F20"/>
        </w:rPr>
        <w:t>disorder (OUD) epidemic and overdose crisis. It is part</w:t>
      </w:r>
      <w:r>
        <w:rPr>
          <w:color w:val="231F20"/>
          <w:spacing w:val="-52"/>
        </w:rPr>
        <w:t> </w:t>
      </w:r>
      <w:r>
        <w:rPr>
          <w:color w:val="231F20"/>
        </w:rPr>
        <w:t>of a network of SUD treatment programs at Boston</w:t>
      </w:r>
      <w:r>
        <w:rPr>
          <w:color w:val="231F20"/>
          <w:spacing w:val="1"/>
        </w:rPr>
        <w:t> </w:t>
      </w:r>
      <w:r>
        <w:rPr>
          <w:color w:val="231F20"/>
        </w:rPr>
        <w:t>Medical Center, and it uses a flexible, client-centered,</w:t>
      </w:r>
      <w:r>
        <w:rPr>
          <w:color w:val="231F20"/>
          <w:spacing w:val="1"/>
        </w:rPr>
        <w:t> </w:t>
      </w:r>
      <w:r>
        <w:rPr>
          <w:color w:val="231F20"/>
        </w:rPr>
        <w:t>harm-reduction model to provide rapid access to</w:t>
      </w:r>
      <w:r>
        <w:rPr>
          <w:color w:val="231F20"/>
          <w:spacing w:val="1"/>
        </w:rPr>
        <w:t> </w:t>
      </w:r>
      <w:r>
        <w:rPr>
          <w:color w:val="231F20"/>
        </w:rPr>
        <w:t>medications for OUD, outpatient medically-managed</w:t>
      </w:r>
      <w:r>
        <w:rPr>
          <w:color w:val="231F20"/>
          <w:spacing w:val="1"/>
        </w:rPr>
        <w:t> </w:t>
      </w:r>
      <w:r>
        <w:rPr>
          <w:color w:val="231F20"/>
        </w:rPr>
        <w:t>withdrawal, overdose and HIV prevention services,</w:t>
      </w:r>
      <w:r>
        <w:rPr>
          <w:color w:val="231F20"/>
          <w:spacing w:val="1"/>
        </w:rPr>
        <w:t> </w:t>
      </w:r>
      <w:r>
        <w:rPr>
          <w:color w:val="231F20"/>
        </w:rPr>
        <w:t>sexually transmitted infection testing and treatment,</w:t>
      </w:r>
      <w:r>
        <w:rPr>
          <w:color w:val="231F20"/>
          <w:spacing w:val="1"/>
        </w:rPr>
        <w:t> </w:t>
      </w:r>
      <w:r>
        <w:rPr>
          <w:color w:val="231F20"/>
        </w:rPr>
        <w:t>and linkage to long-term SUD treatment and primary/</w:t>
      </w:r>
      <w:r>
        <w:rPr>
          <w:color w:val="231F20"/>
          <w:spacing w:val="1"/>
        </w:rPr>
        <w:t> </w:t>
      </w:r>
      <w:r>
        <w:rPr>
          <w:color w:val="231F20"/>
        </w:rPr>
        <w:t>psychiatric care after stabilization. Faster Paths serves</w:t>
      </w:r>
      <w:r>
        <w:rPr>
          <w:color w:val="231F20"/>
          <w:spacing w:val="1"/>
        </w:rPr>
        <w:t> </w:t>
      </w:r>
      <w:r>
        <w:rPr>
          <w:color w:val="231F20"/>
        </w:rPr>
        <w:t>a</w:t>
      </w:r>
      <w:r>
        <w:rPr>
          <w:color w:val="231F20"/>
          <w:spacing w:val="-1"/>
        </w:rPr>
        <w:t> </w:t>
      </w:r>
      <w:r>
        <w:rPr>
          <w:color w:val="231F20"/>
        </w:rPr>
        <w:t>population with</w:t>
      </w:r>
      <w:r>
        <w:rPr>
          <w:color w:val="231F20"/>
          <w:spacing w:val="-1"/>
        </w:rPr>
        <w:t> </w:t>
      </w:r>
      <w:r>
        <w:rPr>
          <w:color w:val="231F20"/>
        </w:rPr>
        <w:t>high rates</w:t>
      </w:r>
      <w:r>
        <w:rPr>
          <w:color w:val="231F20"/>
          <w:spacing w:val="-1"/>
        </w:rPr>
        <w:t> </w:t>
      </w:r>
      <w:r>
        <w:rPr>
          <w:color w:val="231F20"/>
        </w:rPr>
        <w:t>of prior drug overdose,</w:t>
      </w:r>
    </w:p>
    <w:p>
      <w:pPr>
        <w:pStyle w:val="BodyText"/>
        <w:spacing w:line="266" w:lineRule="auto"/>
        <w:ind w:left="160" w:right="344"/>
      </w:pPr>
      <w:r>
        <w:rPr>
          <w:color w:val="231F20"/>
        </w:rPr>
        <w:t>polysubstance use, and homelessness. It is funded by the</w:t>
      </w:r>
      <w:r>
        <w:rPr>
          <w:color w:val="231F20"/>
          <w:spacing w:val="-52"/>
        </w:rPr>
        <w:t> </w:t>
      </w:r>
      <w:r>
        <w:rPr>
          <w:color w:val="231F20"/>
        </w:rPr>
        <w:t>Massachusetts Department of Public Health Bureau of</w:t>
      </w:r>
      <w:r>
        <w:rPr>
          <w:color w:val="231F20"/>
          <w:spacing w:val="1"/>
        </w:rPr>
        <w:t> </w:t>
      </w:r>
      <w:r>
        <w:rPr>
          <w:color w:val="231F20"/>
        </w:rPr>
        <w:t>Substance</w:t>
      </w:r>
      <w:r>
        <w:rPr>
          <w:color w:val="231F20"/>
          <w:spacing w:val="-14"/>
        </w:rPr>
        <w:t> </w:t>
      </w:r>
      <w:r>
        <w:rPr>
          <w:color w:val="231F20"/>
        </w:rPr>
        <w:t>Addiction</w:t>
      </w:r>
      <w:r>
        <w:rPr>
          <w:color w:val="231F20"/>
          <w:spacing w:val="-1"/>
        </w:rPr>
        <w:t> </w:t>
      </w:r>
      <w:r>
        <w:rPr>
          <w:color w:val="231F20"/>
        </w:rPr>
        <w:t>Services.</w:t>
      </w:r>
    </w:p>
    <w:p>
      <w:pPr>
        <w:pStyle w:val="Heading6"/>
        <w:spacing w:before="168"/>
      </w:pPr>
      <w:r>
        <w:rPr>
          <w:color w:val="CE384B"/>
        </w:rPr>
        <w:t>Model</w:t>
      </w:r>
      <w:r>
        <w:rPr>
          <w:color w:val="CE384B"/>
          <w:spacing w:val="-1"/>
        </w:rPr>
        <w:t> </w:t>
      </w:r>
      <w:r>
        <w:rPr>
          <w:color w:val="CE384B"/>
        </w:rPr>
        <w:t>Features and</w:t>
      </w:r>
      <w:r>
        <w:rPr>
          <w:color w:val="CE384B"/>
          <w:spacing w:val="-2"/>
        </w:rPr>
        <w:t> </w:t>
      </w:r>
      <w:r>
        <w:rPr>
          <w:color w:val="CE384B"/>
        </w:rPr>
        <w:t>Elements</w:t>
      </w:r>
    </w:p>
    <w:p>
      <w:pPr>
        <w:pStyle w:val="BodyText"/>
        <w:spacing w:line="266" w:lineRule="auto" w:before="118"/>
        <w:ind w:left="160" w:right="368"/>
      </w:pPr>
      <w:r>
        <w:rPr/>
        <w:drawing>
          <wp:anchor distT="0" distB="0" distL="0" distR="0" allowOverlap="1" layoutInCell="1" locked="0" behindDoc="0" simplePos="0" relativeHeight="15769088">
            <wp:simplePos x="0" y="0"/>
            <wp:positionH relativeFrom="page">
              <wp:posOffset>457200</wp:posOffset>
            </wp:positionH>
            <wp:positionV relativeFrom="paragraph">
              <wp:posOffset>1663667</wp:posOffset>
            </wp:positionV>
            <wp:extent cx="3371850" cy="2798064"/>
            <wp:effectExtent l="0" t="0" r="0" b="0"/>
            <wp:wrapNone/>
            <wp:docPr id="81" name="image32.png"/>
            <wp:cNvGraphicFramePr>
              <a:graphicFrameLocks noChangeAspect="1"/>
            </wp:cNvGraphicFramePr>
            <a:graphic>
              <a:graphicData uri="http://schemas.openxmlformats.org/drawingml/2006/picture">
                <pic:pic>
                  <pic:nvPicPr>
                    <pic:cNvPr id="82" name="image32.png"/>
                    <pic:cNvPicPr/>
                  </pic:nvPicPr>
                  <pic:blipFill>
                    <a:blip r:embed="rId328" cstate="print"/>
                    <a:stretch>
                      <a:fillRect/>
                    </a:stretch>
                  </pic:blipFill>
                  <pic:spPr>
                    <a:xfrm>
                      <a:off x="0" y="0"/>
                      <a:ext cx="3371850" cy="2798064"/>
                    </a:xfrm>
                    <a:prstGeom prst="rect">
                      <a:avLst/>
                    </a:prstGeom>
                  </pic:spPr>
                </pic:pic>
              </a:graphicData>
            </a:graphic>
          </wp:anchor>
        </w:drawing>
      </w:r>
      <w:r>
        <w:rPr>
          <w:color w:val="231F20"/>
        </w:rPr>
        <w:t>Recognizing the need for on-demand services, Faster</w:t>
      </w:r>
      <w:r>
        <w:rPr>
          <w:color w:val="231F20"/>
          <w:spacing w:val="1"/>
        </w:rPr>
        <w:t> </w:t>
      </w:r>
      <w:r>
        <w:rPr>
          <w:color w:val="231F20"/>
        </w:rPr>
        <w:t>Paths offers both scheduled and walk-in appointments</w:t>
      </w:r>
      <w:r>
        <w:rPr>
          <w:color w:val="231F20"/>
          <w:spacing w:val="1"/>
        </w:rPr>
        <w:t> </w:t>
      </w:r>
      <w:r>
        <w:rPr>
          <w:color w:val="231F20"/>
        </w:rPr>
        <w:t>and</w:t>
      </w:r>
      <w:r>
        <w:rPr>
          <w:color w:val="231F20"/>
          <w:spacing w:val="1"/>
        </w:rPr>
        <w:t> </w:t>
      </w:r>
      <w:r>
        <w:rPr>
          <w:color w:val="231F20"/>
        </w:rPr>
        <w:t>aims</w:t>
      </w:r>
      <w:r>
        <w:rPr>
          <w:color w:val="231F20"/>
          <w:spacing w:val="1"/>
        </w:rPr>
        <w:t> </w:t>
      </w:r>
      <w:r>
        <w:rPr>
          <w:color w:val="231F20"/>
        </w:rPr>
        <w:t>to</w:t>
      </w:r>
      <w:r>
        <w:rPr>
          <w:color w:val="231F20"/>
          <w:spacing w:val="1"/>
        </w:rPr>
        <w:t> </w:t>
      </w:r>
      <w:r>
        <w:rPr>
          <w:color w:val="231F20"/>
        </w:rPr>
        <w:t>provide</w:t>
      </w:r>
      <w:r>
        <w:rPr>
          <w:color w:val="231F20"/>
          <w:spacing w:val="2"/>
        </w:rPr>
        <w:t> </w:t>
      </w:r>
      <w:r>
        <w:rPr>
          <w:color w:val="231F20"/>
        </w:rPr>
        <w:t>same day</w:t>
      </w:r>
      <w:r>
        <w:rPr>
          <w:color w:val="231F20"/>
          <w:spacing w:val="1"/>
        </w:rPr>
        <w:t> </w:t>
      </w:r>
      <w:r>
        <w:rPr>
          <w:color w:val="231F20"/>
        </w:rPr>
        <w:t>access</w:t>
      </w:r>
      <w:r>
        <w:rPr>
          <w:color w:val="231F20"/>
          <w:spacing w:val="1"/>
        </w:rPr>
        <w:t> </w:t>
      </w:r>
      <w:r>
        <w:rPr>
          <w:color w:val="231F20"/>
        </w:rPr>
        <w:t>to</w:t>
      </w:r>
      <w:r>
        <w:rPr>
          <w:color w:val="231F20"/>
          <w:spacing w:val="2"/>
        </w:rPr>
        <w:t> </w:t>
      </w:r>
      <w:r>
        <w:rPr>
          <w:color w:val="231F20"/>
        </w:rPr>
        <w:t>buprenorphine</w:t>
      </w:r>
      <w:r>
        <w:rPr>
          <w:color w:val="231F20"/>
          <w:spacing w:val="1"/>
        </w:rPr>
        <w:t> </w:t>
      </w:r>
      <w:r>
        <w:rPr>
          <w:color w:val="231F20"/>
        </w:rPr>
        <w:t>(a form of medication for opioid use disorder) and HIV</w:t>
      </w:r>
      <w:r>
        <w:rPr>
          <w:color w:val="231F20"/>
          <w:spacing w:val="1"/>
        </w:rPr>
        <w:t> </w:t>
      </w:r>
      <w:r>
        <w:rPr>
          <w:color w:val="231F20"/>
        </w:rPr>
        <w:t>prevention services including testing, PrEP, and post-</w:t>
      </w:r>
      <w:r>
        <w:rPr>
          <w:color w:val="231F20"/>
          <w:spacing w:val="1"/>
        </w:rPr>
        <w:t> </w:t>
      </w:r>
      <w:r>
        <w:rPr>
          <w:color w:val="231F20"/>
        </w:rPr>
        <w:t>exposure prophylaxis (PEP). Same day services mitigate</w:t>
      </w:r>
      <w:r>
        <w:rPr>
          <w:color w:val="231F20"/>
          <w:spacing w:val="-53"/>
        </w:rPr>
        <w:t> </w:t>
      </w:r>
      <w:r>
        <w:rPr>
          <w:color w:val="231F20"/>
        </w:rPr>
        <w:t>the chance of loss to follow-up and support client</w:t>
      </w:r>
      <w:r>
        <w:rPr>
          <w:color w:val="231F20"/>
          <w:spacing w:val="1"/>
        </w:rPr>
        <w:t> </w:t>
      </w:r>
      <w:r>
        <w:rPr>
          <w:color w:val="231F20"/>
        </w:rPr>
        <w:t>engagement.</w:t>
      </w:r>
    </w:p>
    <w:p>
      <w:pPr>
        <w:spacing w:line="240" w:lineRule="auto" w:before="6" w:after="25"/>
        <w:rPr>
          <w:sz w:val="9"/>
        </w:rPr>
      </w:pPr>
      <w:r>
        <w:rPr/>
        <w:br w:type="column"/>
      </w:r>
      <w:r>
        <w:rPr>
          <w:sz w:val="9"/>
        </w:rPr>
      </w:r>
    </w:p>
    <w:p>
      <w:pPr>
        <w:pStyle w:val="BodyText"/>
        <w:ind w:left="159"/>
        <w:rPr>
          <w:sz w:val="20"/>
        </w:rPr>
      </w:pPr>
      <w:r>
        <w:rPr>
          <w:sz w:val="20"/>
        </w:rPr>
        <w:pict>
          <v:group style="width:253.45pt;height:371.5pt;mso-position-horizontal-relative:char;mso-position-vertical-relative:line" id="docshapegroup169" coordorigin="0,0" coordsize="5069,7430">
            <v:shape style="position:absolute;left:0;top:0;width:5069;height:7430" id="docshape170" coordorigin="0,0" coordsize="5069,7430" path="m4979,0l90,0,55,7,26,26,7,55,0,90,0,7340,7,7375,26,7403,55,7423,90,7430,4979,7430,5014,7423,5042,7403,5062,7375,5069,7340,5069,90,5062,55,5042,26,5014,7,4979,0xe" filled="true" fillcolor="#f7e0e0" stroked="false">
              <v:path arrowok="t"/>
              <v:fill type="solid"/>
            </v:shape>
            <v:shape style="position:absolute;left:0;top:0;width:5069;height:7430" type="#_x0000_t202" id="docshape171" filled="false" stroked="false">
              <v:textbox inset="0,0,0,0">
                <w:txbxContent>
                  <w:p>
                    <w:pPr>
                      <w:spacing w:line="211" w:lineRule="auto" w:before="147"/>
                      <w:ind w:left="180" w:right="423" w:firstLine="0"/>
                      <w:jc w:val="left"/>
                      <w:rPr>
                        <w:rFonts w:ascii="Arial Black"/>
                        <w:sz w:val="21"/>
                      </w:rPr>
                    </w:pPr>
                    <w:r>
                      <w:rPr>
                        <w:rFonts w:ascii="Arial Black"/>
                        <w:color w:val="CE384B"/>
                        <w:sz w:val="21"/>
                      </w:rPr>
                      <w:t>Evidence-Based Practice Implemented</w:t>
                    </w:r>
                    <w:r>
                      <w:rPr>
                        <w:rFonts w:ascii="Arial Black"/>
                        <w:color w:val="CE384B"/>
                        <w:spacing w:val="-68"/>
                        <w:sz w:val="21"/>
                      </w:rPr>
                      <w:t> </w:t>
                    </w:r>
                    <w:r>
                      <w:rPr>
                        <w:rFonts w:ascii="Arial Black"/>
                        <w:color w:val="CE384B"/>
                        <w:sz w:val="21"/>
                      </w:rPr>
                      <w:t>by</w:t>
                    </w:r>
                    <w:r>
                      <w:rPr>
                        <w:rFonts w:ascii="Arial Black"/>
                        <w:color w:val="CE384B"/>
                        <w:spacing w:val="-1"/>
                        <w:sz w:val="21"/>
                      </w:rPr>
                      <w:t> </w:t>
                    </w:r>
                    <w:r>
                      <w:rPr>
                        <w:rFonts w:ascii="Arial Black"/>
                        <w:color w:val="CE384B"/>
                        <w:sz w:val="21"/>
                      </w:rPr>
                      <w:t>the</w:t>
                    </w:r>
                    <w:r>
                      <w:rPr>
                        <w:rFonts w:ascii="Arial Black"/>
                        <w:color w:val="CE384B"/>
                        <w:spacing w:val="-1"/>
                        <w:sz w:val="21"/>
                      </w:rPr>
                      <w:t> </w:t>
                    </w:r>
                    <w:r>
                      <w:rPr>
                        <w:rFonts w:ascii="Arial Black"/>
                        <w:color w:val="CE384B"/>
                        <w:sz w:val="21"/>
                      </w:rPr>
                      <w:t>Program</w:t>
                    </w:r>
                  </w:p>
                  <w:p>
                    <w:pPr>
                      <w:spacing w:line="259" w:lineRule="auto" w:before="125"/>
                      <w:ind w:left="180" w:right="423" w:firstLine="0"/>
                      <w:jc w:val="left"/>
                      <w:rPr>
                        <w:rFonts w:ascii="Arial"/>
                        <w:sz w:val="21"/>
                      </w:rPr>
                    </w:pPr>
                    <w:r>
                      <w:rPr>
                        <w:rFonts w:ascii="Arial"/>
                        <w:color w:val="010202"/>
                        <w:sz w:val="21"/>
                      </w:rPr>
                      <w:t>Practices</w:t>
                    </w:r>
                    <w:r>
                      <w:rPr>
                        <w:rFonts w:ascii="Arial"/>
                        <w:color w:val="010202"/>
                        <w:spacing w:val="-4"/>
                        <w:sz w:val="21"/>
                      </w:rPr>
                      <w:t> </w:t>
                    </w:r>
                    <w:r>
                      <w:rPr>
                        <w:rFonts w:ascii="Arial"/>
                        <w:color w:val="010202"/>
                        <w:sz w:val="21"/>
                      </w:rPr>
                      <w:t>to</w:t>
                    </w:r>
                    <w:r>
                      <w:rPr>
                        <w:rFonts w:ascii="Arial"/>
                        <w:color w:val="010202"/>
                        <w:spacing w:val="-3"/>
                        <w:sz w:val="21"/>
                      </w:rPr>
                      <w:t> </w:t>
                    </w:r>
                    <w:r>
                      <w:rPr>
                        <w:rFonts w:ascii="Arial"/>
                        <w:color w:val="010202"/>
                        <w:sz w:val="21"/>
                      </w:rPr>
                      <w:t>increase</w:t>
                    </w:r>
                    <w:r>
                      <w:rPr>
                        <w:rFonts w:ascii="Arial"/>
                        <w:color w:val="010202"/>
                        <w:spacing w:val="-5"/>
                        <w:sz w:val="21"/>
                      </w:rPr>
                      <w:t> </w:t>
                    </w:r>
                    <w:r>
                      <w:rPr>
                        <w:rFonts w:ascii="Arial"/>
                        <w:color w:val="010202"/>
                        <w:sz w:val="21"/>
                      </w:rPr>
                      <w:t>uptake</w:t>
                    </w:r>
                    <w:r>
                      <w:rPr>
                        <w:rFonts w:ascii="Arial"/>
                        <w:color w:val="010202"/>
                        <w:spacing w:val="-4"/>
                        <w:sz w:val="21"/>
                      </w:rPr>
                      <w:t> </w:t>
                    </w:r>
                    <w:r>
                      <w:rPr>
                        <w:rFonts w:ascii="Arial"/>
                        <w:color w:val="010202"/>
                        <w:sz w:val="21"/>
                      </w:rPr>
                      <w:t>of</w:t>
                    </w:r>
                    <w:r>
                      <w:rPr>
                        <w:rFonts w:ascii="Arial"/>
                        <w:color w:val="010202"/>
                        <w:spacing w:val="-4"/>
                        <w:sz w:val="21"/>
                      </w:rPr>
                      <w:t> </w:t>
                    </w:r>
                    <w:r>
                      <w:rPr>
                        <w:rFonts w:ascii="Arial"/>
                        <w:color w:val="010202"/>
                        <w:sz w:val="21"/>
                      </w:rPr>
                      <w:t>and</w:t>
                    </w:r>
                    <w:r>
                      <w:rPr>
                        <w:rFonts w:ascii="Arial"/>
                        <w:color w:val="010202"/>
                        <w:spacing w:val="-5"/>
                        <w:sz w:val="21"/>
                      </w:rPr>
                      <w:t> </w:t>
                    </w:r>
                    <w:r>
                      <w:rPr>
                        <w:rFonts w:ascii="Arial"/>
                        <w:color w:val="010202"/>
                        <w:sz w:val="21"/>
                      </w:rPr>
                      <w:t>improve</w:t>
                    </w:r>
                    <w:r>
                      <w:rPr>
                        <w:rFonts w:ascii="Arial"/>
                        <w:color w:val="010202"/>
                        <w:spacing w:val="-56"/>
                        <w:sz w:val="21"/>
                      </w:rPr>
                      <w:t> </w:t>
                    </w:r>
                    <w:r>
                      <w:rPr>
                        <w:rFonts w:ascii="Arial"/>
                        <w:color w:val="010202"/>
                        <w:sz w:val="21"/>
                      </w:rPr>
                      <w:t>adherence</w:t>
                    </w:r>
                    <w:r>
                      <w:rPr>
                        <w:rFonts w:ascii="Arial"/>
                        <w:color w:val="010202"/>
                        <w:spacing w:val="-2"/>
                        <w:sz w:val="21"/>
                      </w:rPr>
                      <w:t> </w:t>
                    </w:r>
                    <w:r>
                      <w:rPr>
                        <w:rFonts w:ascii="Arial"/>
                        <w:color w:val="010202"/>
                        <w:sz w:val="21"/>
                      </w:rPr>
                      <w:t>to PrEP</w:t>
                    </w:r>
                  </w:p>
                  <w:p>
                    <w:pPr>
                      <w:spacing w:before="144"/>
                      <w:ind w:left="180" w:right="0" w:firstLine="0"/>
                      <w:jc w:val="left"/>
                      <w:rPr>
                        <w:rFonts w:ascii="Arial Black"/>
                        <w:sz w:val="21"/>
                      </w:rPr>
                    </w:pPr>
                    <w:r>
                      <w:rPr>
                        <w:rFonts w:ascii="Arial Black"/>
                        <w:color w:val="CE384B"/>
                        <w:sz w:val="21"/>
                      </w:rPr>
                      <w:t>Population</w:t>
                    </w:r>
                    <w:r>
                      <w:rPr>
                        <w:rFonts w:ascii="Arial Black"/>
                        <w:color w:val="CE384B"/>
                        <w:spacing w:val="-7"/>
                        <w:sz w:val="21"/>
                      </w:rPr>
                      <w:t> </w:t>
                    </w:r>
                    <w:r>
                      <w:rPr>
                        <w:rFonts w:ascii="Arial Black"/>
                        <w:color w:val="CE384B"/>
                        <w:sz w:val="21"/>
                      </w:rPr>
                      <w:t>of</w:t>
                    </w:r>
                    <w:r>
                      <w:rPr>
                        <w:rFonts w:ascii="Arial Black"/>
                        <w:color w:val="CE384B"/>
                        <w:spacing w:val="5"/>
                        <w:sz w:val="21"/>
                      </w:rPr>
                      <w:t> </w:t>
                    </w:r>
                    <w:r>
                      <w:rPr>
                        <w:rFonts w:ascii="Arial Black"/>
                        <w:color w:val="CE384B"/>
                        <w:sz w:val="21"/>
                      </w:rPr>
                      <w:t>Focus</w:t>
                    </w:r>
                  </w:p>
                  <w:p>
                    <w:pPr>
                      <w:spacing w:line="259" w:lineRule="auto" w:before="118"/>
                      <w:ind w:left="180" w:right="0" w:firstLine="0"/>
                      <w:jc w:val="left"/>
                      <w:rPr>
                        <w:rFonts w:ascii="Arial"/>
                        <w:sz w:val="21"/>
                      </w:rPr>
                    </w:pPr>
                    <w:r>
                      <w:rPr>
                        <w:rFonts w:ascii="Arial"/>
                        <w:color w:val="010202"/>
                        <w:sz w:val="21"/>
                      </w:rPr>
                      <w:t>People who use substances; 66 percent of clinic</w:t>
                    </w:r>
                    <w:r>
                      <w:rPr>
                        <w:rFonts w:ascii="Arial"/>
                        <w:color w:val="010202"/>
                        <w:spacing w:val="1"/>
                        <w:sz w:val="21"/>
                      </w:rPr>
                      <w:t> </w:t>
                    </w:r>
                    <w:r>
                      <w:rPr>
                        <w:rFonts w:ascii="Arial"/>
                        <w:color w:val="010202"/>
                        <w:sz w:val="21"/>
                      </w:rPr>
                      <w:t>clients</w:t>
                    </w:r>
                    <w:r>
                      <w:rPr>
                        <w:rFonts w:ascii="Arial"/>
                        <w:color w:val="010202"/>
                        <w:spacing w:val="-5"/>
                        <w:sz w:val="21"/>
                      </w:rPr>
                      <w:t> </w:t>
                    </w:r>
                    <w:r>
                      <w:rPr>
                        <w:rFonts w:ascii="Arial"/>
                        <w:color w:val="010202"/>
                        <w:sz w:val="21"/>
                      </w:rPr>
                      <w:t>report</w:t>
                    </w:r>
                    <w:r>
                      <w:rPr>
                        <w:rFonts w:ascii="Arial"/>
                        <w:color w:val="010202"/>
                        <w:spacing w:val="-5"/>
                        <w:sz w:val="21"/>
                      </w:rPr>
                      <w:t> </w:t>
                    </w:r>
                    <w:r>
                      <w:rPr>
                        <w:rFonts w:ascii="Arial"/>
                        <w:color w:val="010202"/>
                        <w:sz w:val="21"/>
                      </w:rPr>
                      <w:t>injection</w:t>
                    </w:r>
                    <w:r>
                      <w:rPr>
                        <w:rFonts w:ascii="Arial"/>
                        <w:color w:val="010202"/>
                        <w:spacing w:val="-6"/>
                        <w:sz w:val="21"/>
                      </w:rPr>
                      <w:t> </w:t>
                    </w:r>
                    <w:r>
                      <w:rPr>
                        <w:rFonts w:ascii="Arial"/>
                        <w:color w:val="010202"/>
                        <w:sz w:val="21"/>
                      </w:rPr>
                      <w:t>drug</w:t>
                    </w:r>
                    <w:r>
                      <w:rPr>
                        <w:rFonts w:ascii="Arial"/>
                        <w:color w:val="010202"/>
                        <w:spacing w:val="-5"/>
                        <w:sz w:val="21"/>
                      </w:rPr>
                      <w:t> </w:t>
                    </w:r>
                    <w:r>
                      <w:rPr>
                        <w:rFonts w:ascii="Arial"/>
                        <w:color w:val="010202"/>
                        <w:sz w:val="21"/>
                      </w:rPr>
                      <w:t>behavior.</w:t>
                    </w:r>
                    <w:r>
                      <w:rPr>
                        <w:rFonts w:ascii="Arial"/>
                        <w:color w:val="010202"/>
                        <w:spacing w:val="-5"/>
                        <w:sz w:val="21"/>
                      </w:rPr>
                      <w:t> </w:t>
                    </w:r>
                    <w:r>
                      <w:rPr>
                        <w:rFonts w:ascii="Arial"/>
                        <w:color w:val="010202"/>
                        <w:sz w:val="21"/>
                      </w:rPr>
                      <w:t>Many</w:t>
                    </w:r>
                    <w:r>
                      <w:rPr>
                        <w:rFonts w:ascii="Arial"/>
                        <w:color w:val="010202"/>
                        <w:spacing w:val="-5"/>
                        <w:sz w:val="21"/>
                      </w:rPr>
                      <w:t> </w:t>
                    </w:r>
                    <w:r>
                      <w:rPr>
                        <w:rFonts w:ascii="Arial"/>
                        <w:color w:val="010202"/>
                        <w:sz w:val="21"/>
                      </w:rPr>
                      <w:t>clients</w:t>
                    </w:r>
                    <w:r>
                      <w:rPr>
                        <w:rFonts w:ascii="Arial"/>
                        <w:color w:val="010202"/>
                        <w:spacing w:val="-56"/>
                        <w:sz w:val="21"/>
                      </w:rPr>
                      <w:t> </w:t>
                    </w:r>
                    <w:r>
                      <w:rPr>
                        <w:rFonts w:ascii="Arial"/>
                        <w:color w:val="010202"/>
                        <w:sz w:val="21"/>
                      </w:rPr>
                      <w:t>have co-occurring psychiatric disorders and face</w:t>
                    </w:r>
                    <w:r>
                      <w:rPr>
                        <w:rFonts w:ascii="Arial"/>
                        <w:color w:val="010202"/>
                        <w:spacing w:val="1"/>
                        <w:sz w:val="21"/>
                      </w:rPr>
                      <w:t> </w:t>
                    </w:r>
                    <w:r>
                      <w:rPr>
                        <w:rFonts w:ascii="Arial"/>
                        <w:color w:val="010202"/>
                        <w:sz w:val="21"/>
                      </w:rPr>
                      <w:t>significant psychosocial barriers to care, including</w:t>
                    </w:r>
                    <w:r>
                      <w:rPr>
                        <w:rFonts w:ascii="Arial"/>
                        <w:color w:val="010202"/>
                        <w:spacing w:val="-56"/>
                        <w:sz w:val="21"/>
                      </w:rPr>
                      <w:t> </w:t>
                    </w:r>
                    <w:r>
                      <w:rPr>
                        <w:rFonts w:ascii="Arial"/>
                        <w:color w:val="010202"/>
                        <w:sz w:val="21"/>
                      </w:rPr>
                      <w:t>housing</w:t>
                    </w:r>
                    <w:r>
                      <w:rPr>
                        <w:rFonts w:ascii="Arial"/>
                        <w:color w:val="010202"/>
                        <w:spacing w:val="-2"/>
                        <w:sz w:val="21"/>
                      </w:rPr>
                      <w:t> </w:t>
                    </w:r>
                    <w:r>
                      <w:rPr>
                        <w:rFonts w:ascii="Arial"/>
                        <w:color w:val="010202"/>
                        <w:sz w:val="21"/>
                      </w:rPr>
                      <w:t>instability.</w:t>
                    </w:r>
                  </w:p>
                  <w:p>
                    <w:pPr>
                      <w:spacing w:before="142"/>
                      <w:ind w:left="180" w:right="0" w:firstLine="0"/>
                      <w:jc w:val="left"/>
                      <w:rPr>
                        <w:rFonts w:ascii="Arial Black"/>
                        <w:sz w:val="21"/>
                      </w:rPr>
                    </w:pPr>
                    <w:r>
                      <w:rPr>
                        <w:rFonts w:ascii="Arial Black"/>
                        <w:color w:val="CE384B"/>
                        <w:sz w:val="21"/>
                      </w:rPr>
                      <w:t>Approximate</w:t>
                    </w:r>
                    <w:r>
                      <w:rPr>
                        <w:rFonts w:ascii="Arial Black"/>
                        <w:color w:val="CE384B"/>
                        <w:spacing w:val="-6"/>
                        <w:sz w:val="21"/>
                      </w:rPr>
                      <w:t> </w:t>
                    </w:r>
                    <w:r>
                      <w:rPr>
                        <w:rFonts w:ascii="Arial Black"/>
                        <w:color w:val="CE384B"/>
                        <w:sz w:val="21"/>
                      </w:rPr>
                      <w:t>Time</w:t>
                    </w:r>
                    <w:r>
                      <w:rPr>
                        <w:rFonts w:ascii="Arial Black"/>
                        <w:color w:val="CE384B"/>
                        <w:spacing w:val="-6"/>
                        <w:sz w:val="21"/>
                      </w:rPr>
                      <w:t> </w:t>
                    </w:r>
                    <w:r>
                      <w:rPr>
                        <w:rFonts w:ascii="Arial Black"/>
                        <w:color w:val="CE384B"/>
                        <w:sz w:val="21"/>
                      </w:rPr>
                      <w:t>Period</w:t>
                    </w:r>
                    <w:r>
                      <w:rPr>
                        <w:rFonts w:ascii="Arial Black"/>
                        <w:color w:val="CE384B"/>
                        <w:spacing w:val="-6"/>
                        <w:sz w:val="21"/>
                      </w:rPr>
                      <w:t> </w:t>
                    </w:r>
                    <w:r>
                      <w:rPr>
                        <w:rFonts w:ascii="Arial Black"/>
                        <w:color w:val="CE384B"/>
                        <w:sz w:val="21"/>
                      </w:rPr>
                      <w:t>(Duration)</w:t>
                    </w:r>
                  </w:p>
                  <w:p>
                    <w:pPr>
                      <w:spacing w:line="259" w:lineRule="auto" w:before="118"/>
                      <w:ind w:left="180" w:right="457" w:firstLine="0"/>
                      <w:jc w:val="left"/>
                      <w:rPr>
                        <w:rFonts w:ascii="Arial"/>
                        <w:sz w:val="21"/>
                      </w:rPr>
                    </w:pPr>
                    <w:r>
                      <w:rPr>
                        <w:rFonts w:ascii="Arial"/>
                        <w:color w:val="010202"/>
                        <w:sz w:val="21"/>
                      </w:rPr>
                      <w:t>Clients are typically followed in Faster Paths for</w:t>
                    </w:r>
                    <w:r>
                      <w:rPr>
                        <w:rFonts w:ascii="Arial"/>
                        <w:color w:val="010202"/>
                        <w:spacing w:val="-56"/>
                        <w:sz w:val="21"/>
                      </w:rPr>
                      <w:t> </w:t>
                    </w:r>
                    <w:r>
                      <w:rPr>
                        <w:rFonts w:ascii="Arial"/>
                        <w:color w:val="010202"/>
                        <w:sz w:val="21"/>
                      </w:rPr>
                      <w:t>weeks</w:t>
                    </w:r>
                    <w:r>
                      <w:rPr>
                        <w:rFonts w:ascii="Arial"/>
                        <w:color w:val="010202"/>
                        <w:spacing w:val="-2"/>
                        <w:sz w:val="21"/>
                      </w:rPr>
                      <w:t> </w:t>
                    </w:r>
                    <w:r>
                      <w:rPr>
                        <w:rFonts w:ascii="Arial"/>
                        <w:color w:val="010202"/>
                        <w:sz w:val="21"/>
                      </w:rPr>
                      <w:t>to months</w:t>
                    </w:r>
                  </w:p>
                  <w:p>
                    <w:pPr>
                      <w:spacing w:before="144"/>
                      <w:ind w:left="180" w:right="0" w:firstLine="0"/>
                      <w:jc w:val="left"/>
                      <w:rPr>
                        <w:rFonts w:ascii="Arial Black"/>
                        <w:sz w:val="21"/>
                      </w:rPr>
                    </w:pPr>
                    <w:r>
                      <w:rPr>
                        <w:rFonts w:ascii="Arial Black"/>
                        <w:color w:val="CE384B"/>
                        <w:sz w:val="21"/>
                      </w:rPr>
                      <w:t>Related</w:t>
                    </w:r>
                    <w:r>
                      <w:rPr>
                        <w:rFonts w:ascii="Arial Black"/>
                        <w:color w:val="CE384B"/>
                        <w:spacing w:val="-8"/>
                        <w:sz w:val="21"/>
                      </w:rPr>
                      <w:t> </w:t>
                    </w:r>
                    <w:r>
                      <w:rPr>
                        <w:rFonts w:ascii="Arial Black"/>
                        <w:color w:val="CE384B"/>
                        <w:sz w:val="21"/>
                      </w:rPr>
                      <w:t>Resources</w:t>
                    </w:r>
                  </w:p>
                  <w:p>
                    <w:pPr>
                      <w:spacing w:before="118"/>
                      <w:ind w:left="180" w:right="0" w:firstLine="0"/>
                      <w:jc w:val="left"/>
                      <w:rPr>
                        <w:rFonts w:ascii="Arial"/>
                        <w:sz w:val="21"/>
                      </w:rPr>
                    </w:pPr>
                    <w:hyperlink r:id="rId329">
                      <w:r>
                        <w:rPr>
                          <w:rFonts w:ascii="Arial"/>
                          <w:color w:val="3953A4"/>
                          <w:sz w:val="21"/>
                          <w:u w:val="single" w:color="3953A4"/>
                        </w:rPr>
                        <w:t>Program</w:t>
                      </w:r>
                      <w:r>
                        <w:rPr>
                          <w:rFonts w:ascii="Arial"/>
                          <w:color w:val="3953A4"/>
                          <w:spacing w:val="-5"/>
                          <w:sz w:val="21"/>
                          <w:u w:val="single" w:color="3953A4"/>
                        </w:rPr>
                        <w:t> </w:t>
                      </w:r>
                      <w:r>
                        <w:rPr>
                          <w:rFonts w:ascii="Arial"/>
                          <w:color w:val="3953A4"/>
                          <w:sz w:val="21"/>
                          <w:u w:val="single" w:color="3953A4"/>
                        </w:rPr>
                        <w:t>Website</w:t>
                      </w:r>
                    </w:hyperlink>
                  </w:p>
                  <w:p>
                    <w:pPr>
                      <w:spacing w:line="240" w:lineRule="auto" w:before="3"/>
                      <w:rPr>
                        <w:rFonts w:ascii="Arial"/>
                        <w:sz w:val="17"/>
                      </w:rPr>
                    </w:pPr>
                  </w:p>
                  <w:p>
                    <w:pPr>
                      <w:spacing w:line="259" w:lineRule="auto" w:before="0"/>
                      <w:ind w:left="180" w:right="356" w:firstLine="0"/>
                      <w:jc w:val="left"/>
                      <w:rPr>
                        <w:rFonts w:ascii="Arial"/>
                        <w:sz w:val="21"/>
                      </w:rPr>
                    </w:pPr>
                    <w:hyperlink r:id="rId330">
                      <w:r>
                        <w:rPr>
                          <w:rFonts w:ascii="Arial"/>
                          <w:color w:val="3953A4"/>
                          <w:sz w:val="21"/>
                          <w:u w:val="single" w:color="3953A4"/>
                        </w:rPr>
                        <w:t>Taylor,</w:t>
                      </w:r>
                      <w:r>
                        <w:rPr>
                          <w:rFonts w:ascii="Arial"/>
                          <w:color w:val="3953A4"/>
                          <w:spacing w:val="-11"/>
                          <w:sz w:val="21"/>
                          <w:u w:val="single" w:color="3953A4"/>
                        </w:rPr>
                        <w:t> </w:t>
                      </w:r>
                      <w:r>
                        <w:rPr>
                          <w:rFonts w:ascii="Arial"/>
                          <w:color w:val="3953A4"/>
                          <w:sz w:val="21"/>
                          <w:u w:val="single" w:color="3953A4"/>
                        </w:rPr>
                        <w:t>J.</w:t>
                      </w:r>
                      <w:r>
                        <w:rPr>
                          <w:rFonts w:ascii="Arial"/>
                          <w:color w:val="3953A4"/>
                          <w:spacing w:val="-11"/>
                          <w:sz w:val="21"/>
                          <w:u w:val="single" w:color="3953A4"/>
                        </w:rPr>
                        <w:t> </w:t>
                      </w:r>
                      <w:r>
                        <w:rPr>
                          <w:rFonts w:ascii="Arial"/>
                          <w:color w:val="3953A4"/>
                          <w:sz w:val="21"/>
                          <w:u w:val="single" w:color="3953A4"/>
                        </w:rPr>
                        <w:t>L.,</w:t>
                      </w:r>
                      <w:r>
                        <w:rPr>
                          <w:rFonts w:ascii="Arial"/>
                          <w:color w:val="3953A4"/>
                          <w:spacing w:val="-11"/>
                          <w:sz w:val="21"/>
                          <w:u w:val="single" w:color="3953A4"/>
                        </w:rPr>
                        <w:t> </w:t>
                      </w:r>
                      <w:r>
                        <w:rPr>
                          <w:rFonts w:ascii="Arial"/>
                          <w:color w:val="3953A4"/>
                          <w:sz w:val="21"/>
                          <w:u w:val="single" w:color="3953A4"/>
                        </w:rPr>
                        <w:t>Walley,</w:t>
                      </w:r>
                      <w:r>
                        <w:rPr>
                          <w:rFonts w:ascii="Arial"/>
                          <w:color w:val="3953A4"/>
                          <w:spacing w:val="-10"/>
                          <w:sz w:val="21"/>
                          <w:u w:val="single" w:color="3953A4"/>
                        </w:rPr>
                        <w:t> </w:t>
                      </w:r>
                      <w:r>
                        <w:rPr>
                          <w:rFonts w:ascii="Arial"/>
                          <w:color w:val="3953A4"/>
                          <w:sz w:val="21"/>
                          <w:u w:val="single" w:color="3953A4"/>
                        </w:rPr>
                        <w:t>A.</w:t>
                      </w:r>
                      <w:r>
                        <w:rPr>
                          <w:rFonts w:ascii="Arial"/>
                          <w:color w:val="3953A4"/>
                          <w:spacing w:val="-10"/>
                          <w:sz w:val="21"/>
                          <w:u w:val="single" w:color="3953A4"/>
                        </w:rPr>
                        <w:t> </w:t>
                      </w:r>
                      <w:r>
                        <w:rPr>
                          <w:rFonts w:ascii="Arial"/>
                          <w:color w:val="3953A4"/>
                          <w:sz w:val="21"/>
                          <w:u w:val="single" w:color="3953A4"/>
                        </w:rPr>
                        <w:t>Y.,</w:t>
                      </w:r>
                      <w:r>
                        <w:rPr>
                          <w:rFonts w:ascii="Arial"/>
                          <w:color w:val="3953A4"/>
                          <w:spacing w:val="-10"/>
                          <w:sz w:val="21"/>
                          <w:u w:val="single" w:color="3953A4"/>
                        </w:rPr>
                        <w:t> </w:t>
                      </w:r>
                      <w:r>
                        <w:rPr>
                          <w:rFonts w:ascii="Arial"/>
                          <w:color w:val="3953A4"/>
                          <w:sz w:val="21"/>
                          <w:u w:val="single" w:color="3953A4"/>
                        </w:rPr>
                        <w:t>&amp;</w:t>
                      </w:r>
                      <w:r>
                        <w:rPr>
                          <w:rFonts w:ascii="Arial"/>
                          <w:color w:val="3953A4"/>
                          <w:spacing w:val="-10"/>
                          <w:sz w:val="21"/>
                          <w:u w:val="single" w:color="3953A4"/>
                        </w:rPr>
                        <w:t> </w:t>
                      </w:r>
                      <w:r>
                        <w:rPr>
                          <w:rFonts w:ascii="Arial"/>
                          <w:color w:val="3953A4"/>
                          <w:sz w:val="21"/>
                          <w:u w:val="single" w:color="3953A4"/>
                        </w:rPr>
                        <w:t>Bazzi,</w:t>
                      </w:r>
                      <w:r>
                        <w:rPr>
                          <w:rFonts w:ascii="Arial"/>
                          <w:color w:val="3953A4"/>
                          <w:spacing w:val="-10"/>
                          <w:sz w:val="21"/>
                          <w:u w:val="single" w:color="3953A4"/>
                        </w:rPr>
                        <w:t> </w:t>
                      </w:r>
                      <w:r>
                        <w:rPr>
                          <w:rFonts w:ascii="Arial"/>
                          <w:color w:val="3953A4"/>
                          <w:sz w:val="21"/>
                          <w:u w:val="single" w:color="3953A4"/>
                        </w:rPr>
                        <w:t>A.</w:t>
                      </w:r>
                      <w:r>
                        <w:rPr>
                          <w:rFonts w:ascii="Arial"/>
                          <w:color w:val="3953A4"/>
                          <w:spacing w:val="-10"/>
                          <w:sz w:val="21"/>
                          <w:u w:val="single" w:color="3953A4"/>
                        </w:rPr>
                        <w:t> </w:t>
                      </w:r>
                      <w:r>
                        <w:rPr>
                          <w:rFonts w:ascii="Arial"/>
                          <w:color w:val="3953A4"/>
                          <w:sz w:val="21"/>
                          <w:u w:val="single" w:color="3953A4"/>
                        </w:rPr>
                        <w:t>R.</w:t>
                      </w:r>
                      <w:r>
                        <w:rPr>
                          <w:rFonts w:ascii="Arial"/>
                          <w:color w:val="3953A4"/>
                          <w:spacing w:val="-11"/>
                          <w:sz w:val="21"/>
                          <w:u w:val="single" w:color="3953A4"/>
                        </w:rPr>
                        <w:t> </w:t>
                      </w:r>
                      <w:r>
                        <w:rPr>
                          <w:rFonts w:ascii="Arial"/>
                          <w:color w:val="3953A4"/>
                          <w:sz w:val="21"/>
                          <w:u w:val="single" w:color="3953A4"/>
                        </w:rPr>
                        <w:t>(2019).</w:t>
                      </w:r>
                    </w:hyperlink>
                    <w:r>
                      <w:rPr>
                        <w:rFonts w:ascii="Arial"/>
                        <w:color w:val="3953A4"/>
                        <w:spacing w:val="1"/>
                        <w:sz w:val="21"/>
                      </w:rPr>
                      <w:t> </w:t>
                    </w:r>
                    <w:hyperlink r:id="rId330">
                      <w:r>
                        <w:rPr>
                          <w:rFonts w:ascii="Arial"/>
                          <w:color w:val="3953A4"/>
                          <w:sz w:val="21"/>
                          <w:u w:val="single" w:color="3953A4"/>
                        </w:rPr>
                        <w:t>Stuck in the window with you: HIV exposure</w:t>
                      </w:r>
                    </w:hyperlink>
                    <w:r>
                      <w:rPr>
                        <w:rFonts w:ascii="Arial"/>
                        <w:color w:val="3953A4"/>
                        <w:spacing w:val="1"/>
                        <w:sz w:val="21"/>
                      </w:rPr>
                      <w:t> </w:t>
                    </w:r>
                    <w:hyperlink r:id="rId330">
                      <w:r>
                        <w:rPr>
                          <w:rFonts w:ascii="Arial"/>
                          <w:color w:val="3953A4"/>
                          <w:sz w:val="21"/>
                          <w:u w:val="single" w:color="3953A4"/>
                        </w:rPr>
                        <w:t>prophylaxis in the highest risk people who inject</w:t>
                      </w:r>
                    </w:hyperlink>
                    <w:r>
                      <w:rPr>
                        <w:rFonts w:ascii="Arial"/>
                        <w:color w:val="3953A4"/>
                        <w:spacing w:val="1"/>
                        <w:sz w:val="21"/>
                      </w:rPr>
                      <w:t> </w:t>
                    </w:r>
                    <w:hyperlink r:id="rId330">
                      <w:r>
                        <w:rPr>
                          <w:rFonts w:ascii="Arial"/>
                          <w:color w:val="3953A4"/>
                          <w:sz w:val="21"/>
                          <w:u w:val="single" w:color="3953A4"/>
                        </w:rPr>
                        <w:t>drugs.</w:t>
                      </w:r>
                      <w:r>
                        <w:rPr>
                          <w:rFonts w:ascii="Arial"/>
                          <w:color w:val="3953A4"/>
                          <w:spacing w:val="-4"/>
                          <w:sz w:val="21"/>
                          <w:u w:val="single" w:color="3953A4"/>
                        </w:rPr>
                        <w:t> </w:t>
                      </w:r>
                      <w:r>
                        <w:rPr>
                          <w:rFonts w:ascii="Arial"/>
                          <w:color w:val="3953A4"/>
                          <w:sz w:val="21"/>
                          <w:u w:val="single" w:color="3953A4"/>
                        </w:rPr>
                        <w:t>Substance</w:t>
                      </w:r>
                      <w:r>
                        <w:rPr>
                          <w:rFonts w:ascii="Arial"/>
                          <w:color w:val="3953A4"/>
                          <w:spacing w:val="-4"/>
                          <w:sz w:val="21"/>
                          <w:u w:val="single" w:color="3953A4"/>
                        </w:rPr>
                        <w:t> </w:t>
                      </w:r>
                      <w:r>
                        <w:rPr>
                          <w:rFonts w:ascii="Arial"/>
                          <w:color w:val="3953A4"/>
                          <w:sz w:val="21"/>
                          <w:u w:val="single" w:color="3953A4"/>
                        </w:rPr>
                        <w:t>Abuse,</w:t>
                      </w:r>
                      <w:r>
                        <w:rPr>
                          <w:rFonts w:ascii="Arial"/>
                          <w:color w:val="3953A4"/>
                          <w:spacing w:val="-3"/>
                          <w:sz w:val="21"/>
                          <w:u w:val="single" w:color="3953A4"/>
                        </w:rPr>
                        <w:t> </w:t>
                      </w:r>
                      <w:r>
                        <w:rPr>
                          <w:rFonts w:ascii="Arial"/>
                          <w:color w:val="3953A4"/>
                          <w:sz w:val="21"/>
                          <w:u w:val="single" w:color="3953A4"/>
                        </w:rPr>
                        <w:t>40(4),</w:t>
                      </w:r>
                      <w:r>
                        <w:rPr>
                          <w:rFonts w:ascii="Arial"/>
                          <w:color w:val="3953A4"/>
                          <w:spacing w:val="-3"/>
                          <w:sz w:val="21"/>
                          <w:u w:val="single" w:color="3953A4"/>
                        </w:rPr>
                        <w:t> </w:t>
                      </w:r>
                      <w:r>
                        <w:rPr>
                          <w:rFonts w:ascii="Arial"/>
                          <w:color w:val="3953A4"/>
                          <w:sz w:val="21"/>
                          <w:u w:val="single" w:color="3953A4"/>
                        </w:rPr>
                        <w:t>441-443.</w:t>
                      </w:r>
                      <w:r>
                        <w:rPr>
                          <w:rFonts w:ascii="Arial"/>
                          <w:color w:val="3953A4"/>
                          <w:spacing w:val="-3"/>
                          <w:sz w:val="21"/>
                          <w:u w:val="single" w:color="3953A4"/>
                        </w:rPr>
                        <w:t> </w:t>
                      </w:r>
                      <w:r>
                        <w:rPr>
                          <w:rFonts w:ascii="Arial"/>
                          <w:color w:val="3953A4"/>
                          <w:sz w:val="21"/>
                          <w:u w:val="single" w:color="3953A4"/>
                        </w:rPr>
                        <w:t>https://</w:t>
                      </w:r>
                    </w:hyperlink>
                    <w:r>
                      <w:rPr>
                        <w:rFonts w:ascii="Arial"/>
                        <w:color w:val="3953A4"/>
                        <w:spacing w:val="-56"/>
                        <w:sz w:val="21"/>
                      </w:rPr>
                      <w:t> </w:t>
                    </w:r>
                    <w:hyperlink r:id="rId330">
                      <w:r>
                        <w:rPr>
                          <w:rFonts w:ascii="Arial"/>
                          <w:color w:val="3953A4"/>
                          <w:sz w:val="21"/>
                          <w:u w:val="single" w:color="3953A4"/>
                        </w:rPr>
                        <w:t>pubmed.ncbi.nlm.nih.gov/31644387/</w:t>
                      </w:r>
                    </w:hyperlink>
                  </w:p>
                  <w:p>
                    <w:pPr>
                      <w:spacing w:before="176"/>
                      <w:ind w:left="180" w:right="0" w:firstLine="0"/>
                      <w:jc w:val="left"/>
                      <w:rPr>
                        <w:rFonts w:ascii="Arial"/>
                        <w:sz w:val="21"/>
                      </w:rPr>
                    </w:pPr>
                    <w:hyperlink r:id="rId331">
                      <w:r>
                        <w:rPr>
                          <w:rFonts w:ascii="Arial"/>
                          <w:color w:val="3953A4"/>
                          <w:sz w:val="21"/>
                          <w:u w:val="single" w:color="3953A4"/>
                        </w:rPr>
                        <w:t>eReview</w:t>
                      </w:r>
                      <w:r>
                        <w:rPr>
                          <w:rFonts w:ascii="Arial"/>
                          <w:color w:val="3953A4"/>
                          <w:spacing w:val="-3"/>
                          <w:sz w:val="21"/>
                          <w:u w:val="single" w:color="3953A4"/>
                        </w:rPr>
                        <w:t> </w:t>
                      </w:r>
                      <w:r>
                        <w:rPr>
                          <w:rFonts w:ascii="Arial"/>
                          <w:color w:val="3953A4"/>
                          <w:sz w:val="21"/>
                          <w:u w:val="single" w:color="3953A4"/>
                        </w:rPr>
                        <w:t>of</w:t>
                      </w:r>
                      <w:r>
                        <w:rPr>
                          <w:rFonts w:ascii="Arial"/>
                          <w:color w:val="3953A4"/>
                          <w:spacing w:val="-3"/>
                          <w:sz w:val="21"/>
                          <w:u w:val="single" w:color="3953A4"/>
                        </w:rPr>
                        <w:t> </w:t>
                      </w:r>
                      <w:r>
                        <w:rPr>
                          <w:rFonts w:ascii="Arial"/>
                          <w:color w:val="3953A4"/>
                          <w:sz w:val="21"/>
                          <w:u w:val="single" w:color="3953A4"/>
                        </w:rPr>
                        <w:t>PrEP</w:t>
                      </w:r>
                      <w:r>
                        <w:rPr>
                          <w:rFonts w:ascii="Arial"/>
                          <w:color w:val="3953A4"/>
                          <w:spacing w:val="-5"/>
                          <w:sz w:val="21"/>
                          <w:u w:val="single" w:color="3953A4"/>
                        </w:rPr>
                        <w:t> </w:t>
                      </w:r>
                      <w:r>
                        <w:rPr>
                          <w:rFonts w:ascii="Arial"/>
                          <w:color w:val="3953A4"/>
                          <w:sz w:val="21"/>
                          <w:u w:val="single" w:color="3953A4"/>
                        </w:rPr>
                        <w:t>in</w:t>
                      </w:r>
                      <w:r>
                        <w:rPr>
                          <w:rFonts w:ascii="Arial"/>
                          <w:color w:val="3953A4"/>
                          <w:spacing w:val="-3"/>
                          <w:sz w:val="21"/>
                          <w:u w:val="single" w:color="3953A4"/>
                        </w:rPr>
                        <w:t> </w:t>
                      </w:r>
                      <w:r>
                        <w:rPr>
                          <w:rFonts w:ascii="Arial"/>
                          <w:color w:val="3953A4"/>
                          <w:sz w:val="21"/>
                          <w:u w:val="single" w:color="3953A4"/>
                        </w:rPr>
                        <w:t>PWID</w:t>
                      </w:r>
                    </w:hyperlink>
                  </w:p>
                </w:txbxContent>
              </v:textbox>
              <w10:wrap type="none"/>
            </v:shape>
          </v:group>
        </w:pict>
      </w:r>
      <w:r>
        <w:rPr>
          <w:sz w:val="20"/>
        </w:rPr>
      </w:r>
    </w:p>
    <w:p>
      <w:pPr>
        <w:pStyle w:val="Heading6"/>
        <w:spacing w:before="188"/>
      </w:pPr>
      <w:r>
        <w:rPr>
          <w:color w:val="CE384B"/>
        </w:rPr>
        <w:t>Findings</w:t>
      </w:r>
      <w:r>
        <w:rPr>
          <w:color w:val="CE384B"/>
          <w:spacing w:val="-1"/>
        </w:rPr>
        <w:t> </w:t>
      </w:r>
      <w:r>
        <w:rPr>
          <w:color w:val="CE384B"/>
        </w:rPr>
        <w:t>and</w:t>
      </w:r>
      <w:r>
        <w:rPr>
          <w:color w:val="CE384B"/>
          <w:spacing w:val="-2"/>
        </w:rPr>
        <w:t> </w:t>
      </w:r>
      <w:r>
        <w:rPr>
          <w:color w:val="CE384B"/>
        </w:rPr>
        <w:t>Outcomes</w:t>
      </w:r>
    </w:p>
    <w:p>
      <w:pPr>
        <w:pStyle w:val="ListParagraph"/>
        <w:numPr>
          <w:ilvl w:val="0"/>
          <w:numId w:val="19"/>
        </w:numPr>
        <w:tabs>
          <w:tab w:pos="879" w:val="left" w:leader="none"/>
          <w:tab w:pos="880" w:val="left" w:leader="none"/>
        </w:tabs>
        <w:spacing w:line="249" w:lineRule="auto" w:before="86" w:after="0"/>
        <w:ind w:left="879" w:right="814" w:hanging="360"/>
        <w:jc w:val="left"/>
        <w:rPr>
          <w:sz w:val="22"/>
        </w:rPr>
      </w:pPr>
      <w:r>
        <w:rPr>
          <w:color w:val="010202"/>
          <w:sz w:val="22"/>
        </w:rPr>
        <w:t>Because Faster Paths clients often report recent</w:t>
      </w:r>
      <w:r>
        <w:rPr>
          <w:color w:val="010202"/>
          <w:spacing w:val="1"/>
          <w:sz w:val="22"/>
        </w:rPr>
        <w:t> </w:t>
      </w:r>
      <w:r>
        <w:rPr>
          <w:color w:val="010202"/>
          <w:sz w:val="22"/>
        </w:rPr>
        <w:t>potential HIV exposures, “PEP-to-PrEP”</w:t>
      </w:r>
      <w:r>
        <w:rPr>
          <w:color w:val="010202"/>
          <w:spacing w:val="1"/>
          <w:sz w:val="22"/>
        </w:rPr>
        <w:t> </w:t>
      </w:r>
      <w:r>
        <w:rPr>
          <w:color w:val="010202"/>
          <w:sz w:val="22"/>
        </w:rPr>
        <w:t>(starting on PEP and transitioning to PrEP) has</w:t>
      </w:r>
      <w:r>
        <w:rPr>
          <w:color w:val="010202"/>
          <w:spacing w:val="1"/>
          <w:sz w:val="22"/>
        </w:rPr>
        <w:t> </w:t>
      </w:r>
      <w:r>
        <w:rPr>
          <w:color w:val="010202"/>
          <w:sz w:val="22"/>
        </w:rPr>
        <w:t>been the safest, most efficient, and effective</w:t>
      </w:r>
      <w:r>
        <w:rPr>
          <w:color w:val="010202"/>
          <w:spacing w:val="1"/>
          <w:sz w:val="22"/>
        </w:rPr>
        <w:t> </w:t>
      </w:r>
      <w:r>
        <w:rPr>
          <w:color w:val="010202"/>
          <w:sz w:val="22"/>
        </w:rPr>
        <w:t>way</w:t>
      </w:r>
      <w:r>
        <w:rPr>
          <w:color w:val="010202"/>
          <w:spacing w:val="-3"/>
          <w:sz w:val="22"/>
        </w:rPr>
        <w:t> </w:t>
      </w:r>
      <w:r>
        <w:rPr>
          <w:color w:val="010202"/>
          <w:sz w:val="22"/>
        </w:rPr>
        <w:t>to</w:t>
      </w:r>
      <w:r>
        <w:rPr>
          <w:color w:val="010202"/>
          <w:spacing w:val="-2"/>
          <w:sz w:val="22"/>
        </w:rPr>
        <w:t> </w:t>
      </w:r>
      <w:r>
        <w:rPr>
          <w:color w:val="010202"/>
          <w:sz w:val="22"/>
        </w:rPr>
        <w:t>start</w:t>
      </w:r>
      <w:r>
        <w:rPr>
          <w:color w:val="010202"/>
          <w:spacing w:val="-3"/>
          <w:sz w:val="22"/>
        </w:rPr>
        <w:t> </w:t>
      </w:r>
      <w:r>
        <w:rPr>
          <w:color w:val="010202"/>
          <w:sz w:val="22"/>
        </w:rPr>
        <w:t>PrEP</w:t>
      </w:r>
      <w:r>
        <w:rPr>
          <w:color w:val="010202"/>
          <w:spacing w:val="-10"/>
          <w:sz w:val="22"/>
        </w:rPr>
        <w:t> </w:t>
      </w:r>
      <w:r>
        <w:rPr>
          <w:color w:val="010202"/>
          <w:sz w:val="22"/>
        </w:rPr>
        <w:t>for</w:t>
      </w:r>
      <w:r>
        <w:rPr>
          <w:color w:val="010202"/>
          <w:spacing w:val="-2"/>
          <w:sz w:val="22"/>
        </w:rPr>
        <w:t> </w:t>
      </w:r>
      <w:r>
        <w:rPr>
          <w:color w:val="010202"/>
          <w:sz w:val="22"/>
        </w:rPr>
        <w:t>this</w:t>
      </w:r>
      <w:r>
        <w:rPr>
          <w:color w:val="010202"/>
          <w:spacing w:val="-2"/>
          <w:sz w:val="22"/>
        </w:rPr>
        <w:t> </w:t>
      </w:r>
      <w:r>
        <w:rPr>
          <w:color w:val="010202"/>
          <w:sz w:val="22"/>
        </w:rPr>
        <w:t>population.</w:t>
      </w:r>
      <w:r>
        <w:rPr>
          <w:color w:val="010202"/>
          <w:sz w:val="22"/>
          <w:vertAlign w:val="superscript"/>
        </w:rPr>
        <w:t>1</w:t>
      </w:r>
      <w:r>
        <w:rPr>
          <w:color w:val="010202"/>
          <w:spacing w:val="-1"/>
          <w:sz w:val="22"/>
          <w:vertAlign w:val="baseline"/>
        </w:rPr>
        <w:t> </w:t>
      </w:r>
      <w:r>
        <w:rPr>
          <w:color w:val="010202"/>
          <w:sz w:val="22"/>
          <w:vertAlign w:val="baseline"/>
        </w:rPr>
        <w:t>If</w:t>
      </w:r>
      <w:r>
        <w:rPr>
          <w:color w:val="010202"/>
          <w:spacing w:val="-2"/>
          <w:sz w:val="22"/>
          <w:vertAlign w:val="baseline"/>
        </w:rPr>
        <w:t> </w:t>
      </w:r>
      <w:r>
        <w:rPr>
          <w:color w:val="010202"/>
          <w:sz w:val="22"/>
          <w:vertAlign w:val="baseline"/>
        </w:rPr>
        <w:t>a</w:t>
      </w:r>
      <w:r>
        <w:rPr>
          <w:color w:val="010202"/>
          <w:spacing w:val="-2"/>
          <w:sz w:val="22"/>
          <w:vertAlign w:val="baseline"/>
        </w:rPr>
        <w:t> </w:t>
      </w:r>
      <w:r>
        <w:rPr>
          <w:color w:val="010202"/>
          <w:sz w:val="22"/>
          <w:vertAlign w:val="baseline"/>
        </w:rPr>
        <w:t>client</w:t>
      </w:r>
      <w:r>
        <w:rPr>
          <w:color w:val="010202"/>
          <w:spacing w:val="-52"/>
          <w:sz w:val="22"/>
          <w:vertAlign w:val="baseline"/>
        </w:rPr>
        <w:t> </w:t>
      </w:r>
      <w:r>
        <w:rPr>
          <w:color w:val="010202"/>
          <w:sz w:val="22"/>
          <w:vertAlign w:val="baseline"/>
        </w:rPr>
        <w:t>reports being exposed to HIV within the last 72</w:t>
      </w:r>
      <w:r>
        <w:rPr>
          <w:color w:val="010202"/>
          <w:spacing w:val="-52"/>
          <w:sz w:val="22"/>
          <w:vertAlign w:val="baseline"/>
        </w:rPr>
        <w:t> </w:t>
      </w:r>
      <w:r>
        <w:rPr>
          <w:color w:val="010202"/>
          <w:sz w:val="22"/>
          <w:vertAlign w:val="baseline"/>
        </w:rPr>
        <w:t>hours, Faster Paths emphasizes PEP as a bridge</w:t>
      </w:r>
      <w:r>
        <w:rPr>
          <w:color w:val="010202"/>
          <w:spacing w:val="-52"/>
          <w:sz w:val="22"/>
          <w:vertAlign w:val="baseline"/>
        </w:rPr>
        <w:t> </w:t>
      </w:r>
      <w:r>
        <w:rPr>
          <w:color w:val="010202"/>
          <w:sz w:val="22"/>
          <w:vertAlign w:val="baseline"/>
        </w:rPr>
        <w:t>to PrEP, which can be started immediately at</w:t>
      </w:r>
      <w:r>
        <w:rPr>
          <w:color w:val="010202"/>
          <w:spacing w:val="1"/>
          <w:sz w:val="22"/>
          <w:vertAlign w:val="baseline"/>
        </w:rPr>
        <w:t> </w:t>
      </w:r>
      <w:r>
        <w:rPr>
          <w:color w:val="010202"/>
          <w:sz w:val="22"/>
          <w:vertAlign w:val="baseline"/>
        </w:rPr>
        <w:t>the end of a 28-day PEP course in clients who</w:t>
      </w:r>
      <w:r>
        <w:rPr>
          <w:color w:val="010202"/>
          <w:spacing w:val="1"/>
          <w:sz w:val="22"/>
          <w:vertAlign w:val="baseline"/>
        </w:rPr>
        <w:t> </w:t>
      </w:r>
      <w:r>
        <w:rPr>
          <w:color w:val="010202"/>
          <w:sz w:val="22"/>
          <w:vertAlign w:val="baseline"/>
        </w:rPr>
        <w:t>remain HIV negative. In April 2020, 22 percent</w:t>
      </w:r>
      <w:r>
        <w:rPr>
          <w:color w:val="010202"/>
          <w:spacing w:val="-52"/>
          <w:sz w:val="22"/>
          <w:vertAlign w:val="baseline"/>
        </w:rPr>
        <w:t> </w:t>
      </w:r>
      <w:r>
        <w:rPr>
          <w:color w:val="010202"/>
          <w:sz w:val="22"/>
          <w:vertAlign w:val="baseline"/>
        </w:rPr>
        <w:t>of provider visit notes (including initial visits</w:t>
      </w:r>
      <w:r>
        <w:rPr>
          <w:color w:val="010202"/>
          <w:spacing w:val="1"/>
          <w:sz w:val="22"/>
          <w:vertAlign w:val="baseline"/>
        </w:rPr>
        <w:t> </w:t>
      </w:r>
      <w:r>
        <w:rPr>
          <w:color w:val="010202"/>
          <w:sz w:val="22"/>
          <w:vertAlign w:val="baseline"/>
        </w:rPr>
        <w:t>and</w:t>
      </w:r>
      <w:r>
        <w:rPr>
          <w:color w:val="010202"/>
          <w:spacing w:val="-3"/>
          <w:sz w:val="22"/>
          <w:vertAlign w:val="baseline"/>
        </w:rPr>
        <w:t> </w:t>
      </w:r>
      <w:r>
        <w:rPr>
          <w:color w:val="010202"/>
          <w:sz w:val="22"/>
          <w:vertAlign w:val="baseline"/>
        </w:rPr>
        <w:t>follow</w:t>
      </w:r>
      <w:r>
        <w:rPr>
          <w:color w:val="010202"/>
          <w:spacing w:val="-2"/>
          <w:sz w:val="22"/>
          <w:vertAlign w:val="baseline"/>
        </w:rPr>
        <w:t> </w:t>
      </w:r>
      <w:r>
        <w:rPr>
          <w:color w:val="010202"/>
          <w:sz w:val="22"/>
          <w:vertAlign w:val="baseline"/>
        </w:rPr>
        <w:t>up</w:t>
      </w:r>
      <w:r>
        <w:rPr>
          <w:color w:val="010202"/>
          <w:spacing w:val="-3"/>
          <w:sz w:val="22"/>
          <w:vertAlign w:val="baseline"/>
        </w:rPr>
        <w:t> </w:t>
      </w:r>
      <w:r>
        <w:rPr>
          <w:color w:val="010202"/>
          <w:sz w:val="22"/>
          <w:vertAlign w:val="baseline"/>
        </w:rPr>
        <w:t>visits)</w:t>
      </w:r>
      <w:r>
        <w:rPr>
          <w:color w:val="010202"/>
          <w:spacing w:val="-2"/>
          <w:sz w:val="22"/>
          <w:vertAlign w:val="baseline"/>
        </w:rPr>
        <w:t> </w:t>
      </w:r>
      <w:r>
        <w:rPr>
          <w:color w:val="010202"/>
          <w:sz w:val="22"/>
          <w:vertAlign w:val="baseline"/>
        </w:rPr>
        <w:t>addressed</w:t>
      </w:r>
      <w:r>
        <w:rPr>
          <w:color w:val="010202"/>
          <w:spacing w:val="-3"/>
          <w:sz w:val="22"/>
          <w:vertAlign w:val="baseline"/>
        </w:rPr>
        <w:t> </w:t>
      </w:r>
      <w:r>
        <w:rPr>
          <w:color w:val="010202"/>
          <w:sz w:val="22"/>
          <w:vertAlign w:val="baseline"/>
        </w:rPr>
        <w:t>PEP</w:t>
      </w:r>
      <w:r>
        <w:rPr>
          <w:color w:val="010202"/>
          <w:spacing w:val="-11"/>
          <w:sz w:val="22"/>
          <w:vertAlign w:val="baseline"/>
        </w:rPr>
        <w:t> </w:t>
      </w:r>
      <w:r>
        <w:rPr>
          <w:color w:val="010202"/>
          <w:sz w:val="22"/>
          <w:vertAlign w:val="baseline"/>
        </w:rPr>
        <w:t>or</w:t>
      </w:r>
      <w:r>
        <w:rPr>
          <w:color w:val="010202"/>
          <w:spacing w:val="-2"/>
          <w:sz w:val="22"/>
          <w:vertAlign w:val="baseline"/>
        </w:rPr>
        <w:t> </w:t>
      </w:r>
      <w:r>
        <w:rPr>
          <w:color w:val="010202"/>
          <w:sz w:val="22"/>
          <w:vertAlign w:val="baseline"/>
        </w:rPr>
        <w:t>PrEP.</w:t>
      </w:r>
    </w:p>
    <w:p>
      <w:pPr>
        <w:spacing w:after="0" w:line="249" w:lineRule="auto"/>
        <w:jc w:val="left"/>
        <w:rPr>
          <w:sz w:val="22"/>
        </w:rPr>
        <w:sectPr>
          <w:type w:val="continuous"/>
          <w:pgSz w:w="12240" w:h="15840"/>
          <w:pgMar w:header="0" w:footer="666" w:top="1500" w:bottom="0" w:left="560" w:right="0"/>
          <w:cols w:num="2" w:equalWidth="0">
            <w:col w:w="5510" w:space="250"/>
            <w:col w:w="5920"/>
          </w:cols>
        </w:sectPr>
      </w:pPr>
    </w:p>
    <w:p>
      <w:pPr>
        <w:pStyle w:val="BodyText"/>
        <w:rPr>
          <w:sz w:val="20"/>
        </w:rPr>
      </w:pPr>
    </w:p>
    <w:p>
      <w:pPr>
        <w:pStyle w:val="BodyText"/>
        <w:rPr>
          <w:sz w:val="25"/>
        </w:rPr>
      </w:pPr>
    </w:p>
    <w:p>
      <w:pPr>
        <w:spacing w:after="0"/>
        <w:rPr>
          <w:sz w:val="25"/>
        </w:rPr>
        <w:sectPr>
          <w:pgSz w:w="12240" w:h="15840"/>
          <w:pgMar w:header="0" w:footer="666" w:top="380" w:bottom="860" w:left="560" w:right="0"/>
        </w:sectPr>
      </w:pPr>
    </w:p>
    <w:p>
      <w:pPr>
        <w:pStyle w:val="ListParagraph"/>
        <w:numPr>
          <w:ilvl w:val="0"/>
          <w:numId w:val="19"/>
        </w:numPr>
        <w:tabs>
          <w:tab w:pos="879" w:val="left" w:leader="none"/>
          <w:tab w:pos="880" w:val="left" w:leader="none"/>
        </w:tabs>
        <w:spacing w:line="249" w:lineRule="auto" w:before="105" w:after="0"/>
        <w:ind w:left="879" w:right="254" w:hanging="360"/>
        <w:jc w:val="left"/>
        <w:rPr>
          <w:sz w:val="22"/>
        </w:rPr>
      </w:pPr>
      <w:r>
        <w:rPr/>
        <w:drawing>
          <wp:anchor distT="0" distB="0" distL="0" distR="0" allowOverlap="1" layoutInCell="1" locked="0" behindDoc="0" simplePos="0" relativeHeight="15769600">
            <wp:simplePos x="0" y="0"/>
            <wp:positionH relativeFrom="page">
              <wp:posOffset>457200</wp:posOffset>
            </wp:positionH>
            <wp:positionV relativeFrom="paragraph">
              <wp:posOffset>916625</wp:posOffset>
            </wp:positionV>
            <wp:extent cx="496061" cy="496054"/>
            <wp:effectExtent l="0" t="0" r="0" b="0"/>
            <wp:wrapNone/>
            <wp:docPr id="83" name="image33.jpeg"/>
            <wp:cNvGraphicFramePr>
              <a:graphicFrameLocks noChangeAspect="1"/>
            </wp:cNvGraphicFramePr>
            <a:graphic>
              <a:graphicData uri="http://schemas.openxmlformats.org/drawingml/2006/picture">
                <pic:pic>
                  <pic:nvPicPr>
                    <pic:cNvPr id="84" name="image33.jpeg"/>
                    <pic:cNvPicPr/>
                  </pic:nvPicPr>
                  <pic:blipFill>
                    <a:blip r:embed="rId332" cstate="print"/>
                    <a:stretch>
                      <a:fillRect/>
                    </a:stretch>
                  </pic:blipFill>
                  <pic:spPr>
                    <a:xfrm>
                      <a:off x="0" y="0"/>
                      <a:ext cx="496061" cy="496054"/>
                    </a:xfrm>
                    <a:prstGeom prst="rect">
                      <a:avLst/>
                    </a:prstGeom>
                  </pic:spPr>
                </pic:pic>
              </a:graphicData>
            </a:graphic>
          </wp:anchor>
        </w:drawing>
      </w:r>
      <w:bookmarkStart w:name="Lessons Learned" w:id="114"/>
      <w:bookmarkEnd w:id="114"/>
      <w:r>
        <w:rPr/>
      </w:r>
      <w:bookmarkStart w:name="Lessons Learned" w:id="115"/>
      <w:bookmarkEnd w:id="115"/>
      <w:r>
        <w:rPr>
          <w:color w:val="010202"/>
          <w:sz w:val="22"/>
        </w:rPr>
        <w:t>T</w:t>
      </w:r>
      <w:r>
        <w:rPr>
          <w:color w:val="010202"/>
          <w:sz w:val="22"/>
        </w:rPr>
        <w:t>o support practitioners in consistently</w:t>
      </w:r>
      <w:r>
        <w:rPr>
          <w:color w:val="010202"/>
          <w:spacing w:val="1"/>
          <w:sz w:val="22"/>
        </w:rPr>
        <w:t> </w:t>
      </w:r>
      <w:r>
        <w:rPr>
          <w:color w:val="010202"/>
          <w:sz w:val="22"/>
        </w:rPr>
        <w:t>evaluating HIV prevention needs, Faster Paths</w:t>
      </w:r>
      <w:r>
        <w:rPr>
          <w:color w:val="010202"/>
          <w:spacing w:val="-53"/>
          <w:sz w:val="22"/>
        </w:rPr>
        <w:t> </w:t>
      </w:r>
      <w:r>
        <w:rPr>
          <w:color w:val="010202"/>
          <w:sz w:val="22"/>
        </w:rPr>
        <w:t>has a standardized intake laboratory panel and</w:t>
      </w:r>
      <w:r>
        <w:rPr>
          <w:color w:val="010202"/>
          <w:spacing w:val="-52"/>
          <w:sz w:val="22"/>
        </w:rPr>
        <w:t> </w:t>
      </w:r>
      <w:r>
        <w:rPr>
          <w:color w:val="010202"/>
          <w:sz w:val="22"/>
        </w:rPr>
        <w:t>electronic medical record note templates to</w:t>
      </w:r>
      <w:r>
        <w:rPr>
          <w:color w:val="010202"/>
          <w:spacing w:val="1"/>
          <w:sz w:val="22"/>
        </w:rPr>
        <w:t> </w:t>
      </w:r>
      <w:r>
        <w:rPr>
          <w:color w:val="010202"/>
          <w:sz w:val="22"/>
        </w:rPr>
        <w:t>assess</w:t>
      </w:r>
      <w:r>
        <w:rPr>
          <w:color w:val="010202"/>
          <w:spacing w:val="-3"/>
          <w:sz w:val="22"/>
        </w:rPr>
        <w:t> </w:t>
      </w:r>
      <w:r>
        <w:rPr>
          <w:color w:val="010202"/>
          <w:sz w:val="22"/>
        </w:rPr>
        <w:t>risk</w:t>
      </w:r>
      <w:r>
        <w:rPr>
          <w:color w:val="010202"/>
          <w:spacing w:val="-3"/>
          <w:sz w:val="22"/>
        </w:rPr>
        <w:t> </w:t>
      </w:r>
      <w:r>
        <w:rPr>
          <w:color w:val="010202"/>
          <w:sz w:val="22"/>
        </w:rPr>
        <w:t>of</w:t>
      </w:r>
      <w:r>
        <w:rPr>
          <w:color w:val="010202"/>
          <w:spacing w:val="-3"/>
          <w:sz w:val="22"/>
        </w:rPr>
        <w:t> </w:t>
      </w:r>
      <w:r>
        <w:rPr>
          <w:color w:val="010202"/>
          <w:sz w:val="22"/>
        </w:rPr>
        <w:t>getting</w:t>
      </w:r>
      <w:r>
        <w:rPr>
          <w:color w:val="010202"/>
          <w:spacing w:val="-3"/>
          <w:sz w:val="22"/>
        </w:rPr>
        <w:t> </w:t>
      </w:r>
      <w:r>
        <w:rPr>
          <w:color w:val="010202"/>
          <w:sz w:val="22"/>
        </w:rPr>
        <w:t>HIV</w:t>
      </w:r>
      <w:r>
        <w:rPr>
          <w:color w:val="010202"/>
          <w:spacing w:val="-7"/>
          <w:sz w:val="22"/>
        </w:rPr>
        <w:t> </w:t>
      </w:r>
      <w:r>
        <w:rPr>
          <w:color w:val="010202"/>
          <w:sz w:val="22"/>
        </w:rPr>
        <w:t>and</w:t>
      </w:r>
      <w:r>
        <w:rPr>
          <w:color w:val="010202"/>
          <w:spacing w:val="-3"/>
          <w:sz w:val="22"/>
        </w:rPr>
        <w:t> </w:t>
      </w:r>
      <w:r>
        <w:rPr>
          <w:color w:val="010202"/>
          <w:sz w:val="22"/>
        </w:rPr>
        <w:t>PrEP</w:t>
      </w:r>
      <w:r>
        <w:rPr>
          <w:color w:val="010202"/>
          <w:spacing w:val="-11"/>
          <w:sz w:val="22"/>
        </w:rPr>
        <w:t> </w:t>
      </w:r>
      <w:r>
        <w:rPr>
          <w:color w:val="010202"/>
          <w:sz w:val="22"/>
        </w:rPr>
        <w:t>eligibility.</w:t>
      </w:r>
    </w:p>
    <w:p>
      <w:pPr>
        <w:pStyle w:val="Heading6"/>
        <w:spacing w:line="228" w:lineRule="auto" w:before="208"/>
        <w:ind w:left="1121" w:right="3197" w:hanging="2"/>
      </w:pPr>
      <w:r>
        <w:rPr>
          <w:color w:val="CE384B"/>
        </w:rPr>
        <w:t>Lessons</w:t>
      </w:r>
      <w:r>
        <w:rPr>
          <w:color w:val="CE384B"/>
          <w:spacing w:val="-59"/>
        </w:rPr>
        <w:t> </w:t>
      </w:r>
      <w:r>
        <w:rPr>
          <w:color w:val="CE384B"/>
        </w:rPr>
        <w:t>Learned</w:t>
      </w:r>
    </w:p>
    <w:p>
      <w:pPr>
        <w:pStyle w:val="ListParagraph"/>
        <w:numPr>
          <w:ilvl w:val="0"/>
          <w:numId w:val="19"/>
        </w:numPr>
        <w:tabs>
          <w:tab w:pos="880" w:val="left" w:leader="none"/>
        </w:tabs>
        <w:spacing w:line="249" w:lineRule="auto" w:before="178" w:after="0"/>
        <w:ind w:left="879" w:right="199" w:hanging="360"/>
        <w:jc w:val="both"/>
        <w:rPr>
          <w:sz w:val="22"/>
        </w:rPr>
      </w:pPr>
      <w:r>
        <w:rPr>
          <w:color w:val="010202"/>
          <w:sz w:val="22"/>
        </w:rPr>
        <w:t>Many clients seen in Faster Paths have limited</w:t>
      </w:r>
      <w:r>
        <w:rPr>
          <w:color w:val="010202"/>
          <w:spacing w:val="1"/>
          <w:sz w:val="22"/>
        </w:rPr>
        <w:t> </w:t>
      </w:r>
      <w:r>
        <w:rPr>
          <w:color w:val="010202"/>
          <w:sz w:val="22"/>
        </w:rPr>
        <w:t>awareness</w:t>
      </w:r>
      <w:r>
        <w:rPr>
          <w:color w:val="010202"/>
          <w:spacing w:val="-5"/>
          <w:sz w:val="22"/>
        </w:rPr>
        <w:t> </w:t>
      </w:r>
      <w:r>
        <w:rPr>
          <w:color w:val="010202"/>
          <w:sz w:val="22"/>
        </w:rPr>
        <w:t>about</w:t>
      </w:r>
      <w:r>
        <w:rPr>
          <w:color w:val="010202"/>
          <w:spacing w:val="-4"/>
          <w:sz w:val="22"/>
        </w:rPr>
        <w:t> </w:t>
      </w:r>
      <w:r>
        <w:rPr>
          <w:color w:val="010202"/>
          <w:sz w:val="22"/>
        </w:rPr>
        <w:t>PrEP</w:t>
      </w:r>
      <w:r>
        <w:rPr>
          <w:color w:val="010202"/>
          <w:spacing w:val="-13"/>
          <w:sz w:val="22"/>
        </w:rPr>
        <w:t> </w:t>
      </w:r>
      <w:r>
        <w:rPr>
          <w:color w:val="010202"/>
          <w:sz w:val="22"/>
        </w:rPr>
        <w:t>and</w:t>
      </w:r>
      <w:r>
        <w:rPr>
          <w:color w:val="010202"/>
          <w:spacing w:val="-4"/>
          <w:sz w:val="22"/>
        </w:rPr>
        <w:t> </w:t>
      </w:r>
      <w:r>
        <w:rPr>
          <w:color w:val="010202"/>
          <w:sz w:val="22"/>
        </w:rPr>
        <w:t>its</w:t>
      </w:r>
      <w:r>
        <w:rPr>
          <w:color w:val="010202"/>
          <w:spacing w:val="-5"/>
          <w:sz w:val="22"/>
        </w:rPr>
        <w:t> </w:t>
      </w:r>
      <w:r>
        <w:rPr>
          <w:color w:val="010202"/>
          <w:sz w:val="22"/>
        </w:rPr>
        <w:t>potential</w:t>
      </w:r>
      <w:r>
        <w:rPr>
          <w:color w:val="010202"/>
          <w:spacing w:val="-4"/>
          <w:sz w:val="22"/>
        </w:rPr>
        <w:t> </w:t>
      </w:r>
      <w:r>
        <w:rPr>
          <w:color w:val="010202"/>
          <w:sz w:val="22"/>
        </w:rPr>
        <w:t>benefits</w:t>
      </w:r>
      <w:r>
        <w:rPr>
          <w:color w:val="010202"/>
          <w:spacing w:val="-53"/>
          <w:sz w:val="22"/>
        </w:rPr>
        <w:t> </w:t>
      </w:r>
      <w:r>
        <w:rPr>
          <w:color w:val="010202"/>
          <w:sz w:val="22"/>
        </w:rPr>
        <w:t>as a result of not having had the opportunity</w:t>
      </w:r>
    </w:p>
    <w:p>
      <w:pPr>
        <w:pStyle w:val="BodyText"/>
        <w:spacing w:line="249" w:lineRule="auto" w:before="2"/>
        <w:ind w:left="879" w:right="126"/>
      </w:pPr>
      <w:r>
        <w:rPr>
          <w:color w:val="010202"/>
        </w:rPr>
        <w:t>to discuss PrEP with a provider in the past,</w:t>
      </w:r>
      <w:r>
        <w:rPr>
          <w:color w:val="010202"/>
          <w:spacing w:val="1"/>
        </w:rPr>
        <w:t> </w:t>
      </w:r>
      <w:r>
        <w:rPr>
          <w:color w:val="010202"/>
        </w:rPr>
        <w:t>limited information about PrEP within their</w:t>
      </w:r>
      <w:r>
        <w:rPr>
          <w:color w:val="010202"/>
          <w:spacing w:val="1"/>
        </w:rPr>
        <w:t> </w:t>
      </w:r>
      <w:r>
        <w:rPr>
          <w:color w:val="010202"/>
        </w:rPr>
        <w:t>social network, and marketing that has not been</w:t>
      </w:r>
      <w:r>
        <w:rPr>
          <w:color w:val="010202"/>
          <w:spacing w:val="-52"/>
        </w:rPr>
        <w:t> </w:t>
      </w:r>
      <w:r>
        <w:rPr>
          <w:color w:val="010202"/>
        </w:rPr>
        <w:t>inclusive</w:t>
      </w:r>
      <w:r>
        <w:rPr>
          <w:color w:val="010202"/>
          <w:spacing w:val="-1"/>
        </w:rPr>
        <w:t> </w:t>
      </w:r>
      <w:r>
        <w:rPr>
          <w:color w:val="010202"/>
        </w:rPr>
        <w:t>of people who</w:t>
      </w:r>
      <w:r>
        <w:rPr>
          <w:color w:val="010202"/>
          <w:spacing w:val="-1"/>
        </w:rPr>
        <w:t> </w:t>
      </w:r>
      <w:r>
        <w:rPr>
          <w:color w:val="010202"/>
        </w:rPr>
        <w:t>inject</w:t>
      </w:r>
      <w:r>
        <w:rPr>
          <w:color w:val="010202"/>
          <w:spacing w:val="-1"/>
        </w:rPr>
        <w:t> </w:t>
      </w:r>
      <w:r>
        <w:rPr>
          <w:color w:val="010202"/>
        </w:rPr>
        <w:t>drugs (PWID).</w:t>
      </w:r>
    </w:p>
    <w:p>
      <w:pPr>
        <w:pStyle w:val="ListParagraph"/>
        <w:numPr>
          <w:ilvl w:val="0"/>
          <w:numId w:val="19"/>
        </w:numPr>
        <w:tabs>
          <w:tab w:pos="879" w:val="left" w:leader="none"/>
          <w:tab w:pos="880" w:val="left" w:leader="none"/>
        </w:tabs>
        <w:spacing w:line="249" w:lineRule="auto" w:before="0" w:after="0"/>
        <w:ind w:left="879" w:right="723" w:hanging="360"/>
        <w:jc w:val="left"/>
        <w:rPr>
          <w:sz w:val="22"/>
        </w:rPr>
      </w:pPr>
      <w:r>
        <w:rPr>
          <w:color w:val="010202"/>
          <w:sz w:val="22"/>
        </w:rPr>
        <w:t>The way a provider discusses PrEP can</w:t>
      </w:r>
      <w:r>
        <w:rPr>
          <w:color w:val="010202"/>
          <w:spacing w:val="1"/>
          <w:sz w:val="22"/>
        </w:rPr>
        <w:t> </w:t>
      </w:r>
      <w:r>
        <w:rPr>
          <w:color w:val="010202"/>
          <w:sz w:val="22"/>
        </w:rPr>
        <w:t>be crucial for uptake. For example, it can</w:t>
      </w:r>
      <w:r>
        <w:rPr>
          <w:color w:val="010202"/>
          <w:spacing w:val="-52"/>
          <w:sz w:val="22"/>
        </w:rPr>
        <w:t> </w:t>
      </w:r>
      <w:r>
        <w:rPr>
          <w:color w:val="010202"/>
          <w:sz w:val="22"/>
        </w:rPr>
        <w:t>be</w:t>
      </w:r>
      <w:r>
        <w:rPr>
          <w:color w:val="010202"/>
          <w:spacing w:val="-1"/>
          <w:sz w:val="22"/>
        </w:rPr>
        <w:t> </w:t>
      </w:r>
      <w:r>
        <w:rPr>
          <w:color w:val="010202"/>
          <w:sz w:val="22"/>
        </w:rPr>
        <w:t>important to emphasize</w:t>
      </w:r>
      <w:r>
        <w:rPr>
          <w:color w:val="010202"/>
          <w:spacing w:val="-1"/>
          <w:sz w:val="22"/>
        </w:rPr>
        <w:t> </w:t>
      </w:r>
      <w:r>
        <w:rPr>
          <w:color w:val="010202"/>
          <w:sz w:val="22"/>
        </w:rPr>
        <w:t>that PrEP</w:t>
      </w:r>
      <w:r>
        <w:rPr>
          <w:color w:val="010202"/>
          <w:spacing w:val="-9"/>
          <w:sz w:val="22"/>
        </w:rPr>
        <w:t> </w:t>
      </w:r>
      <w:r>
        <w:rPr>
          <w:color w:val="010202"/>
          <w:sz w:val="22"/>
        </w:rPr>
        <w:t>is</w:t>
      </w:r>
    </w:p>
    <w:p>
      <w:pPr>
        <w:pStyle w:val="BodyText"/>
        <w:spacing w:line="249" w:lineRule="auto"/>
        <w:ind w:left="879" w:right="151"/>
      </w:pPr>
      <w:r>
        <w:rPr>
          <w:color w:val="010202"/>
        </w:rPr>
        <w:t>recommended for preventing HIV for a wide</w:t>
      </w:r>
      <w:r>
        <w:rPr>
          <w:color w:val="010202"/>
          <w:spacing w:val="1"/>
        </w:rPr>
        <w:t> </w:t>
      </w:r>
      <w:r>
        <w:rPr>
          <w:color w:val="010202"/>
        </w:rPr>
        <w:t>range of populations (e.g., PWID, men who</w:t>
      </w:r>
      <w:r>
        <w:rPr>
          <w:color w:val="010202"/>
          <w:spacing w:val="1"/>
        </w:rPr>
        <w:t> </w:t>
      </w:r>
      <w:r>
        <w:rPr>
          <w:color w:val="010202"/>
        </w:rPr>
        <w:t>have sex with men, and heterosexual people) to</w:t>
      </w:r>
      <w:r>
        <w:rPr>
          <w:color w:val="010202"/>
          <w:spacing w:val="-52"/>
        </w:rPr>
        <w:t> </w:t>
      </w:r>
      <w:r>
        <w:rPr>
          <w:color w:val="010202"/>
        </w:rPr>
        <w:t>reduce</w:t>
      </w:r>
      <w:r>
        <w:rPr>
          <w:color w:val="010202"/>
          <w:spacing w:val="-2"/>
        </w:rPr>
        <w:t> </w:t>
      </w:r>
      <w:r>
        <w:rPr>
          <w:color w:val="010202"/>
        </w:rPr>
        <w:t>stigma</w:t>
      </w:r>
      <w:r>
        <w:rPr>
          <w:color w:val="010202"/>
          <w:spacing w:val="-2"/>
        </w:rPr>
        <w:t> </w:t>
      </w:r>
      <w:r>
        <w:rPr>
          <w:color w:val="010202"/>
        </w:rPr>
        <w:t>related</w:t>
      </w:r>
      <w:r>
        <w:rPr>
          <w:color w:val="010202"/>
          <w:spacing w:val="-1"/>
        </w:rPr>
        <w:t> </w:t>
      </w:r>
      <w:r>
        <w:rPr>
          <w:color w:val="010202"/>
        </w:rPr>
        <w:t>to</w:t>
      </w:r>
      <w:r>
        <w:rPr>
          <w:color w:val="010202"/>
          <w:spacing w:val="-1"/>
        </w:rPr>
        <w:t> </w:t>
      </w:r>
      <w:r>
        <w:rPr>
          <w:color w:val="010202"/>
        </w:rPr>
        <w:t>PrEP.</w:t>
      </w:r>
    </w:p>
    <w:p>
      <w:pPr>
        <w:pStyle w:val="ListParagraph"/>
        <w:numPr>
          <w:ilvl w:val="0"/>
          <w:numId w:val="19"/>
        </w:numPr>
        <w:tabs>
          <w:tab w:pos="879" w:val="left" w:leader="none"/>
          <w:tab w:pos="880" w:val="left" w:leader="none"/>
        </w:tabs>
        <w:spacing w:line="249" w:lineRule="auto" w:before="0" w:after="0"/>
        <w:ind w:left="879" w:right="38" w:hanging="360"/>
        <w:jc w:val="left"/>
        <w:rPr>
          <w:sz w:val="22"/>
        </w:rPr>
      </w:pPr>
      <w:r>
        <w:rPr>
          <w:color w:val="010202"/>
          <w:sz w:val="22"/>
        </w:rPr>
        <w:t>Faster Paths aims to educate clients about PrEP</w:t>
      </w:r>
      <w:r>
        <w:rPr>
          <w:color w:val="010202"/>
          <w:spacing w:val="1"/>
          <w:sz w:val="22"/>
        </w:rPr>
        <w:t> </w:t>
      </w:r>
      <w:r>
        <w:rPr>
          <w:color w:val="010202"/>
          <w:sz w:val="22"/>
        </w:rPr>
        <w:t>in a manner that is not overwhelming (e.g., at</w:t>
      </w:r>
      <w:r>
        <w:rPr>
          <w:color w:val="010202"/>
          <w:spacing w:val="1"/>
          <w:sz w:val="22"/>
        </w:rPr>
        <w:t> </w:t>
      </w:r>
      <w:r>
        <w:rPr>
          <w:color w:val="010202"/>
          <w:sz w:val="22"/>
        </w:rPr>
        <w:t>initial or follow-up visits, depending on client</w:t>
      </w:r>
      <w:r>
        <w:rPr>
          <w:color w:val="010202"/>
          <w:spacing w:val="1"/>
          <w:sz w:val="22"/>
        </w:rPr>
        <w:t> </w:t>
      </w:r>
      <w:r>
        <w:rPr>
          <w:color w:val="010202"/>
          <w:sz w:val="22"/>
        </w:rPr>
        <w:t>preference), highlighting the ways PrEP can</w:t>
      </w:r>
      <w:r>
        <w:rPr>
          <w:color w:val="010202"/>
          <w:spacing w:val="1"/>
          <w:sz w:val="22"/>
        </w:rPr>
        <w:t> </w:t>
      </w:r>
      <w:r>
        <w:rPr>
          <w:color w:val="010202"/>
          <w:sz w:val="22"/>
        </w:rPr>
        <w:t>benefit both the client and their networks (i.e.,</w:t>
      </w:r>
      <w:r>
        <w:rPr>
          <w:color w:val="010202"/>
          <w:spacing w:val="1"/>
          <w:sz w:val="22"/>
        </w:rPr>
        <w:t> </w:t>
      </w:r>
      <w:r>
        <w:rPr>
          <w:color w:val="010202"/>
          <w:sz w:val="22"/>
        </w:rPr>
        <w:t>sexual and injection drug use equipment–sharing</w:t>
      </w:r>
      <w:r>
        <w:rPr>
          <w:color w:val="010202"/>
          <w:spacing w:val="-52"/>
          <w:sz w:val="22"/>
        </w:rPr>
        <w:t> </w:t>
      </w:r>
      <w:r>
        <w:rPr>
          <w:color w:val="010202"/>
          <w:sz w:val="22"/>
        </w:rPr>
        <w:t>partners), and emphasizing that PrEP will not</w:t>
      </w:r>
      <w:r>
        <w:rPr>
          <w:color w:val="010202"/>
          <w:spacing w:val="1"/>
          <w:sz w:val="22"/>
        </w:rPr>
        <w:t> </w:t>
      </w:r>
      <w:r>
        <w:rPr>
          <w:color w:val="010202"/>
          <w:sz w:val="22"/>
        </w:rPr>
        <w:t>necessarily be a life-long medication.</w:t>
      </w:r>
    </w:p>
    <w:p>
      <w:pPr>
        <w:pStyle w:val="ListParagraph"/>
        <w:numPr>
          <w:ilvl w:val="0"/>
          <w:numId w:val="22"/>
        </w:numPr>
        <w:tabs>
          <w:tab w:pos="519" w:val="left" w:leader="none"/>
          <w:tab w:pos="520" w:val="left" w:leader="none"/>
        </w:tabs>
        <w:spacing w:line="249" w:lineRule="auto" w:before="100" w:after="0"/>
        <w:ind w:left="519" w:right="772" w:hanging="360"/>
        <w:jc w:val="left"/>
        <w:rPr>
          <w:sz w:val="22"/>
        </w:rPr>
      </w:pPr>
      <w:r>
        <w:rPr>
          <w:color w:val="010202"/>
          <w:spacing w:val="-1"/>
          <w:sz w:val="22"/>
        </w:rPr>
        <w:br w:type="column"/>
      </w:r>
      <w:r>
        <w:rPr>
          <w:color w:val="010202"/>
          <w:sz w:val="22"/>
        </w:rPr>
        <w:t>Faster Paths clients have an increased likelihood</w:t>
      </w:r>
      <w:r>
        <w:rPr>
          <w:color w:val="010202"/>
          <w:spacing w:val="-52"/>
          <w:sz w:val="22"/>
        </w:rPr>
        <w:t> </w:t>
      </w:r>
      <w:r>
        <w:rPr>
          <w:color w:val="010202"/>
          <w:sz w:val="22"/>
        </w:rPr>
        <w:t>of acute HIV disease due to a current outbreak</w:t>
      </w:r>
      <w:r>
        <w:rPr>
          <w:color w:val="010202"/>
          <w:spacing w:val="1"/>
          <w:sz w:val="22"/>
        </w:rPr>
        <w:t> </w:t>
      </w:r>
      <w:r>
        <w:rPr>
          <w:color w:val="010202"/>
          <w:spacing w:val="-1"/>
          <w:sz w:val="22"/>
        </w:rPr>
        <w:t>among </w:t>
      </w:r>
      <w:r>
        <w:rPr>
          <w:color w:val="010202"/>
          <w:sz w:val="22"/>
        </w:rPr>
        <w:t>PWID</w:t>
      </w:r>
      <w:r>
        <w:rPr>
          <w:color w:val="010202"/>
          <w:spacing w:val="-2"/>
          <w:sz w:val="22"/>
        </w:rPr>
        <w:t> </w:t>
      </w:r>
      <w:r>
        <w:rPr>
          <w:color w:val="010202"/>
          <w:sz w:val="22"/>
        </w:rPr>
        <w:t>in Boston,</w:t>
      </w:r>
      <w:r>
        <w:rPr>
          <w:color w:val="010202"/>
          <w:spacing w:val="-1"/>
          <w:sz w:val="22"/>
        </w:rPr>
        <w:t> </w:t>
      </w:r>
      <w:r>
        <w:rPr>
          <w:color w:val="010202"/>
          <w:sz w:val="22"/>
        </w:rPr>
        <w:t>MA.</w:t>
      </w:r>
      <w:r>
        <w:rPr>
          <w:color w:val="010202"/>
          <w:spacing w:val="-2"/>
          <w:sz w:val="22"/>
        </w:rPr>
        <w:t> </w:t>
      </w:r>
      <w:r>
        <w:rPr>
          <w:color w:val="010202"/>
          <w:sz w:val="22"/>
        </w:rPr>
        <w:t>In</w:t>
      </w:r>
      <w:r>
        <w:rPr>
          <w:color w:val="010202"/>
          <w:spacing w:val="-13"/>
          <w:sz w:val="22"/>
        </w:rPr>
        <w:t> </w:t>
      </w:r>
      <w:r>
        <w:rPr>
          <w:color w:val="010202"/>
          <w:sz w:val="22"/>
        </w:rPr>
        <w:t>April,</w:t>
      </w:r>
      <w:r>
        <w:rPr>
          <w:color w:val="010202"/>
          <w:spacing w:val="-2"/>
          <w:sz w:val="22"/>
        </w:rPr>
        <w:t> </w:t>
      </w:r>
      <w:r>
        <w:rPr>
          <w:color w:val="010202"/>
          <w:sz w:val="22"/>
        </w:rPr>
        <w:t>2020, 13</w:t>
      </w:r>
      <w:r>
        <w:rPr>
          <w:color w:val="010202"/>
          <w:spacing w:val="-52"/>
          <w:sz w:val="22"/>
        </w:rPr>
        <w:t> </w:t>
      </w:r>
      <w:r>
        <w:rPr>
          <w:color w:val="010202"/>
          <w:sz w:val="22"/>
        </w:rPr>
        <w:t>percent of HIV screening tests in Faster Paths</w:t>
      </w:r>
      <w:r>
        <w:rPr>
          <w:color w:val="010202"/>
          <w:spacing w:val="1"/>
          <w:sz w:val="22"/>
        </w:rPr>
        <w:t> </w:t>
      </w:r>
      <w:r>
        <w:rPr>
          <w:color w:val="010202"/>
          <w:sz w:val="22"/>
        </w:rPr>
        <w:t>resulted in a new diagnosis of HIV transmission</w:t>
      </w:r>
      <w:r>
        <w:rPr>
          <w:color w:val="010202"/>
          <w:spacing w:val="-52"/>
          <w:sz w:val="22"/>
        </w:rPr>
        <w:t> </w:t>
      </w:r>
      <w:r>
        <w:rPr>
          <w:color w:val="010202"/>
          <w:sz w:val="22"/>
        </w:rPr>
        <w:t>associated with injection drug use. Providers</w:t>
      </w:r>
      <w:r>
        <w:rPr>
          <w:color w:val="010202"/>
          <w:spacing w:val="1"/>
          <w:sz w:val="22"/>
        </w:rPr>
        <w:t> </w:t>
      </w:r>
      <w:r>
        <w:rPr>
          <w:color w:val="010202"/>
          <w:sz w:val="22"/>
        </w:rPr>
        <w:t>have</w:t>
      </w:r>
      <w:r>
        <w:rPr>
          <w:color w:val="010202"/>
          <w:spacing w:val="4"/>
          <w:sz w:val="22"/>
        </w:rPr>
        <w:t> </w:t>
      </w:r>
      <w:r>
        <w:rPr>
          <w:color w:val="010202"/>
          <w:sz w:val="22"/>
        </w:rPr>
        <w:t>expressed</w:t>
      </w:r>
      <w:r>
        <w:rPr>
          <w:color w:val="010202"/>
          <w:spacing w:val="5"/>
          <w:sz w:val="22"/>
        </w:rPr>
        <w:t> </w:t>
      </w:r>
      <w:r>
        <w:rPr>
          <w:color w:val="010202"/>
          <w:sz w:val="22"/>
        </w:rPr>
        <w:t>concern</w:t>
      </w:r>
      <w:r>
        <w:rPr>
          <w:color w:val="010202"/>
          <w:spacing w:val="5"/>
          <w:sz w:val="22"/>
        </w:rPr>
        <w:t> </w:t>
      </w:r>
      <w:r>
        <w:rPr>
          <w:color w:val="010202"/>
          <w:sz w:val="22"/>
        </w:rPr>
        <w:t>about</w:t>
      </w:r>
      <w:r>
        <w:rPr>
          <w:color w:val="010202"/>
          <w:spacing w:val="5"/>
          <w:sz w:val="22"/>
        </w:rPr>
        <w:t> </w:t>
      </w:r>
      <w:r>
        <w:rPr>
          <w:color w:val="010202"/>
          <w:sz w:val="22"/>
        </w:rPr>
        <w:t>starting</w:t>
      </w:r>
      <w:r>
        <w:rPr>
          <w:color w:val="010202"/>
          <w:spacing w:val="4"/>
          <w:sz w:val="22"/>
        </w:rPr>
        <w:t> </w:t>
      </w:r>
      <w:r>
        <w:rPr>
          <w:color w:val="010202"/>
          <w:sz w:val="22"/>
        </w:rPr>
        <w:t>same-</w:t>
      </w:r>
      <w:r>
        <w:rPr>
          <w:color w:val="010202"/>
          <w:spacing w:val="1"/>
          <w:sz w:val="22"/>
        </w:rPr>
        <w:t> </w:t>
      </w:r>
      <w:r>
        <w:rPr>
          <w:color w:val="010202"/>
          <w:sz w:val="22"/>
        </w:rPr>
        <w:t>day</w:t>
      </w:r>
      <w:r>
        <w:rPr>
          <w:color w:val="010202"/>
          <w:spacing w:val="-1"/>
          <w:sz w:val="22"/>
        </w:rPr>
        <w:t> </w:t>
      </w:r>
      <w:r>
        <w:rPr>
          <w:color w:val="010202"/>
          <w:sz w:val="22"/>
        </w:rPr>
        <w:t>PrEP</w:t>
      </w:r>
      <w:r>
        <w:rPr>
          <w:color w:val="010202"/>
          <w:spacing w:val="-10"/>
          <w:sz w:val="22"/>
        </w:rPr>
        <w:t> </w:t>
      </w:r>
      <w:r>
        <w:rPr>
          <w:color w:val="010202"/>
          <w:sz w:val="22"/>
        </w:rPr>
        <w:t>while</w:t>
      </w:r>
      <w:r>
        <w:rPr>
          <w:color w:val="010202"/>
          <w:spacing w:val="-2"/>
          <w:sz w:val="22"/>
        </w:rPr>
        <w:t> </w:t>
      </w:r>
      <w:r>
        <w:rPr>
          <w:color w:val="010202"/>
          <w:sz w:val="22"/>
        </w:rPr>
        <w:t>awaiting HIV</w:t>
      </w:r>
      <w:r>
        <w:rPr>
          <w:color w:val="010202"/>
          <w:spacing w:val="-6"/>
          <w:sz w:val="22"/>
        </w:rPr>
        <w:t> </w:t>
      </w:r>
      <w:r>
        <w:rPr>
          <w:color w:val="010202"/>
          <w:sz w:val="22"/>
        </w:rPr>
        <w:t>test</w:t>
      </w:r>
      <w:r>
        <w:rPr>
          <w:color w:val="010202"/>
          <w:spacing w:val="-1"/>
          <w:sz w:val="22"/>
        </w:rPr>
        <w:t> </w:t>
      </w:r>
      <w:r>
        <w:rPr>
          <w:color w:val="010202"/>
          <w:sz w:val="22"/>
        </w:rPr>
        <w:t>results due</w:t>
      </w:r>
    </w:p>
    <w:p>
      <w:pPr>
        <w:pStyle w:val="BodyText"/>
        <w:spacing w:line="249" w:lineRule="auto" w:before="6"/>
        <w:ind w:left="519" w:right="803"/>
      </w:pPr>
      <w:r>
        <w:rPr>
          <w:color w:val="010202"/>
        </w:rPr>
        <w:t>to</w:t>
      </w:r>
      <w:r>
        <w:rPr>
          <w:color w:val="010202"/>
          <w:spacing w:val="2"/>
        </w:rPr>
        <w:t> </w:t>
      </w:r>
      <w:r>
        <w:rPr>
          <w:color w:val="010202"/>
        </w:rPr>
        <w:t>potential</w:t>
      </w:r>
      <w:r>
        <w:rPr>
          <w:color w:val="010202"/>
          <w:spacing w:val="2"/>
        </w:rPr>
        <w:t> </w:t>
      </w:r>
      <w:r>
        <w:rPr>
          <w:color w:val="010202"/>
        </w:rPr>
        <w:t>barriers</w:t>
      </w:r>
      <w:r>
        <w:rPr>
          <w:color w:val="010202"/>
          <w:spacing w:val="3"/>
        </w:rPr>
        <w:t> </w:t>
      </w:r>
      <w:r>
        <w:rPr>
          <w:color w:val="010202"/>
        </w:rPr>
        <w:t>to</w:t>
      </w:r>
      <w:r>
        <w:rPr>
          <w:color w:val="010202"/>
          <w:spacing w:val="2"/>
        </w:rPr>
        <w:t> </w:t>
      </w:r>
      <w:r>
        <w:rPr>
          <w:color w:val="010202"/>
        </w:rPr>
        <w:t>reaching</w:t>
      </w:r>
      <w:r>
        <w:rPr>
          <w:color w:val="010202"/>
          <w:spacing w:val="2"/>
        </w:rPr>
        <w:t> </w:t>
      </w:r>
      <w:r>
        <w:rPr>
          <w:color w:val="010202"/>
        </w:rPr>
        <w:t>the</w:t>
      </w:r>
      <w:r>
        <w:rPr>
          <w:color w:val="010202"/>
          <w:spacing w:val="3"/>
        </w:rPr>
        <w:t> </w:t>
      </w:r>
      <w:r>
        <w:rPr>
          <w:color w:val="010202"/>
        </w:rPr>
        <w:t>client</w:t>
      </w:r>
      <w:r>
        <w:rPr>
          <w:color w:val="010202"/>
          <w:spacing w:val="2"/>
        </w:rPr>
        <w:t> </w:t>
      </w:r>
      <w:r>
        <w:rPr>
          <w:color w:val="010202"/>
        </w:rPr>
        <w:t>to</w:t>
      </w:r>
      <w:r>
        <w:rPr>
          <w:color w:val="010202"/>
          <w:spacing w:val="1"/>
        </w:rPr>
        <w:t> </w:t>
      </w:r>
      <w:r>
        <w:rPr>
          <w:color w:val="010202"/>
        </w:rPr>
        <w:t>stop PrEP if the test returns positive. However,</w:t>
      </w:r>
      <w:r>
        <w:rPr>
          <w:color w:val="010202"/>
          <w:spacing w:val="1"/>
        </w:rPr>
        <w:t> </w:t>
      </w:r>
      <w:r>
        <w:rPr>
          <w:color w:val="010202"/>
        </w:rPr>
        <w:t>providers realized when they asked the client to</w:t>
      </w:r>
      <w:r>
        <w:rPr>
          <w:color w:val="010202"/>
          <w:spacing w:val="-52"/>
        </w:rPr>
        <w:t> </w:t>
      </w:r>
      <w:r>
        <w:rPr>
          <w:color w:val="010202"/>
        </w:rPr>
        <w:t>return to the clinic to begin PrEP at a later date,</w:t>
      </w:r>
      <w:r>
        <w:rPr>
          <w:color w:val="010202"/>
          <w:spacing w:val="-52"/>
        </w:rPr>
        <w:t> </w:t>
      </w:r>
      <w:r>
        <w:rPr>
          <w:color w:val="010202"/>
        </w:rPr>
        <w:t>opportunities</w:t>
      </w:r>
      <w:r>
        <w:rPr>
          <w:color w:val="010202"/>
          <w:spacing w:val="-3"/>
        </w:rPr>
        <w:t> </w:t>
      </w:r>
      <w:r>
        <w:rPr>
          <w:color w:val="010202"/>
        </w:rPr>
        <w:t>were</w:t>
      </w:r>
      <w:r>
        <w:rPr>
          <w:color w:val="010202"/>
          <w:spacing w:val="-3"/>
        </w:rPr>
        <w:t> </w:t>
      </w:r>
      <w:r>
        <w:rPr>
          <w:color w:val="010202"/>
        </w:rPr>
        <w:t>missed</w:t>
      </w:r>
      <w:r>
        <w:rPr>
          <w:color w:val="010202"/>
          <w:spacing w:val="-2"/>
        </w:rPr>
        <w:t> </w:t>
      </w:r>
      <w:r>
        <w:rPr>
          <w:color w:val="010202"/>
        </w:rPr>
        <w:t>due</w:t>
      </w:r>
      <w:r>
        <w:rPr>
          <w:color w:val="010202"/>
          <w:spacing w:val="-2"/>
        </w:rPr>
        <w:t> </w:t>
      </w:r>
      <w:r>
        <w:rPr>
          <w:color w:val="010202"/>
        </w:rPr>
        <w:t>to</w:t>
      </w:r>
      <w:r>
        <w:rPr>
          <w:color w:val="010202"/>
          <w:spacing w:val="-2"/>
        </w:rPr>
        <w:t> </w:t>
      </w:r>
      <w:r>
        <w:rPr>
          <w:color w:val="010202"/>
        </w:rPr>
        <w:t>loss</w:t>
      </w:r>
      <w:r>
        <w:rPr>
          <w:color w:val="010202"/>
          <w:spacing w:val="-2"/>
        </w:rPr>
        <w:t> </w:t>
      </w:r>
      <w:r>
        <w:rPr>
          <w:color w:val="010202"/>
        </w:rPr>
        <w:t>to</w:t>
      </w:r>
      <w:r>
        <w:rPr>
          <w:color w:val="010202"/>
          <w:spacing w:val="-2"/>
        </w:rPr>
        <w:t> </w:t>
      </w:r>
      <w:r>
        <w:rPr>
          <w:color w:val="010202"/>
        </w:rPr>
        <w:t>follow-</w:t>
      </w:r>
    </w:p>
    <w:p>
      <w:pPr>
        <w:pStyle w:val="BodyText"/>
        <w:spacing w:line="249" w:lineRule="auto" w:before="4"/>
        <w:ind w:left="519" w:right="733"/>
      </w:pPr>
      <w:r>
        <w:rPr>
          <w:color w:val="010202"/>
        </w:rPr>
        <w:t>up.</w:t>
      </w:r>
      <w:r>
        <w:rPr>
          <w:color w:val="010202"/>
          <w:spacing w:val="-6"/>
        </w:rPr>
        <w:t> </w:t>
      </w:r>
      <w:r>
        <w:rPr>
          <w:color w:val="010202"/>
        </w:rPr>
        <w:t>Therefore,</w:t>
      </w:r>
      <w:r>
        <w:rPr>
          <w:color w:val="010202"/>
          <w:spacing w:val="-2"/>
        </w:rPr>
        <w:t> </w:t>
      </w:r>
      <w:r>
        <w:rPr>
          <w:color w:val="010202"/>
        </w:rPr>
        <w:t>if</w:t>
      </w:r>
      <w:r>
        <w:rPr>
          <w:color w:val="010202"/>
          <w:spacing w:val="-1"/>
        </w:rPr>
        <w:t> </w:t>
      </w:r>
      <w:r>
        <w:rPr>
          <w:color w:val="010202"/>
        </w:rPr>
        <w:t>a</w:t>
      </w:r>
      <w:r>
        <w:rPr>
          <w:color w:val="010202"/>
          <w:spacing w:val="-2"/>
        </w:rPr>
        <w:t> </w:t>
      </w:r>
      <w:r>
        <w:rPr>
          <w:color w:val="010202"/>
        </w:rPr>
        <w:t>client</w:t>
      </w:r>
      <w:r>
        <w:rPr>
          <w:color w:val="010202"/>
          <w:spacing w:val="-1"/>
        </w:rPr>
        <w:t> </w:t>
      </w:r>
      <w:r>
        <w:rPr>
          <w:color w:val="010202"/>
        </w:rPr>
        <w:t>has</w:t>
      </w:r>
      <w:r>
        <w:rPr>
          <w:color w:val="010202"/>
          <w:spacing w:val="-2"/>
        </w:rPr>
        <w:t> </w:t>
      </w:r>
      <w:r>
        <w:rPr>
          <w:color w:val="010202"/>
        </w:rPr>
        <w:t>a</w:t>
      </w:r>
      <w:r>
        <w:rPr>
          <w:color w:val="010202"/>
          <w:spacing w:val="-2"/>
        </w:rPr>
        <w:t> </w:t>
      </w:r>
      <w:r>
        <w:rPr>
          <w:color w:val="010202"/>
        </w:rPr>
        <w:t>reliable</w:t>
      </w:r>
      <w:r>
        <w:rPr>
          <w:color w:val="010202"/>
          <w:spacing w:val="-1"/>
        </w:rPr>
        <w:t> </w:t>
      </w:r>
      <w:r>
        <w:rPr>
          <w:color w:val="010202"/>
        </w:rPr>
        <w:t>method</w:t>
      </w:r>
      <w:r>
        <w:rPr>
          <w:color w:val="010202"/>
          <w:spacing w:val="-2"/>
        </w:rPr>
        <w:t> </w:t>
      </w:r>
      <w:r>
        <w:rPr>
          <w:color w:val="010202"/>
        </w:rPr>
        <w:t>of</w:t>
      </w:r>
      <w:r>
        <w:rPr>
          <w:color w:val="010202"/>
          <w:spacing w:val="-52"/>
        </w:rPr>
        <w:t> </w:t>
      </w:r>
      <w:r>
        <w:rPr>
          <w:color w:val="010202"/>
        </w:rPr>
        <w:t>contact, providers consider starting PrEP while</w:t>
      </w:r>
      <w:r>
        <w:rPr>
          <w:color w:val="010202"/>
          <w:spacing w:val="1"/>
        </w:rPr>
        <w:t> </w:t>
      </w:r>
      <w:r>
        <w:rPr>
          <w:color w:val="010202"/>
        </w:rPr>
        <w:t>HIV</w:t>
      </w:r>
      <w:r>
        <w:rPr>
          <w:color w:val="010202"/>
          <w:spacing w:val="-5"/>
        </w:rPr>
        <w:t> </w:t>
      </w:r>
      <w:r>
        <w:rPr>
          <w:color w:val="010202"/>
        </w:rPr>
        <w:t>test results are pending.</w:t>
      </w:r>
    </w:p>
    <w:p>
      <w:pPr>
        <w:pStyle w:val="ListParagraph"/>
        <w:numPr>
          <w:ilvl w:val="0"/>
          <w:numId w:val="22"/>
        </w:numPr>
        <w:tabs>
          <w:tab w:pos="519" w:val="left" w:leader="none"/>
          <w:tab w:pos="520" w:val="left" w:leader="none"/>
        </w:tabs>
        <w:spacing w:line="249" w:lineRule="auto" w:before="0" w:after="0"/>
        <w:ind w:left="519" w:right="904" w:hanging="360"/>
        <w:jc w:val="left"/>
        <w:rPr>
          <w:sz w:val="22"/>
        </w:rPr>
      </w:pPr>
      <w:r>
        <w:rPr>
          <w:color w:val="010202"/>
          <w:sz w:val="22"/>
        </w:rPr>
        <w:t>Many SUD providers were not educated about</w:t>
      </w:r>
      <w:r>
        <w:rPr>
          <w:color w:val="010202"/>
          <w:spacing w:val="-52"/>
          <w:sz w:val="22"/>
        </w:rPr>
        <w:t> </w:t>
      </w:r>
      <w:r>
        <w:rPr>
          <w:color w:val="010202"/>
          <w:sz w:val="22"/>
        </w:rPr>
        <w:t>PEP/PrEP</w:t>
      </w:r>
      <w:r>
        <w:rPr>
          <w:color w:val="010202"/>
          <w:spacing w:val="-4"/>
          <w:sz w:val="22"/>
        </w:rPr>
        <w:t> </w:t>
      </w:r>
      <w:r>
        <w:rPr>
          <w:color w:val="010202"/>
          <w:sz w:val="22"/>
        </w:rPr>
        <w:t>during</w:t>
      </w:r>
      <w:r>
        <w:rPr>
          <w:color w:val="010202"/>
          <w:spacing w:val="6"/>
          <w:sz w:val="22"/>
        </w:rPr>
        <w:t> </w:t>
      </w:r>
      <w:r>
        <w:rPr>
          <w:color w:val="010202"/>
          <w:sz w:val="22"/>
        </w:rPr>
        <w:t>their</w:t>
      </w:r>
      <w:r>
        <w:rPr>
          <w:color w:val="010202"/>
          <w:spacing w:val="5"/>
          <w:sz w:val="22"/>
        </w:rPr>
        <w:t> </w:t>
      </w:r>
      <w:r>
        <w:rPr>
          <w:color w:val="010202"/>
          <w:sz w:val="22"/>
        </w:rPr>
        <w:t>clinical</w:t>
      </w:r>
      <w:r>
        <w:rPr>
          <w:color w:val="010202"/>
          <w:spacing w:val="6"/>
          <w:sz w:val="22"/>
        </w:rPr>
        <w:t> </w:t>
      </w:r>
      <w:r>
        <w:rPr>
          <w:color w:val="010202"/>
          <w:sz w:val="22"/>
        </w:rPr>
        <w:t>training,</w:t>
      </w:r>
      <w:r>
        <w:rPr>
          <w:color w:val="010202"/>
          <w:spacing w:val="5"/>
          <w:sz w:val="22"/>
        </w:rPr>
        <w:t> </w:t>
      </w:r>
      <w:r>
        <w:rPr>
          <w:color w:val="010202"/>
          <w:sz w:val="22"/>
        </w:rPr>
        <w:t>and</w:t>
      </w:r>
      <w:r>
        <w:rPr>
          <w:color w:val="010202"/>
          <w:spacing w:val="1"/>
          <w:sz w:val="22"/>
        </w:rPr>
        <w:t> </w:t>
      </w:r>
      <w:r>
        <w:rPr>
          <w:color w:val="010202"/>
          <w:sz w:val="22"/>
        </w:rPr>
        <w:t>the PEP/PrEP cases seen in Faster Paths are</w:t>
      </w:r>
      <w:r>
        <w:rPr>
          <w:color w:val="010202"/>
          <w:spacing w:val="1"/>
          <w:sz w:val="22"/>
        </w:rPr>
        <w:t> </w:t>
      </w:r>
      <w:r>
        <w:rPr>
          <w:color w:val="010202"/>
          <w:sz w:val="22"/>
        </w:rPr>
        <w:t>complex. To increase provider confidence</w:t>
      </w:r>
      <w:r>
        <w:rPr>
          <w:color w:val="010202"/>
          <w:spacing w:val="1"/>
          <w:sz w:val="22"/>
        </w:rPr>
        <w:t> </w:t>
      </w:r>
      <w:r>
        <w:rPr>
          <w:color w:val="010202"/>
          <w:sz w:val="22"/>
        </w:rPr>
        <w:t>prescribing PEP/PrEP in PWID, Faster Paths</w:t>
      </w:r>
      <w:r>
        <w:rPr>
          <w:color w:val="010202"/>
          <w:spacing w:val="1"/>
          <w:sz w:val="22"/>
        </w:rPr>
        <w:t> </w:t>
      </w:r>
      <w:r>
        <w:rPr>
          <w:color w:val="010202"/>
          <w:sz w:val="22"/>
        </w:rPr>
        <w:t>conducts</w:t>
      </w:r>
      <w:r>
        <w:rPr>
          <w:color w:val="010202"/>
          <w:spacing w:val="-5"/>
          <w:sz w:val="22"/>
        </w:rPr>
        <w:t> </w:t>
      </w:r>
      <w:r>
        <w:rPr>
          <w:color w:val="010202"/>
          <w:sz w:val="22"/>
        </w:rPr>
        <w:t>didactic</w:t>
      </w:r>
      <w:r>
        <w:rPr>
          <w:color w:val="010202"/>
          <w:spacing w:val="-5"/>
          <w:sz w:val="22"/>
        </w:rPr>
        <w:t> </w:t>
      </w:r>
      <w:r>
        <w:rPr>
          <w:color w:val="010202"/>
          <w:sz w:val="22"/>
        </w:rPr>
        <w:t>sessions</w:t>
      </w:r>
      <w:r>
        <w:rPr>
          <w:color w:val="010202"/>
          <w:spacing w:val="-6"/>
          <w:sz w:val="22"/>
        </w:rPr>
        <w:t> </w:t>
      </w:r>
      <w:r>
        <w:rPr>
          <w:color w:val="010202"/>
          <w:sz w:val="22"/>
        </w:rPr>
        <w:t>with</w:t>
      </w:r>
      <w:r>
        <w:rPr>
          <w:color w:val="010202"/>
          <w:spacing w:val="-5"/>
          <w:sz w:val="22"/>
        </w:rPr>
        <w:t> </w:t>
      </w:r>
      <w:r>
        <w:rPr>
          <w:color w:val="010202"/>
          <w:sz w:val="22"/>
        </w:rPr>
        <w:t>faculty,</w:t>
      </w:r>
      <w:r>
        <w:rPr>
          <w:color w:val="010202"/>
          <w:spacing w:val="-5"/>
          <w:sz w:val="22"/>
        </w:rPr>
        <w:t> </w:t>
      </w:r>
      <w:r>
        <w:rPr>
          <w:color w:val="010202"/>
          <w:sz w:val="22"/>
        </w:rPr>
        <w:t>nurses,</w:t>
      </w:r>
      <w:r>
        <w:rPr>
          <w:color w:val="010202"/>
          <w:spacing w:val="-52"/>
          <w:sz w:val="22"/>
        </w:rPr>
        <w:t> </w:t>
      </w:r>
      <w:r>
        <w:rPr>
          <w:color w:val="010202"/>
          <w:sz w:val="22"/>
        </w:rPr>
        <w:t>fellows, licensed drug and alcohol counselors,</w:t>
      </w:r>
      <w:r>
        <w:rPr>
          <w:color w:val="010202"/>
          <w:spacing w:val="1"/>
          <w:sz w:val="22"/>
        </w:rPr>
        <w:t> </w:t>
      </w:r>
      <w:r>
        <w:rPr>
          <w:color w:val="010202"/>
          <w:sz w:val="22"/>
        </w:rPr>
        <w:t>and</w:t>
      </w:r>
      <w:r>
        <w:rPr>
          <w:color w:val="010202"/>
          <w:spacing w:val="-2"/>
          <w:sz w:val="22"/>
        </w:rPr>
        <w:t> </w:t>
      </w:r>
      <w:r>
        <w:rPr>
          <w:color w:val="010202"/>
          <w:sz w:val="22"/>
        </w:rPr>
        <w:t>administrative</w:t>
      </w:r>
      <w:r>
        <w:rPr>
          <w:color w:val="010202"/>
          <w:spacing w:val="-1"/>
          <w:sz w:val="22"/>
        </w:rPr>
        <w:t> </w:t>
      </w:r>
      <w:r>
        <w:rPr>
          <w:color w:val="010202"/>
          <w:sz w:val="22"/>
        </w:rPr>
        <w:t>staff</w:t>
      </w:r>
      <w:r>
        <w:rPr>
          <w:color w:val="010202"/>
          <w:spacing w:val="-2"/>
          <w:sz w:val="22"/>
        </w:rPr>
        <w:t> </w:t>
      </w:r>
      <w:r>
        <w:rPr>
          <w:color w:val="010202"/>
          <w:sz w:val="22"/>
        </w:rPr>
        <w:t>and</w:t>
      </w:r>
      <w:r>
        <w:rPr>
          <w:color w:val="010202"/>
          <w:spacing w:val="-1"/>
          <w:sz w:val="22"/>
        </w:rPr>
        <w:t> </w:t>
      </w:r>
      <w:r>
        <w:rPr>
          <w:color w:val="010202"/>
          <w:sz w:val="22"/>
        </w:rPr>
        <w:t>provides</w:t>
      </w:r>
      <w:r>
        <w:rPr>
          <w:color w:val="010202"/>
          <w:spacing w:val="-2"/>
          <w:sz w:val="22"/>
        </w:rPr>
        <w:t> </w:t>
      </w:r>
      <w:r>
        <w:rPr>
          <w:color w:val="010202"/>
          <w:sz w:val="22"/>
        </w:rPr>
        <w:t>real-time</w:t>
      </w:r>
    </w:p>
    <w:p>
      <w:pPr>
        <w:pStyle w:val="BodyText"/>
        <w:ind w:left="519"/>
      </w:pPr>
      <w:r>
        <w:rPr>
          <w:color w:val="010202"/>
        </w:rPr>
        <w:t>clinical</w:t>
      </w:r>
      <w:r>
        <w:rPr>
          <w:color w:val="010202"/>
          <w:spacing w:val="-3"/>
        </w:rPr>
        <w:t> </w:t>
      </w:r>
      <w:r>
        <w:rPr>
          <w:color w:val="010202"/>
        </w:rPr>
        <w:t>support</w:t>
      </w:r>
      <w:r>
        <w:rPr>
          <w:color w:val="010202"/>
          <w:spacing w:val="-4"/>
        </w:rPr>
        <w:t> </w:t>
      </w:r>
      <w:r>
        <w:rPr>
          <w:color w:val="010202"/>
        </w:rPr>
        <w:t>when</w:t>
      </w:r>
      <w:r>
        <w:rPr>
          <w:color w:val="010202"/>
          <w:spacing w:val="-3"/>
        </w:rPr>
        <w:t> </w:t>
      </w:r>
      <w:r>
        <w:rPr>
          <w:color w:val="010202"/>
        </w:rPr>
        <w:t>PEP/PrEP</w:t>
      </w:r>
      <w:r>
        <w:rPr>
          <w:color w:val="010202"/>
          <w:spacing w:val="-11"/>
        </w:rPr>
        <w:t> </w:t>
      </w:r>
      <w:r>
        <w:rPr>
          <w:color w:val="010202"/>
        </w:rPr>
        <w:t>questions</w:t>
      </w:r>
      <w:r>
        <w:rPr>
          <w:color w:val="010202"/>
          <w:spacing w:val="-3"/>
        </w:rPr>
        <w:t> </w:t>
      </w:r>
      <w:r>
        <w:rPr>
          <w:color w:val="010202"/>
        </w:rPr>
        <w:t>arise.</w:t>
      </w:r>
    </w:p>
    <w:p>
      <w:pPr>
        <w:spacing w:after="0"/>
        <w:sectPr>
          <w:type w:val="continuous"/>
          <w:pgSz w:w="12240" w:h="15840"/>
          <w:pgMar w:header="0" w:footer="666" w:top="1500" w:bottom="0" w:left="560" w:right="0"/>
          <w:cols w:num="2" w:equalWidth="0">
            <w:col w:w="5229" w:space="891"/>
            <w:col w:w="5560"/>
          </w:cols>
        </w:sectPr>
      </w:pPr>
    </w:p>
    <w:p>
      <w:pPr>
        <w:pStyle w:val="BodyText"/>
        <w:spacing w:before="9"/>
        <w:rPr>
          <w:sz w:val="23"/>
        </w:rPr>
      </w:pPr>
    </w:p>
    <w:p>
      <w:pPr>
        <w:pStyle w:val="BodyText"/>
        <w:ind w:left="160"/>
        <w:rPr>
          <w:sz w:val="20"/>
        </w:rPr>
      </w:pPr>
      <w:r>
        <w:rPr>
          <w:sz w:val="20"/>
        </w:rPr>
        <w:drawing>
          <wp:inline distT="0" distB="0" distL="0" distR="0">
            <wp:extent cx="6727095" cy="3211068"/>
            <wp:effectExtent l="0" t="0" r="0" b="0"/>
            <wp:docPr id="85" name="image34.png"/>
            <wp:cNvGraphicFramePr>
              <a:graphicFrameLocks noChangeAspect="1"/>
            </wp:cNvGraphicFramePr>
            <a:graphic>
              <a:graphicData uri="http://schemas.openxmlformats.org/drawingml/2006/picture">
                <pic:pic>
                  <pic:nvPicPr>
                    <pic:cNvPr id="86" name="image34.png"/>
                    <pic:cNvPicPr/>
                  </pic:nvPicPr>
                  <pic:blipFill>
                    <a:blip r:embed="rId333" cstate="print"/>
                    <a:stretch>
                      <a:fillRect/>
                    </a:stretch>
                  </pic:blipFill>
                  <pic:spPr>
                    <a:xfrm>
                      <a:off x="0" y="0"/>
                      <a:ext cx="6727095" cy="3211068"/>
                    </a:xfrm>
                    <a:prstGeom prst="rect">
                      <a:avLst/>
                    </a:prstGeom>
                  </pic:spPr>
                </pic:pic>
              </a:graphicData>
            </a:graphic>
          </wp:inline>
        </w:drawing>
      </w:r>
      <w:r>
        <w:rPr>
          <w:sz w:val="20"/>
        </w:rPr>
      </w:r>
    </w:p>
    <w:p>
      <w:pPr>
        <w:spacing w:after="0"/>
        <w:rPr>
          <w:sz w:val="20"/>
        </w:rPr>
        <w:sectPr>
          <w:type w:val="continuous"/>
          <w:pgSz w:w="12240" w:h="15840"/>
          <w:pgMar w:header="0" w:footer="666" w:top="1500" w:bottom="0" w:left="560" w:right="0"/>
        </w:sectPr>
      </w:pPr>
    </w:p>
    <w:p>
      <w:pPr>
        <w:pStyle w:val="BodyText"/>
        <w:rPr>
          <w:sz w:val="20"/>
        </w:rPr>
      </w:pPr>
    </w:p>
    <w:p>
      <w:pPr>
        <w:pStyle w:val="BodyText"/>
        <w:spacing w:before="3"/>
        <w:rPr>
          <w:sz w:val="19"/>
        </w:rPr>
      </w:pPr>
    </w:p>
    <w:p>
      <w:pPr>
        <w:pStyle w:val="Heading2"/>
      </w:pPr>
      <w:bookmarkStart w:name="Louisville Metro Syringe Exchange Progra" w:id="116"/>
      <w:bookmarkEnd w:id="116"/>
      <w:r>
        <w:rPr/>
      </w:r>
      <w:bookmarkStart w:name="Model Features and Elements" w:id="117"/>
      <w:bookmarkEnd w:id="117"/>
      <w:r>
        <w:rPr/>
      </w:r>
      <w:bookmarkStart w:name="Evidence-based Practice Implemented by t" w:id="118"/>
      <w:bookmarkEnd w:id="118"/>
      <w:r>
        <w:rPr/>
      </w:r>
      <w:bookmarkStart w:name="Syringe Services Program (SSP)" w:id="119"/>
      <w:bookmarkEnd w:id="119"/>
      <w:r>
        <w:rPr/>
      </w:r>
      <w:bookmarkStart w:name="Population of Focus" w:id="120"/>
      <w:bookmarkEnd w:id="120"/>
      <w:r>
        <w:rPr/>
      </w:r>
      <w:bookmarkStart w:name="Approximate Time Period (Duration)" w:id="121"/>
      <w:bookmarkEnd w:id="121"/>
      <w:r>
        <w:rPr/>
      </w:r>
      <w:bookmarkStart w:name="Related Resources" w:id="122"/>
      <w:bookmarkEnd w:id="122"/>
      <w:r>
        <w:rPr/>
      </w:r>
      <w:r>
        <w:rPr>
          <w:color w:val="1C384B"/>
          <w:spacing w:val="-1"/>
        </w:rPr>
        <w:t>Louisville</w:t>
      </w:r>
      <w:r>
        <w:rPr>
          <w:color w:val="1C384B"/>
          <w:spacing w:val="-27"/>
        </w:rPr>
        <w:t> </w:t>
      </w:r>
      <w:r>
        <w:rPr>
          <w:color w:val="1C384B"/>
          <w:spacing w:val="-1"/>
        </w:rPr>
        <w:t>Metro</w:t>
      </w:r>
      <w:r>
        <w:rPr>
          <w:color w:val="1C384B"/>
          <w:spacing w:val="-27"/>
        </w:rPr>
        <w:t> </w:t>
      </w:r>
      <w:r>
        <w:rPr>
          <w:color w:val="1C384B"/>
          <w:spacing w:val="-1"/>
        </w:rPr>
        <w:t>Syringe</w:t>
      </w:r>
      <w:r>
        <w:rPr>
          <w:color w:val="1C384B"/>
          <w:spacing w:val="-27"/>
        </w:rPr>
        <w:t> </w:t>
      </w:r>
      <w:r>
        <w:rPr>
          <w:color w:val="1C384B"/>
          <w:spacing w:val="-1"/>
        </w:rPr>
        <w:t>Exchange</w:t>
      </w:r>
      <w:r>
        <w:rPr>
          <w:color w:val="1C384B"/>
          <w:spacing w:val="-27"/>
        </w:rPr>
        <w:t> </w:t>
      </w:r>
      <w:r>
        <w:rPr>
          <w:color w:val="1C384B"/>
          <w:spacing w:val="-1"/>
        </w:rPr>
        <w:t>Program</w:t>
      </w:r>
      <w:r>
        <w:rPr>
          <w:color w:val="1C384B"/>
          <w:spacing w:val="-26"/>
        </w:rPr>
        <w:t> </w:t>
      </w:r>
      <w:r>
        <w:rPr>
          <w:color w:val="1C384B"/>
          <w:spacing w:val="-1"/>
        </w:rPr>
        <w:t>(LMSEP)</w:t>
      </w:r>
    </w:p>
    <w:p>
      <w:pPr>
        <w:pStyle w:val="BodyText"/>
        <w:spacing w:before="55"/>
        <w:ind w:left="160"/>
        <w:rPr>
          <w:rFonts w:ascii="Arial"/>
        </w:rPr>
      </w:pPr>
      <w:r>
        <w:rPr>
          <w:rFonts w:ascii="Arial"/>
          <w:color w:val="CE372E"/>
          <w:spacing w:val="-1"/>
        </w:rPr>
        <w:t>Louisville</w:t>
      </w:r>
      <w:r>
        <w:rPr>
          <w:rFonts w:ascii="Arial"/>
          <w:color w:val="CE372E"/>
          <w:spacing w:val="-14"/>
        </w:rPr>
        <w:t> </w:t>
      </w:r>
      <w:r>
        <w:rPr>
          <w:rFonts w:ascii="Arial"/>
          <w:color w:val="CE372E"/>
          <w:spacing w:val="-1"/>
        </w:rPr>
        <w:t>Metro</w:t>
      </w:r>
      <w:r>
        <w:rPr>
          <w:rFonts w:ascii="Arial"/>
          <w:color w:val="CE372E"/>
          <w:spacing w:val="-14"/>
        </w:rPr>
        <w:t> </w:t>
      </w:r>
      <w:r>
        <w:rPr>
          <w:rFonts w:ascii="Arial"/>
          <w:color w:val="CE372E"/>
          <w:spacing w:val="-1"/>
        </w:rPr>
        <w:t>Department</w:t>
      </w:r>
      <w:r>
        <w:rPr>
          <w:rFonts w:ascii="Arial"/>
          <w:color w:val="CE372E"/>
          <w:spacing w:val="-13"/>
        </w:rPr>
        <w:t> </w:t>
      </w:r>
      <w:r>
        <w:rPr>
          <w:rFonts w:ascii="Arial"/>
          <w:color w:val="CE372E"/>
          <w:spacing w:val="-1"/>
        </w:rPr>
        <w:t>of</w:t>
      </w:r>
      <w:r>
        <w:rPr>
          <w:rFonts w:ascii="Arial"/>
          <w:color w:val="CE372E"/>
          <w:spacing w:val="-14"/>
        </w:rPr>
        <w:t> </w:t>
      </w:r>
      <w:r>
        <w:rPr>
          <w:rFonts w:ascii="Arial"/>
          <w:color w:val="CE372E"/>
          <w:spacing w:val="-1"/>
        </w:rPr>
        <w:t>Public</w:t>
      </w:r>
      <w:r>
        <w:rPr>
          <w:rFonts w:ascii="Arial"/>
          <w:color w:val="CE372E"/>
          <w:spacing w:val="-13"/>
        </w:rPr>
        <w:t> </w:t>
      </w:r>
      <w:r>
        <w:rPr>
          <w:rFonts w:ascii="Arial"/>
          <w:color w:val="CE372E"/>
          <w:spacing w:val="-1"/>
        </w:rPr>
        <w:t>Health</w:t>
      </w:r>
      <w:r>
        <w:rPr>
          <w:rFonts w:ascii="Arial"/>
          <w:color w:val="CE372E"/>
          <w:spacing w:val="-14"/>
        </w:rPr>
        <w:t> </w:t>
      </w:r>
      <w:r>
        <w:rPr>
          <w:rFonts w:ascii="Arial"/>
          <w:color w:val="CE372E"/>
          <w:spacing w:val="-1"/>
        </w:rPr>
        <w:t>and</w:t>
      </w:r>
      <w:r>
        <w:rPr>
          <w:rFonts w:ascii="Arial"/>
          <w:color w:val="CE372E"/>
          <w:spacing w:val="-13"/>
        </w:rPr>
        <w:t> </w:t>
      </w:r>
      <w:r>
        <w:rPr>
          <w:rFonts w:ascii="Arial"/>
          <w:color w:val="CE372E"/>
          <w:spacing w:val="-1"/>
        </w:rPr>
        <w:t>Wellness</w:t>
      </w:r>
      <w:r>
        <w:rPr>
          <w:rFonts w:ascii="Arial"/>
          <w:color w:val="CE372E"/>
          <w:spacing w:val="-14"/>
        </w:rPr>
        <w:t> </w:t>
      </w:r>
      <w:r>
        <w:rPr>
          <w:rFonts w:ascii="Arial"/>
          <w:color w:val="CE372E"/>
        </w:rPr>
        <w:t>(Louisville,</w:t>
      </w:r>
      <w:r>
        <w:rPr>
          <w:rFonts w:ascii="Arial"/>
          <w:color w:val="CE372E"/>
          <w:spacing w:val="-13"/>
        </w:rPr>
        <w:t> </w:t>
      </w:r>
      <w:r>
        <w:rPr>
          <w:rFonts w:ascii="Arial"/>
          <w:color w:val="CE372E"/>
        </w:rPr>
        <w:t>KY)</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18"/>
        </w:rPr>
      </w:pPr>
    </w:p>
    <w:p>
      <w:pPr>
        <w:spacing w:after="0"/>
        <w:rPr>
          <w:rFonts w:ascii="Arial"/>
          <w:sz w:val="18"/>
        </w:rPr>
        <w:sectPr>
          <w:pgSz w:w="12240" w:h="15840"/>
          <w:pgMar w:header="0" w:footer="666" w:top="380" w:bottom="860" w:left="560" w:right="0"/>
        </w:sectPr>
      </w:pPr>
    </w:p>
    <w:p>
      <w:pPr>
        <w:pStyle w:val="BodyText"/>
        <w:spacing w:line="266" w:lineRule="auto" w:before="91"/>
        <w:ind w:left="160" w:right="141"/>
      </w:pPr>
      <w:r>
        <w:rPr/>
        <w:pict>
          <v:rect style="position:absolute;margin-left:0pt;margin-top:116.329102pt;width:612pt;height:1pt;mso-position-horizontal-relative:page;mso-position-vertical-relative:page;z-index:-18122240" id="docshape172" filled="true" fillcolor="#1c384b" stroked="false">
            <v:fill type="solid"/>
            <w10:wrap type="none"/>
          </v:rect>
        </w:pict>
      </w:r>
      <w:r>
        <w:rPr>
          <w:color w:val="231F20"/>
        </w:rPr>
        <w:t>The Louisville Metro Syringe Exchange Program</w:t>
      </w:r>
      <w:r>
        <w:rPr>
          <w:color w:val="231F20"/>
          <w:spacing w:val="1"/>
        </w:rPr>
        <w:t> </w:t>
      </w:r>
      <w:r>
        <w:rPr>
          <w:color w:val="231F20"/>
        </w:rPr>
        <w:t>(LMSEP) is a SSP that started in 2015. Established</w:t>
      </w:r>
      <w:r>
        <w:rPr>
          <w:color w:val="231F20"/>
          <w:spacing w:val="1"/>
        </w:rPr>
        <w:t> </w:t>
      </w:r>
      <w:r>
        <w:rPr>
          <w:color w:val="231F20"/>
        </w:rPr>
        <w:t>through the Louisville Department of Public Health and</w:t>
      </w:r>
      <w:r>
        <w:rPr>
          <w:color w:val="231F20"/>
          <w:spacing w:val="-53"/>
        </w:rPr>
        <w:t> </w:t>
      </w:r>
      <w:r>
        <w:rPr>
          <w:color w:val="231F20"/>
        </w:rPr>
        <w:t>Wellness,</w:t>
      </w:r>
      <w:r>
        <w:rPr>
          <w:color w:val="231F20"/>
          <w:spacing w:val="-1"/>
        </w:rPr>
        <w:t> </w:t>
      </w:r>
      <w:r>
        <w:rPr>
          <w:color w:val="231F20"/>
        </w:rPr>
        <w:t>LMSEP</w:t>
      </w:r>
      <w:r>
        <w:rPr>
          <w:color w:val="231F20"/>
          <w:spacing w:val="-10"/>
        </w:rPr>
        <w:t> </w:t>
      </w:r>
      <w:r>
        <w:rPr>
          <w:color w:val="231F20"/>
        </w:rPr>
        <w:t>has two</w:t>
      </w:r>
      <w:r>
        <w:rPr>
          <w:color w:val="231F20"/>
          <w:spacing w:val="-1"/>
        </w:rPr>
        <w:t> </w:t>
      </w:r>
      <w:r>
        <w:rPr>
          <w:color w:val="231F20"/>
        </w:rPr>
        <w:t>main goals:</w:t>
      </w:r>
    </w:p>
    <w:p>
      <w:pPr>
        <w:pStyle w:val="ListParagraph"/>
        <w:numPr>
          <w:ilvl w:val="1"/>
          <w:numId w:val="22"/>
        </w:numPr>
        <w:tabs>
          <w:tab w:pos="879" w:val="left" w:leader="none"/>
          <w:tab w:pos="880" w:val="left" w:leader="none"/>
        </w:tabs>
        <w:spacing w:line="249" w:lineRule="auto" w:before="145" w:after="0"/>
        <w:ind w:left="879" w:right="441" w:hanging="360"/>
        <w:jc w:val="left"/>
        <w:rPr>
          <w:sz w:val="22"/>
        </w:rPr>
      </w:pPr>
      <w:r>
        <w:rPr>
          <w:color w:val="010202"/>
          <w:sz w:val="22"/>
        </w:rPr>
        <w:t>Prevent the spread of blood-borne infectious</w:t>
      </w:r>
      <w:r>
        <w:rPr>
          <w:color w:val="010202"/>
          <w:spacing w:val="-52"/>
          <w:sz w:val="22"/>
        </w:rPr>
        <w:t> </w:t>
      </w:r>
      <w:r>
        <w:rPr>
          <w:color w:val="010202"/>
          <w:sz w:val="22"/>
        </w:rPr>
        <w:t>diseases</w:t>
      </w:r>
      <w:r>
        <w:rPr>
          <w:color w:val="010202"/>
          <w:spacing w:val="-3"/>
          <w:sz w:val="22"/>
        </w:rPr>
        <w:t> </w:t>
      </w:r>
      <w:r>
        <w:rPr>
          <w:color w:val="010202"/>
          <w:sz w:val="22"/>
        </w:rPr>
        <w:t>transmitted</w:t>
      </w:r>
      <w:r>
        <w:rPr>
          <w:color w:val="010202"/>
          <w:spacing w:val="-3"/>
          <w:sz w:val="22"/>
        </w:rPr>
        <w:t> </w:t>
      </w:r>
      <w:r>
        <w:rPr>
          <w:color w:val="010202"/>
          <w:sz w:val="22"/>
        </w:rPr>
        <w:t>through</w:t>
      </w:r>
      <w:r>
        <w:rPr>
          <w:color w:val="010202"/>
          <w:spacing w:val="-3"/>
          <w:sz w:val="22"/>
        </w:rPr>
        <w:t> </w:t>
      </w:r>
      <w:r>
        <w:rPr>
          <w:color w:val="010202"/>
          <w:sz w:val="22"/>
        </w:rPr>
        <w:t>syringe</w:t>
      </w:r>
      <w:r>
        <w:rPr>
          <w:color w:val="010202"/>
          <w:spacing w:val="-4"/>
          <w:sz w:val="22"/>
        </w:rPr>
        <w:t> </w:t>
      </w:r>
      <w:r>
        <w:rPr>
          <w:color w:val="010202"/>
          <w:sz w:val="22"/>
        </w:rPr>
        <w:t>sharing</w:t>
      </w:r>
    </w:p>
    <w:p>
      <w:pPr>
        <w:pStyle w:val="ListParagraph"/>
        <w:numPr>
          <w:ilvl w:val="1"/>
          <w:numId w:val="22"/>
        </w:numPr>
        <w:tabs>
          <w:tab w:pos="879" w:val="left" w:leader="none"/>
          <w:tab w:pos="880" w:val="left" w:leader="none"/>
        </w:tabs>
        <w:spacing w:line="254" w:lineRule="exact" w:before="0" w:after="0"/>
        <w:ind w:left="879" w:right="0" w:hanging="361"/>
        <w:jc w:val="left"/>
        <w:rPr>
          <w:sz w:val="22"/>
        </w:rPr>
      </w:pPr>
      <w:r>
        <w:rPr>
          <w:color w:val="010202"/>
          <w:sz w:val="22"/>
        </w:rPr>
        <w:t>Link</w:t>
      </w:r>
      <w:r>
        <w:rPr>
          <w:color w:val="010202"/>
          <w:spacing w:val="-1"/>
          <w:sz w:val="22"/>
        </w:rPr>
        <w:t> </w:t>
      </w:r>
      <w:r>
        <w:rPr>
          <w:color w:val="010202"/>
          <w:sz w:val="22"/>
        </w:rPr>
        <w:t>PWID</w:t>
      </w:r>
      <w:r>
        <w:rPr>
          <w:color w:val="010202"/>
          <w:spacing w:val="-2"/>
          <w:sz w:val="22"/>
        </w:rPr>
        <w:t> </w:t>
      </w:r>
      <w:r>
        <w:rPr>
          <w:color w:val="010202"/>
          <w:sz w:val="22"/>
        </w:rPr>
        <w:t>to</w:t>
      </w:r>
      <w:r>
        <w:rPr>
          <w:color w:val="010202"/>
          <w:spacing w:val="-1"/>
          <w:sz w:val="22"/>
        </w:rPr>
        <w:t> </w:t>
      </w:r>
      <w:r>
        <w:rPr>
          <w:color w:val="010202"/>
          <w:sz w:val="22"/>
        </w:rPr>
        <w:t>treatment</w:t>
      </w:r>
    </w:p>
    <w:p>
      <w:pPr>
        <w:pStyle w:val="BodyText"/>
        <w:spacing w:line="266" w:lineRule="auto" w:before="207"/>
        <w:ind w:left="159" w:right="159"/>
      </w:pPr>
      <w:r>
        <w:rPr>
          <w:color w:val="231F20"/>
        </w:rPr>
        <w:t>As a harm reduction program, LMSEP works with</w:t>
      </w:r>
      <w:r>
        <w:rPr>
          <w:color w:val="231F20"/>
          <w:spacing w:val="1"/>
        </w:rPr>
        <w:t> </w:t>
      </w:r>
      <w:r>
        <w:rPr>
          <w:color w:val="231F20"/>
        </w:rPr>
        <w:t>numerous</w:t>
      </w:r>
      <w:r>
        <w:rPr>
          <w:color w:val="231F20"/>
          <w:spacing w:val="-4"/>
        </w:rPr>
        <w:t> </w:t>
      </w:r>
      <w:r>
        <w:rPr>
          <w:color w:val="231F20"/>
        </w:rPr>
        <w:t>community</w:t>
      </w:r>
      <w:r>
        <w:rPr>
          <w:color w:val="231F20"/>
          <w:spacing w:val="-3"/>
        </w:rPr>
        <w:t> </w:t>
      </w:r>
      <w:r>
        <w:rPr>
          <w:color w:val="231F20"/>
        </w:rPr>
        <w:t>organizations</w:t>
      </w:r>
      <w:r>
        <w:rPr>
          <w:color w:val="231F20"/>
          <w:spacing w:val="-3"/>
        </w:rPr>
        <w:t> </w:t>
      </w:r>
      <w:r>
        <w:rPr>
          <w:color w:val="231F20"/>
        </w:rPr>
        <w:t>and</w:t>
      </w:r>
      <w:r>
        <w:rPr>
          <w:color w:val="231F20"/>
          <w:spacing w:val="-3"/>
        </w:rPr>
        <w:t> </w:t>
      </w:r>
      <w:r>
        <w:rPr>
          <w:color w:val="231F20"/>
        </w:rPr>
        <w:t>stakeholders</w:t>
      </w:r>
      <w:r>
        <w:rPr>
          <w:color w:val="231F20"/>
          <w:spacing w:val="-4"/>
        </w:rPr>
        <w:t> </w:t>
      </w:r>
      <w:r>
        <w:rPr>
          <w:color w:val="231F20"/>
        </w:rPr>
        <w:t>to</w:t>
      </w:r>
      <w:r>
        <w:rPr>
          <w:color w:val="231F20"/>
          <w:spacing w:val="-52"/>
        </w:rPr>
        <w:t> </w:t>
      </w:r>
      <w:r>
        <w:rPr>
          <w:color w:val="231F20"/>
        </w:rPr>
        <w:t>provide the following to PWID in the Louisville Metro</w:t>
      </w:r>
      <w:r>
        <w:rPr>
          <w:color w:val="231F20"/>
          <w:spacing w:val="1"/>
        </w:rPr>
        <w:t> </w:t>
      </w:r>
      <w:r>
        <w:rPr>
          <w:color w:val="231F20"/>
        </w:rPr>
        <w:t>area:</w:t>
      </w:r>
    </w:p>
    <w:p>
      <w:pPr>
        <w:pStyle w:val="ListParagraph"/>
        <w:numPr>
          <w:ilvl w:val="1"/>
          <w:numId w:val="22"/>
        </w:numPr>
        <w:tabs>
          <w:tab w:pos="879" w:val="left" w:leader="none"/>
          <w:tab w:pos="880" w:val="left" w:leader="none"/>
        </w:tabs>
        <w:spacing w:line="267" w:lineRule="exact" w:before="145" w:after="0"/>
        <w:ind w:left="879" w:right="0" w:hanging="361"/>
        <w:jc w:val="left"/>
        <w:rPr>
          <w:sz w:val="22"/>
        </w:rPr>
      </w:pPr>
      <w:r>
        <w:rPr>
          <w:color w:val="010202"/>
          <w:sz w:val="22"/>
        </w:rPr>
        <w:t>Access</w:t>
      </w:r>
      <w:r>
        <w:rPr>
          <w:color w:val="010202"/>
          <w:spacing w:val="-4"/>
          <w:sz w:val="22"/>
        </w:rPr>
        <w:t> </w:t>
      </w:r>
      <w:r>
        <w:rPr>
          <w:color w:val="010202"/>
          <w:sz w:val="22"/>
        </w:rPr>
        <w:t>to</w:t>
      </w:r>
      <w:r>
        <w:rPr>
          <w:color w:val="010202"/>
          <w:spacing w:val="-3"/>
          <w:sz w:val="22"/>
        </w:rPr>
        <w:t> </w:t>
      </w:r>
      <w:r>
        <w:rPr>
          <w:color w:val="010202"/>
          <w:sz w:val="22"/>
        </w:rPr>
        <w:t>free</w:t>
      </w:r>
      <w:r>
        <w:rPr>
          <w:color w:val="010202"/>
          <w:spacing w:val="-3"/>
          <w:sz w:val="22"/>
        </w:rPr>
        <w:t> </w:t>
      </w:r>
      <w:r>
        <w:rPr>
          <w:color w:val="010202"/>
          <w:sz w:val="22"/>
        </w:rPr>
        <w:t>and</w:t>
      </w:r>
      <w:r>
        <w:rPr>
          <w:color w:val="010202"/>
          <w:spacing w:val="-4"/>
          <w:sz w:val="22"/>
        </w:rPr>
        <w:t> </w:t>
      </w:r>
      <w:r>
        <w:rPr>
          <w:color w:val="010202"/>
          <w:sz w:val="22"/>
        </w:rPr>
        <w:t>sterile</w:t>
      </w:r>
      <w:r>
        <w:rPr>
          <w:color w:val="010202"/>
          <w:spacing w:val="-3"/>
          <w:sz w:val="22"/>
        </w:rPr>
        <w:t> </w:t>
      </w:r>
      <w:r>
        <w:rPr>
          <w:color w:val="010202"/>
          <w:sz w:val="22"/>
        </w:rPr>
        <w:t>syringes</w:t>
      </w:r>
    </w:p>
    <w:p>
      <w:pPr>
        <w:pStyle w:val="ListParagraph"/>
        <w:numPr>
          <w:ilvl w:val="1"/>
          <w:numId w:val="22"/>
        </w:numPr>
        <w:tabs>
          <w:tab w:pos="879" w:val="left" w:leader="none"/>
          <w:tab w:pos="880" w:val="left" w:leader="none"/>
        </w:tabs>
        <w:spacing w:line="249" w:lineRule="auto" w:before="0" w:after="0"/>
        <w:ind w:left="879" w:right="38" w:hanging="360"/>
        <w:jc w:val="left"/>
        <w:rPr>
          <w:sz w:val="22"/>
        </w:rPr>
      </w:pPr>
      <w:r>
        <w:rPr>
          <w:color w:val="010202"/>
          <w:sz w:val="22"/>
        </w:rPr>
        <w:t>Safe</w:t>
      </w:r>
      <w:r>
        <w:rPr>
          <w:color w:val="010202"/>
          <w:spacing w:val="-3"/>
          <w:sz w:val="22"/>
        </w:rPr>
        <w:t> </w:t>
      </w:r>
      <w:r>
        <w:rPr>
          <w:color w:val="010202"/>
          <w:sz w:val="22"/>
        </w:rPr>
        <w:t>syringe</w:t>
      </w:r>
      <w:r>
        <w:rPr>
          <w:color w:val="010202"/>
          <w:spacing w:val="-2"/>
          <w:sz w:val="22"/>
        </w:rPr>
        <w:t> </w:t>
      </w:r>
      <w:r>
        <w:rPr>
          <w:color w:val="010202"/>
          <w:sz w:val="22"/>
        </w:rPr>
        <w:t>disposal</w:t>
      </w:r>
      <w:r>
        <w:rPr>
          <w:color w:val="010202"/>
          <w:spacing w:val="-3"/>
          <w:sz w:val="22"/>
        </w:rPr>
        <w:t> </w:t>
      </w:r>
      <w:r>
        <w:rPr>
          <w:color w:val="010202"/>
          <w:sz w:val="22"/>
        </w:rPr>
        <w:t>(on</w:t>
      </w:r>
      <w:r>
        <w:rPr>
          <w:color w:val="010202"/>
          <w:spacing w:val="-2"/>
          <w:sz w:val="22"/>
        </w:rPr>
        <w:t> </w:t>
      </w:r>
      <w:r>
        <w:rPr>
          <w:color w:val="010202"/>
          <w:sz w:val="22"/>
        </w:rPr>
        <w:t>site</w:t>
      </w:r>
      <w:r>
        <w:rPr>
          <w:color w:val="010202"/>
          <w:spacing w:val="-3"/>
          <w:sz w:val="22"/>
        </w:rPr>
        <w:t> </w:t>
      </w:r>
      <w:r>
        <w:rPr>
          <w:color w:val="010202"/>
          <w:sz w:val="22"/>
        </w:rPr>
        <w:t>and</w:t>
      </w:r>
      <w:r>
        <w:rPr>
          <w:color w:val="010202"/>
          <w:spacing w:val="-2"/>
          <w:sz w:val="22"/>
        </w:rPr>
        <w:t> </w:t>
      </w:r>
      <w:r>
        <w:rPr>
          <w:color w:val="010202"/>
          <w:sz w:val="22"/>
        </w:rPr>
        <w:t>at</w:t>
      </w:r>
      <w:r>
        <w:rPr>
          <w:color w:val="010202"/>
          <w:spacing w:val="-3"/>
          <w:sz w:val="22"/>
        </w:rPr>
        <w:t> </w:t>
      </w:r>
      <w:r>
        <w:rPr>
          <w:color w:val="010202"/>
          <w:sz w:val="22"/>
        </w:rPr>
        <w:t>two</w:t>
      </w:r>
      <w:r>
        <w:rPr>
          <w:color w:val="010202"/>
          <w:spacing w:val="-2"/>
          <w:sz w:val="22"/>
        </w:rPr>
        <w:t> </w:t>
      </w:r>
      <w:r>
        <w:rPr>
          <w:color w:val="010202"/>
          <w:sz w:val="22"/>
        </w:rPr>
        <w:t>mailbox</w:t>
      </w:r>
      <w:r>
        <w:rPr>
          <w:color w:val="010202"/>
          <w:spacing w:val="-52"/>
          <w:sz w:val="22"/>
        </w:rPr>
        <w:t> </w:t>
      </w:r>
      <w:r>
        <w:rPr>
          <w:color w:val="010202"/>
          <w:sz w:val="22"/>
        </w:rPr>
        <w:t>disposals in the community)</w:t>
      </w:r>
    </w:p>
    <w:p>
      <w:pPr>
        <w:pStyle w:val="ListParagraph"/>
        <w:numPr>
          <w:ilvl w:val="1"/>
          <w:numId w:val="22"/>
        </w:numPr>
        <w:tabs>
          <w:tab w:pos="879" w:val="left" w:leader="none"/>
          <w:tab w:pos="880" w:val="left" w:leader="none"/>
        </w:tabs>
        <w:spacing w:line="251" w:lineRule="exact" w:before="0" w:after="0"/>
        <w:ind w:left="879" w:right="0" w:hanging="361"/>
        <w:jc w:val="left"/>
        <w:rPr>
          <w:sz w:val="22"/>
        </w:rPr>
      </w:pPr>
      <w:r>
        <w:rPr>
          <w:color w:val="010202"/>
          <w:sz w:val="22"/>
        </w:rPr>
        <w:t>Fentanyl</w:t>
      </w:r>
      <w:r>
        <w:rPr>
          <w:color w:val="010202"/>
          <w:spacing w:val="-5"/>
          <w:sz w:val="22"/>
        </w:rPr>
        <w:t> </w:t>
      </w:r>
      <w:r>
        <w:rPr>
          <w:color w:val="010202"/>
          <w:sz w:val="22"/>
        </w:rPr>
        <w:t>test</w:t>
      </w:r>
      <w:r>
        <w:rPr>
          <w:color w:val="010202"/>
          <w:spacing w:val="-4"/>
          <w:sz w:val="22"/>
        </w:rPr>
        <w:t> </w:t>
      </w:r>
      <w:r>
        <w:rPr>
          <w:color w:val="010202"/>
          <w:sz w:val="22"/>
        </w:rPr>
        <w:t>strips</w:t>
      </w:r>
    </w:p>
    <w:p>
      <w:pPr>
        <w:pStyle w:val="ListParagraph"/>
        <w:numPr>
          <w:ilvl w:val="1"/>
          <w:numId w:val="22"/>
        </w:numPr>
        <w:tabs>
          <w:tab w:pos="879" w:val="left" w:leader="none"/>
          <w:tab w:pos="880" w:val="left" w:leader="none"/>
        </w:tabs>
        <w:spacing w:line="264" w:lineRule="exact" w:before="0" w:after="0"/>
        <w:ind w:left="879" w:right="0" w:hanging="361"/>
        <w:jc w:val="left"/>
        <w:rPr>
          <w:sz w:val="22"/>
        </w:rPr>
      </w:pPr>
      <w:r>
        <w:rPr>
          <w:color w:val="010202"/>
          <w:sz w:val="22"/>
        </w:rPr>
        <w:t>Safe</w:t>
      </w:r>
      <w:r>
        <w:rPr>
          <w:color w:val="010202"/>
          <w:spacing w:val="-5"/>
          <w:sz w:val="22"/>
        </w:rPr>
        <w:t> </w:t>
      </w:r>
      <w:r>
        <w:rPr>
          <w:color w:val="010202"/>
          <w:sz w:val="22"/>
        </w:rPr>
        <w:t>injection</w:t>
      </w:r>
      <w:r>
        <w:rPr>
          <w:color w:val="010202"/>
          <w:spacing w:val="-3"/>
          <w:sz w:val="22"/>
        </w:rPr>
        <w:t> </w:t>
      </w:r>
      <w:r>
        <w:rPr>
          <w:color w:val="010202"/>
          <w:sz w:val="22"/>
        </w:rPr>
        <w:t>supplies</w:t>
      </w:r>
    </w:p>
    <w:p>
      <w:pPr>
        <w:pStyle w:val="ListParagraph"/>
        <w:numPr>
          <w:ilvl w:val="1"/>
          <w:numId w:val="22"/>
        </w:numPr>
        <w:tabs>
          <w:tab w:pos="879" w:val="left" w:leader="none"/>
          <w:tab w:pos="880" w:val="left" w:leader="none"/>
        </w:tabs>
        <w:spacing w:line="249" w:lineRule="auto" w:before="0" w:after="0"/>
        <w:ind w:left="879" w:right="419" w:hanging="360"/>
        <w:jc w:val="left"/>
        <w:rPr>
          <w:sz w:val="22"/>
        </w:rPr>
      </w:pPr>
      <w:r>
        <w:rPr>
          <w:color w:val="010202"/>
          <w:sz w:val="22"/>
        </w:rPr>
        <w:t>HIV</w:t>
      </w:r>
      <w:r>
        <w:rPr>
          <w:color w:val="010202"/>
          <w:spacing w:val="-6"/>
          <w:sz w:val="22"/>
        </w:rPr>
        <w:t> </w:t>
      </w:r>
      <w:r>
        <w:rPr>
          <w:color w:val="010202"/>
          <w:sz w:val="22"/>
        </w:rPr>
        <w:t>and</w:t>
      </w:r>
      <w:r>
        <w:rPr>
          <w:color w:val="010202"/>
          <w:spacing w:val="-3"/>
          <w:sz w:val="22"/>
        </w:rPr>
        <w:t> </w:t>
      </w:r>
      <w:r>
        <w:rPr>
          <w:color w:val="010202"/>
          <w:sz w:val="22"/>
        </w:rPr>
        <w:t>hepatitis</w:t>
      </w:r>
      <w:r>
        <w:rPr>
          <w:color w:val="010202"/>
          <w:spacing w:val="-2"/>
          <w:sz w:val="22"/>
        </w:rPr>
        <w:t> </w:t>
      </w:r>
      <w:r>
        <w:rPr>
          <w:color w:val="010202"/>
          <w:sz w:val="22"/>
        </w:rPr>
        <w:t>C</w:t>
      </w:r>
      <w:r>
        <w:rPr>
          <w:color w:val="010202"/>
          <w:spacing w:val="-2"/>
          <w:sz w:val="22"/>
        </w:rPr>
        <w:t> </w:t>
      </w:r>
      <w:r>
        <w:rPr>
          <w:color w:val="010202"/>
          <w:sz w:val="22"/>
        </w:rPr>
        <w:t>virus</w:t>
      </w:r>
      <w:r>
        <w:rPr>
          <w:color w:val="010202"/>
          <w:spacing w:val="-2"/>
          <w:sz w:val="22"/>
        </w:rPr>
        <w:t> </w:t>
      </w:r>
      <w:r>
        <w:rPr>
          <w:color w:val="010202"/>
          <w:sz w:val="22"/>
        </w:rPr>
        <w:t>(HCV)</w:t>
      </w:r>
      <w:r>
        <w:rPr>
          <w:color w:val="010202"/>
          <w:spacing w:val="-2"/>
          <w:sz w:val="22"/>
        </w:rPr>
        <w:t> </w:t>
      </w:r>
      <w:r>
        <w:rPr>
          <w:color w:val="010202"/>
          <w:sz w:val="22"/>
        </w:rPr>
        <w:t>testing</w:t>
      </w:r>
      <w:r>
        <w:rPr>
          <w:color w:val="010202"/>
          <w:spacing w:val="-2"/>
          <w:sz w:val="22"/>
        </w:rPr>
        <w:t> </w:t>
      </w:r>
      <w:r>
        <w:rPr>
          <w:color w:val="010202"/>
          <w:sz w:val="22"/>
        </w:rPr>
        <w:t>and</w:t>
      </w:r>
      <w:r>
        <w:rPr>
          <w:color w:val="010202"/>
          <w:spacing w:val="-52"/>
          <w:sz w:val="22"/>
        </w:rPr>
        <w:t> </w:t>
      </w:r>
      <w:r>
        <w:rPr>
          <w:color w:val="010202"/>
          <w:sz w:val="22"/>
        </w:rPr>
        <w:t>referrals</w:t>
      </w:r>
    </w:p>
    <w:p>
      <w:pPr>
        <w:pStyle w:val="ListParagraph"/>
        <w:numPr>
          <w:ilvl w:val="1"/>
          <w:numId w:val="22"/>
        </w:numPr>
        <w:tabs>
          <w:tab w:pos="879" w:val="left" w:leader="none"/>
          <w:tab w:pos="880" w:val="left" w:leader="none"/>
        </w:tabs>
        <w:spacing w:line="254" w:lineRule="exact" w:before="0" w:after="0"/>
        <w:ind w:left="879" w:right="0" w:hanging="361"/>
        <w:jc w:val="left"/>
        <w:rPr>
          <w:sz w:val="22"/>
        </w:rPr>
      </w:pPr>
      <w:r>
        <w:rPr>
          <w:color w:val="010202"/>
          <w:sz w:val="22"/>
        </w:rPr>
        <w:t>Referrals</w:t>
      </w:r>
      <w:r>
        <w:rPr>
          <w:color w:val="010202"/>
          <w:spacing w:val="-1"/>
          <w:sz w:val="22"/>
        </w:rPr>
        <w:t> </w:t>
      </w:r>
      <w:r>
        <w:rPr>
          <w:color w:val="010202"/>
          <w:sz w:val="22"/>
        </w:rPr>
        <w:t>for mental</w:t>
      </w:r>
      <w:r>
        <w:rPr>
          <w:color w:val="010202"/>
          <w:spacing w:val="-1"/>
          <w:sz w:val="22"/>
        </w:rPr>
        <w:t> </w:t>
      </w:r>
      <w:r>
        <w:rPr>
          <w:color w:val="010202"/>
          <w:sz w:val="22"/>
        </w:rPr>
        <w:t>illness and/or</w:t>
      </w:r>
      <w:r>
        <w:rPr>
          <w:color w:val="010202"/>
          <w:spacing w:val="-1"/>
          <w:sz w:val="22"/>
        </w:rPr>
        <w:t> </w:t>
      </w:r>
      <w:r>
        <w:rPr>
          <w:color w:val="010202"/>
          <w:sz w:val="22"/>
        </w:rPr>
        <w:t>SUD</w:t>
      </w:r>
    </w:p>
    <w:p>
      <w:pPr>
        <w:pStyle w:val="BodyText"/>
        <w:spacing w:line="251" w:lineRule="exact" w:before="5"/>
        <w:ind w:left="879"/>
      </w:pPr>
      <w:r>
        <w:rPr>
          <w:color w:val="010202"/>
        </w:rPr>
        <w:t>treatment</w:t>
      </w:r>
    </w:p>
    <w:p>
      <w:pPr>
        <w:pStyle w:val="ListParagraph"/>
        <w:numPr>
          <w:ilvl w:val="1"/>
          <w:numId w:val="22"/>
        </w:numPr>
        <w:tabs>
          <w:tab w:pos="879" w:val="left" w:leader="none"/>
          <w:tab w:pos="880" w:val="left" w:leader="none"/>
        </w:tabs>
        <w:spacing w:line="264" w:lineRule="exact" w:before="0" w:after="0"/>
        <w:ind w:left="879" w:right="0" w:hanging="361"/>
        <w:jc w:val="left"/>
        <w:rPr>
          <w:sz w:val="22"/>
        </w:rPr>
      </w:pPr>
      <w:r>
        <w:rPr>
          <w:color w:val="010202"/>
          <w:sz w:val="22"/>
        </w:rPr>
        <w:t>Counseling</w:t>
      </w:r>
    </w:p>
    <w:p>
      <w:pPr>
        <w:pStyle w:val="ListParagraph"/>
        <w:numPr>
          <w:ilvl w:val="1"/>
          <w:numId w:val="22"/>
        </w:numPr>
        <w:tabs>
          <w:tab w:pos="879" w:val="left" w:leader="none"/>
          <w:tab w:pos="880" w:val="left" w:leader="none"/>
        </w:tabs>
        <w:spacing w:line="249" w:lineRule="auto" w:before="0" w:after="0"/>
        <w:ind w:left="879" w:right="325" w:hanging="360"/>
        <w:jc w:val="left"/>
        <w:rPr>
          <w:sz w:val="22"/>
        </w:rPr>
      </w:pPr>
      <w:r>
        <w:rPr>
          <w:color w:val="010202"/>
          <w:sz w:val="22"/>
        </w:rPr>
        <w:t>Harm reduction education on HCV, HIV,</w:t>
      </w:r>
      <w:r>
        <w:rPr>
          <w:color w:val="010202"/>
          <w:spacing w:val="1"/>
          <w:sz w:val="22"/>
        </w:rPr>
        <w:t> </w:t>
      </w:r>
      <w:r>
        <w:rPr>
          <w:color w:val="010202"/>
          <w:sz w:val="22"/>
        </w:rPr>
        <w:t>sexually transmitted infections, wound care,</w:t>
      </w:r>
      <w:r>
        <w:rPr>
          <w:color w:val="010202"/>
          <w:spacing w:val="1"/>
          <w:sz w:val="22"/>
        </w:rPr>
        <w:t> </w:t>
      </w:r>
      <w:r>
        <w:rPr>
          <w:color w:val="010202"/>
          <w:sz w:val="22"/>
        </w:rPr>
        <w:t>and overdose prevention (including providing</w:t>
      </w:r>
      <w:r>
        <w:rPr>
          <w:color w:val="010202"/>
          <w:spacing w:val="-52"/>
          <w:sz w:val="22"/>
        </w:rPr>
        <w:t> </w:t>
      </w:r>
      <w:r>
        <w:rPr>
          <w:color w:val="010202"/>
          <w:sz w:val="22"/>
        </w:rPr>
        <w:t>naloxone)</w:t>
      </w:r>
    </w:p>
    <w:p>
      <w:pPr>
        <w:pStyle w:val="BodyText"/>
        <w:spacing w:line="266" w:lineRule="auto" w:before="195"/>
        <w:ind w:left="159" w:right="155"/>
      </w:pPr>
      <w:r>
        <w:rPr>
          <w:color w:val="231F20"/>
        </w:rPr>
        <w:t>LMSEP offers syringe exchange services at their main</w:t>
      </w:r>
      <w:r>
        <w:rPr>
          <w:color w:val="231F20"/>
          <w:spacing w:val="1"/>
        </w:rPr>
        <w:t> </w:t>
      </w:r>
      <w:r>
        <w:rPr>
          <w:color w:val="231F20"/>
        </w:rPr>
        <w:t>site inside the Louisville Metro Department of Public</w:t>
      </w:r>
      <w:r>
        <w:rPr>
          <w:color w:val="231F20"/>
          <w:spacing w:val="1"/>
        </w:rPr>
        <w:t> </w:t>
      </w:r>
      <w:r>
        <w:rPr>
          <w:color w:val="231F20"/>
        </w:rPr>
        <w:t>Health and Wellness. In addition, they offer mobile van</w:t>
      </w:r>
      <w:r>
        <w:rPr>
          <w:color w:val="231F20"/>
          <w:spacing w:val="-52"/>
        </w:rPr>
        <w:t> </w:t>
      </w:r>
      <w:r>
        <w:rPr>
          <w:color w:val="231F20"/>
        </w:rPr>
        <w:t>exchange services at seven satellite locations during the</w:t>
      </w:r>
      <w:r>
        <w:rPr>
          <w:color w:val="231F20"/>
          <w:spacing w:val="-52"/>
        </w:rPr>
        <w:t> </w:t>
      </w:r>
      <w:r>
        <w:rPr>
          <w:color w:val="231F20"/>
        </w:rPr>
        <w:t>week.</w:t>
      </w:r>
    </w:p>
    <w:p>
      <w:pPr>
        <w:pStyle w:val="Heading6"/>
        <w:spacing w:before="175"/>
        <w:ind w:left="159"/>
      </w:pPr>
      <w:r>
        <w:rPr>
          <w:color w:val="CE384B"/>
        </w:rPr>
        <w:t>Model</w:t>
      </w:r>
      <w:r>
        <w:rPr>
          <w:color w:val="CE384B"/>
          <w:spacing w:val="-1"/>
        </w:rPr>
        <w:t> </w:t>
      </w:r>
      <w:r>
        <w:rPr>
          <w:color w:val="CE384B"/>
        </w:rPr>
        <w:t>Features and</w:t>
      </w:r>
      <w:r>
        <w:rPr>
          <w:color w:val="CE384B"/>
          <w:spacing w:val="-2"/>
        </w:rPr>
        <w:t> </w:t>
      </w:r>
      <w:r>
        <w:rPr>
          <w:color w:val="CE384B"/>
        </w:rPr>
        <w:t>Elements</w:t>
      </w:r>
    </w:p>
    <w:p>
      <w:pPr>
        <w:pStyle w:val="ListParagraph"/>
        <w:numPr>
          <w:ilvl w:val="1"/>
          <w:numId w:val="22"/>
        </w:numPr>
        <w:tabs>
          <w:tab w:pos="879" w:val="left" w:leader="none"/>
          <w:tab w:pos="880" w:val="left" w:leader="none"/>
        </w:tabs>
        <w:spacing w:line="249" w:lineRule="auto" w:before="87" w:after="0"/>
        <w:ind w:left="879" w:right="238" w:hanging="360"/>
        <w:jc w:val="left"/>
        <w:rPr>
          <w:sz w:val="22"/>
        </w:rPr>
      </w:pPr>
      <w:r>
        <w:rPr>
          <w:color w:val="010202"/>
          <w:sz w:val="22"/>
        </w:rPr>
        <w:t>The</w:t>
      </w:r>
      <w:r>
        <w:rPr>
          <w:color w:val="010202"/>
          <w:spacing w:val="-3"/>
          <w:sz w:val="22"/>
        </w:rPr>
        <w:t> </w:t>
      </w:r>
      <w:r>
        <w:rPr>
          <w:color w:val="010202"/>
          <w:sz w:val="22"/>
        </w:rPr>
        <w:t>primary</w:t>
      </w:r>
      <w:r>
        <w:rPr>
          <w:color w:val="010202"/>
          <w:spacing w:val="-2"/>
          <w:sz w:val="22"/>
        </w:rPr>
        <w:t> </w:t>
      </w:r>
      <w:r>
        <w:rPr>
          <w:color w:val="010202"/>
          <w:sz w:val="22"/>
        </w:rPr>
        <w:t>pillar</w:t>
      </w:r>
      <w:r>
        <w:rPr>
          <w:color w:val="010202"/>
          <w:spacing w:val="-2"/>
          <w:sz w:val="22"/>
        </w:rPr>
        <w:t> </w:t>
      </w:r>
      <w:r>
        <w:rPr>
          <w:color w:val="010202"/>
          <w:sz w:val="22"/>
        </w:rPr>
        <w:t>of</w:t>
      </w:r>
      <w:r>
        <w:rPr>
          <w:color w:val="010202"/>
          <w:spacing w:val="-2"/>
          <w:sz w:val="22"/>
        </w:rPr>
        <w:t> </w:t>
      </w:r>
      <w:r>
        <w:rPr>
          <w:color w:val="010202"/>
          <w:sz w:val="22"/>
        </w:rPr>
        <w:t>LMSEP</w:t>
      </w:r>
      <w:r>
        <w:rPr>
          <w:color w:val="010202"/>
          <w:spacing w:val="-11"/>
          <w:sz w:val="22"/>
        </w:rPr>
        <w:t> </w:t>
      </w:r>
      <w:r>
        <w:rPr>
          <w:color w:val="010202"/>
          <w:sz w:val="22"/>
        </w:rPr>
        <w:t>is</w:t>
      </w:r>
      <w:r>
        <w:rPr>
          <w:color w:val="010202"/>
          <w:spacing w:val="-2"/>
          <w:sz w:val="22"/>
        </w:rPr>
        <w:t> </w:t>
      </w:r>
      <w:r>
        <w:rPr>
          <w:color w:val="010202"/>
          <w:sz w:val="22"/>
        </w:rPr>
        <w:t>trust.</w:t>
      </w:r>
      <w:r>
        <w:rPr>
          <w:color w:val="010202"/>
          <w:spacing w:val="-6"/>
          <w:sz w:val="22"/>
        </w:rPr>
        <w:t> </w:t>
      </w:r>
      <w:r>
        <w:rPr>
          <w:color w:val="010202"/>
          <w:sz w:val="22"/>
        </w:rPr>
        <w:t>Through</w:t>
      </w:r>
      <w:r>
        <w:rPr>
          <w:color w:val="010202"/>
          <w:spacing w:val="-52"/>
          <w:sz w:val="22"/>
        </w:rPr>
        <w:t> </w:t>
      </w:r>
      <w:r>
        <w:rPr>
          <w:color w:val="010202"/>
          <w:sz w:val="22"/>
        </w:rPr>
        <w:t>its outreach work, LMSEP emphasizes</w:t>
      </w:r>
      <w:r>
        <w:rPr>
          <w:color w:val="010202"/>
          <w:spacing w:val="1"/>
          <w:sz w:val="22"/>
        </w:rPr>
        <w:t> </w:t>
      </w:r>
      <w:r>
        <w:rPr>
          <w:color w:val="010202"/>
          <w:sz w:val="22"/>
        </w:rPr>
        <w:t>accepting participants where they are and not</w:t>
      </w:r>
      <w:r>
        <w:rPr>
          <w:color w:val="010202"/>
          <w:spacing w:val="1"/>
          <w:sz w:val="22"/>
        </w:rPr>
        <w:t> </w:t>
      </w:r>
      <w:r>
        <w:rPr>
          <w:color w:val="010202"/>
          <w:sz w:val="22"/>
        </w:rPr>
        <w:t>judging them or stigmatizing them further.</w:t>
      </w:r>
      <w:r>
        <w:rPr>
          <w:color w:val="010202"/>
          <w:spacing w:val="1"/>
          <w:sz w:val="22"/>
        </w:rPr>
        <w:t> </w:t>
      </w:r>
      <w:r>
        <w:rPr>
          <w:color w:val="010202"/>
          <w:sz w:val="22"/>
        </w:rPr>
        <w:t>Staff and volunteers also tell participants that</w:t>
      </w:r>
      <w:r>
        <w:rPr>
          <w:color w:val="010202"/>
          <w:spacing w:val="1"/>
          <w:sz w:val="22"/>
        </w:rPr>
        <w:t> </w:t>
      </w:r>
      <w:r>
        <w:rPr>
          <w:color w:val="010202"/>
          <w:sz w:val="22"/>
        </w:rPr>
        <w:t>pursuing SUD treatment is voluntary and not a</w:t>
      </w:r>
      <w:r>
        <w:rPr>
          <w:color w:val="010202"/>
          <w:spacing w:val="-52"/>
          <w:sz w:val="22"/>
        </w:rPr>
        <w:t> </w:t>
      </w:r>
      <w:r>
        <w:rPr>
          <w:color w:val="010202"/>
          <w:sz w:val="22"/>
        </w:rPr>
        <w:t>requirement of the program.</w:t>
      </w:r>
    </w:p>
    <w:p>
      <w:pPr>
        <w:pStyle w:val="ListParagraph"/>
        <w:numPr>
          <w:ilvl w:val="1"/>
          <w:numId w:val="22"/>
        </w:numPr>
        <w:tabs>
          <w:tab w:pos="879" w:val="left" w:leader="none"/>
          <w:tab w:pos="880" w:val="left" w:leader="none"/>
        </w:tabs>
        <w:spacing w:line="249" w:lineRule="auto" w:before="0" w:after="0"/>
        <w:ind w:left="879" w:right="209" w:hanging="360"/>
        <w:jc w:val="left"/>
        <w:rPr>
          <w:sz w:val="22"/>
        </w:rPr>
      </w:pPr>
      <w:r>
        <w:rPr>
          <w:color w:val="010202"/>
          <w:sz w:val="22"/>
        </w:rPr>
        <w:t>Underscoring the importance of mutual respect</w:t>
      </w:r>
      <w:r>
        <w:rPr>
          <w:color w:val="010202"/>
          <w:spacing w:val="-52"/>
          <w:sz w:val="22"/>
        </w:rPr>
        <w:t> </w:t>
      </w:r>
      <w:r>
        <w:rPr>
          <w:color w:val="010202"/>
          <w:sz w:val="22"/>
        </w:rPr>
        <w:t>between</w:t>
      </w:r>
      <w:r>
        <w:rPr>
          <w:color w:val="010202"/>
          <w:spacing w:val="-2"/>
          <w:sz w:val="22"/>
        </w:rPr>
        <w:t> </w:t>
      </w:r>
      <w:r>
        <w:rPr>
          <w:color w:val="010202"/>
          <w:sz w:val="22"/>
        </w:rPr>
        <w:t>participants</w:t>
      </w:r>
      <w:r>
        <w:rPr>
          <w:color w:val="010202"/>
          <w:spacing w:val="-1"/>
          <w:sz w:val="22"/>
        </w:rPr>
        <w:t> </w:t>
      </w:r>
      <w:r>
        <w:rPr>
          <w:color w:val="010202"/>
          <w:sz w:val="22"/>
        </w:rPr>
        <w:t>and</w:t>
      </w:r>
      <w:r>
        <w:rPr>
          <w:color w:val="010202"/>
          <w:spacing w:val="-2"/>
          <w:sz w:val="22"/>
        </w:rPr>
        <w:t> </w:t>
      </w:r>
      <w:r>
        <w:rPr>
          <w:color w:val="010202"/>
          <w:sz w:val="22"/>
        </w:rPr>
        <w:t>staff,</w:t>
      </w:r>
      <w:r>
        <w:rPr>
          <w:color w:val="010202"/>
          <w:spacing w:val="-1"/>
          <w:sz w:val="22"/>
        </w:rPr>
        <w:t> </w:t>
      </w:r>
      <w:r>
        <w:rPr>
          <w:color w:val="010202"/>
          <w:sz w:val="22"/>
        </w:rPr>
        <w:t>LMSEP</w:t>
      </w:r>
      <w:r>
        <w:rPr>
          <w:color w:val="010202"/>
          <w:spacing w:val="-11"/>
          <w:sz w:val="22"/>
        </w:rPr>
        <w:t> </w:t>
      </w:r>
      <w:r>
        <w:rPr>
          <w:color w:val="010202"/>
          <w:sz w:val="22"/>
        </w:rPr>
        <w:t>created</w:t>
      </w:r>
    </w:p>
    <w:p>
      <w:pPr>
        <w:spacing w:line="240" w:lineRule="auto" w:before="6" w:after="0"/>
        <w:rPr>
          <w:sz w:val="12"/>
        </w:rPr>
      </w:pPr>
      <w:r>
        <w:rPr/>
        <w:br w:type="column"/>
      </w:r>
      <w:r>
        <w:rPr>
          <w:sz w:val="12"/>
        </w:rPr>
      </w:r>
    </w:p>
    <w:p>
      <w:pPr>
        <w:pStyle w:val="BodyText"/>
        <w:ind w:left="-201"/>
        <w:rPr>
          <w:sz w:val="20"/>
        </w:rPr>
      </w:pPr>
      <w:r>
        <w:rPr>
          <w:sz w:val="20"/>
        </w:rPr>
        <w:pict>
          <v:group style="width:252pt;height:333.65pt;mso-position-horizontal-relative:char;mso-position-vertical-relative:line" id="docshapegroup173" coordorigin="0,0" coordsize="5040,6673">
            <v:shape style="position:absolute;left:0;top:0;width:5040;height:6673" id="docshape174" coordorigin="0,0" coordsize="5040,6673" path="m4950,0l90,0,55,7,26,26,7,55,0,90,0,6583,7,6618,26,6646,55,6666,90,6673,4950,6673,4985,6666,5014,6646,5033,6618,5040,6583,5040,90,5033,55,5014,26,4985,7,4950,0xe" filled="true" fillcolor="#f7e0e0" stroked="false">
              <v:path arrowok="t"/>
              <v:fill type="solid"/>
            </v:shape>
            <v:shape style="position:absolute;left:0;top:0;width:5040;height:6673" type="#_x0000_t202" id="docshape175" filled="false" stroked="false">
              <v:textbox inset="0,0,0,0">
                <w:txbxContent>
                  <w:p>
                    <w:pPr>
                      <w:spacing w:line="211" w:lineRule="auto" w:before="147"/>
                      <w:ind w:left="180" w:right="417" w:firstLine="0"/>
                      <w:jc w:val="left"/>
                      <w:rPr>
                        <w:rFonts w:ascii="Arial Black"/>
                        <w:sz w:val="21"/>
                      </w:rPr>
                    </w:pPr>
                    <w:r>
                      <w:rPr>
                        <w:rFonts w:ascii="Arial Black"/>
                        <w:color w:val="CE384B"/>
                        <w:sz w:val="21"/>
                      </w:rPr>
                      <w:t>Evidence-based Practice Implemented</w:t>
                    </w:r>
                    <w:r>
                      <w:rPr>
                        <w:rFonts w:ascii="Arial Black"/>
                        <w:color w:val="CE384B"/>
                        <w:spacing w:val="-68"/>
                        <w:sz w:val="21"/>
                      </w:rPr>
                      <w:t> </w:t>
                    </w:r>
                    <w:r>
                      <w:rPr>
                        <w:rFonts w:ascii="Arial Black"/>
                        <w:color w:val="CE384B"/>
                        <w:sz w:val="21"/>
                      </w:rPr>
                      <w:t>by</w:t>
                    </w:r>
                    <w:r>
                      <w:rPr>
                        <w:rFonts w:ascii="Arial Black"/>
                        <w:color w:val="CE384B"/>
                        <w:spacing w:val="-1"/>
                        <w:sz w:val="21"/>
                      </w:rPr>
                      <w:t> </w:t>
                    </w:r>
                    <w:r>
                      <w:rPr>
                        <w:rFonts w:ascii="Arial Black"/>
                        <w:color w:val="CE384B"/>
                        <w:sz w:val="21"/>
                      </w:rPr>
                      <w:t>the</w:t>
                    </w:r>
                    <w:r>
                      <w:rPr>
                        <w:rFonts w:ascii="Arial Black"/>
                        <w:color w:val="CE384B"/>
                        <w:spacing w:val="-1"/>
                        <w:sz w:val="21"/>
                      </w:rPr>
                      <w:t> </w:t>
                    </w:r>
                    <w:r>
                      <w:rPr>
                        <w:rFonts w:ascii="Arial Black"/>
                        <w:color w:val="CE384B"/>
                        <w:sz w:val="21"/>
                      </w:rPr>
                      <w:t>Program</w:t>
                    </w:r>
                  </w:p>
                  <w:p>
                    <w:pPr>
                      <w:spacing w:before="91"/>
                      <w:ind w:left="180" w:right="0" w:firstLine="0"/>
                      <w:jc w:val="left"/>
                      <w:rPr>
                        <w:rFonts w:ascii="Arial Black"/>
                        <w:sz w:val="21"/>
                      </w:rPr>
                    </w:pPr>
                    <w:r>
                      <w:rPr>
                        <w:rFonts w:ascii="Arial Black"/>
                        <w:color w:val="CE384B"/>
                        <w:sz w:val="21"/>
                      </w:rPr>
                      <w:t>Syringe Services</w:t>
                    </w:r>
                    <w:r>
                      <w:rPr>
                        <w:rFonts w:ascii="Arial Black"/>
                        <w:color w:val="CE384B"/>
                        <w:spacing w:val="1"/>
                        <w:sz w:val="21"/>
                      </w:rPr>
                      <w:t> </w:t>
                    </w:r>
                    <w:r>
                      <w:rPr>
                        <w:rFonts w:ascii="Arial Black"/>
                        <w:color w:val="CE384B"/>
                        <w:sz w:val="21"/>
                      </w:rPr>
                      <w:t>Program</w:t>
                    </w:r>
                    <w:r>
                      <w:rPr>
                        <w:rFonts w:ascii="Arial Black"/>
                        <w:color w:val="CE384B"/>
                        <w:spacing w:val="1"/>
                        <w:sz w:val="21"/>
                      </w:rPr>
                      <w:t> </w:t>
                    </w:r>
                    <w:r>
                      <w:rPr>
                        <w:rFonts w:ascii="Arial Black"/>
                        <w:color w:val="CE384B"/>
                        <w:sz w:val="21"/>
                      </w:rPr>
                      <w:t>(SSP)</w:t>
                    </w:r>
                  </w:p>
                  <w:p>
                    <w:pPr>
                      <w:spacing w:line="259" w:lineRule="auto" w:before="118"/>
                      <w:ind w:left="180" w:right="474" w:firstLine="0"/>
                      <w:jc w:val="left"/>
                      <w:rPr>
                        <w:rFonts w:ascii="Arial"/>
                        <w:sz w:val="21"/>
                      </w:rPr>
                    </w:pPr>
                    <w:hyperlink r:id="rId334">
                      <w:r>
                        <w:rPr>
                          <w:rFonts w:ascii="Arial"/>
                          <w:color w:val="3953A4"/>
                          <w:sz w:val="21"/>
                          <w:u w:val="single" w:color="3953A4"/>
                        </w:rPr>
                        <w:t>LMSEP</w:t>
                      </w:r>
                      <w:r>
                        <w:rPr>
                          <w:rFonts w:ascii="Arial"/>
                          <w:color w:val="3953A4"/>
                          <w:sz w:val="21"/>
                        </w:rPr>
                        <w:t> </w:t>
                      </w:r>
                    </w:hyperlink>
                    <w:r>
                      <w:rPr>
                        <w:rFonts w:ascii="Arial"/>
                        <w:color w:val="010202"/>
                        <w:sz w:val="21"/>
                      </w:rPr>
                      <w:t>is an outpatient SSP organized by the</w:t>
                    </w:r>
                    <w:r>
                      <w:rPr>
                        <w:rFonts w:ascii="Arial"/>
                        <w:color w:val="010202"/>
                        <w:spacing w:val="1"/>
                        <w:sz w:val="21"/>
                      </w:rPr>
                      <w:t> </w:t>
                    </w:r>
                    <w:r>
                      <w:rPr>
                        <w:rFonts w:ascii="Arial"/>
                        <w:color w:val="010202"/>
                        <w:sz w:val="21"/>
                      </w:rPr>
                      <w:t>Louisville Department of Public Health and</w:t>
                    </w:r>
                    <w:r>
                      <w:rPr>
                        <w:rFonts w:ascii="Arial"/>
                        <w:color w:val="010202"/>
                        <w:spacing w:val="1"/>
                        <w:sz w:val="21"/>
                      </w:rPr>
                      <w:t> </w:t>
                    </w:r>
                    <w:r>
                      <w:rPr>
                        <w:rFonts w:ascii="Arial"/>
                        <w:color w:val="010202"/>
                        <w:sz w:val="21"/>
                      </w:rPr>
                      <w:t>Wellness. LMSEP offers social and health</w:t>
                    </w:r>
                    <w:r>
                      <w:rPr>
                        <w:rFonts w:ascii="Arial"/>
                        <w:color w:val="010202"/>
                        <w:spacing w:val="1"/>
                        <w:sz w:val="21"/>
                      </w:rPr>
                      <w:t> </w:t>
                    </w:r>
                    <w:r>
                      <w:rPr>
                        <w:rFonts w:ascii="Arial"/>
                        <w:color w:val="010202"/>
                        <w:sz w:val="21"/>
                      </w:rPr>
                      <w:t>services to PWID through fixed-site and mobile</w:t>
                    </w:r>
                    <w:r>
                      <w:rPr>
                        <w:rFonts w:ascii="Arial"/>
                        <w:color w:val="010202"/>
                        <w:spacing w:val="-57"/>
                        <w:sz w:val="21"/>
                      </w:rPr>
                      <w:t> </w:t>
                    </w:r>
                    <w:r>
                      <w:rPr>
                        <w:rFonts w:ascii="Arial"/>
                        <w:color w:val="010202"/>
                        <w:sz w:val="21"/>
                      </w:rPr>
                      <w:t>van settings.</w:t>
                    </w:r>
                  </w:p>
                  <w:p>
                    <w:pPr>
                      <w:spacing w:before="142"/>
                      <w:ind w:left="180" w:right="0" w:firstLine="0"/>
                      <w:jc w:val="left"/>
                      <w:rPr>
                        <w:rFonts w:ascii="Arial Black"/>
                        <w:sz w:val="21"/>
                      </w:rPr>
                    </w:pPr>
                    <w:r>
                      <w:rPr>
                        <w:rFonts w:ascii="Arial Black"/>
                        <w:color w:val="CE384B"/>
                        <w:sz w:val="21"/>
                      </w:rPr>
                      <w:t>Population</w:t>
                    </w:r>
                    <w:r>
                      <w:rPr>
                        <w:rFonts w:ascii="Arial Black"/>
                        <w:color w:val="CE384B"/>
                        <w:spacing w:val="-7"/>
                        <w:sz w:val="21"/>
                      </w:rPr>
                      <w:t> </w:t>
                    </w:r>
                    <w:r>
                      <w:rPr>
                        <w:rFonts w:ascii="Arial Black"/>
                        <w:color w:val="CE384B"/>
                        <w:sz w:val="21"/>
                      </w:rPr>
                      <w:t>of</w:t>
                    </w:r>
                    <w:r>
                      <w:rPr>
                        <w:rFonts w:ascii="Arial Black"/>
                        <w:color w:val="CE384B"/>
                        <w:spacing w:val="5"/>
                        <w:sz w:val="21"/>
                      </w:rPr>
                      <w:t> </w:t>
                    </w:r>
                    <w:r>
                      <w:rPr>
                        <w:rFonts w:ascii="Arial Black"/>
                        <w:color w:val="CE384B"/>
                        <w:sz w:val="21"/>
                      </w:rPr>
                      <w:t>Focus</w:t>
                    </w:r>
                  </w:p>
                  <w:p>
                    <w:pPr>
                      <w:spacing w:before="118"/>
                      <w:ind w:left="180" w:right="0" w:firstLine="0"/>
                      <w:jc w:val="left"/>
                      <w:rPr>
                        <w:rFonts w:ascii="Arial"/>
                        <w:sz w:val="21"/>
                      </w:rPr>
                    </w:pPr>
                    <w:r>
                      <w:rPr>
                        <w:rFonts w:ascii="Arial"/>
                        <w:color w:val="010202"/>
                        <w:sz w:val="21"/>
                      </w:rPr>
                      <w:t>PWID,</w:t>
                    </w:r>
                    <w:r>
                      <w:rPr>
                        <w:rFonts w:ascii="Arial"/>
                        <w:color w:val="010202"/>
                        <w:spacing w:val="-2"/>
                        <w:sz w:val="21"/>
                      </w:rPr>
                      <w:t> </w:t>
                    </w:r>
                    <w:r>
                      <w:rPr>
                        <w:rFonts w:ascii="Arial"/>
                        <w:color w:val="010202"/>
                        <w:sz w:val="21"/>
                      </w:rPr>
                      <w:t>specifically</w:t>
                    </w:r>
                    <w:r>
                      <w:rPr>
                        <w:rFonts w:ascii="Arial"/>
                        <w:color w:val="010202"/>
                        <w:spacing w:val="-2"/>
                        <w:sz w:val="21"/>
                      </w:rPr>
                      <w:t> </w:t>
                    </w:r>
                    <w:r>
                      <w:rPr>
                        <w:rFonts w:ascii="Arial"/>
                        <w:color w:val="010202"/>
                        <w:sz w:val="21"/>
                      </w:rPr>
                      <w:t>adults</w:t>
                    </w:r>
                    <w:r>
                      <w:rPr>
                        <w:rFonts w:ascii="Arial"/>
                        <w:color w:val="010202"/>
                        <w:spacing w:val="-2"/>
                        <w:sz w:val="21"/>
                      </w:rPr>
                      <w:t> </w:t>
                    </w:r>
                    <w:r>
                      <w:rPr>
                        <w:rFonts w:ascii="Arial"/>
                        <w:color w:val="010202"/>
                        <w:sz w:val="21"/>
                      </w:rPr>
                      <w:t>aged</w:t>
                    </w:r>
                    <w:r>
                      <w:rPr>
                        <w:rFonts w:ascii="Arial"/>
                        <w:color w:val="010202"/>
                        <w:spacing w:val="-3"/>
                        <w:sz w:val="21"/>
                      </w:rPr>
                      <w:t> </w:t>
                    </w:r>
                    <w:r>
                      <w:rPr>
                        <w:rFonts w:ascii="Arial"/>
                        <w:color w:val="010202"/>
                        <w:sz w:val="21"/>
                      </w:rPr>
                      <w:t>18</w:t>
                    </w:r>
                    <w:r>
                      <w:rPr>
                        <w:rFonts w:ascii="Arial"/>
                        <w:color w:val="010202"/>
                        <w:spacing w:val="-3"/>
                        <w:sz w:val="21"/>
                      </w:rPr>
                      <w:t> </w:t>
                    </w:r>
                    <w:r>
                      <w:rPr>
                        <w:rFonts w:ascii="Arial"/>
                        <w:color w:val="010202"/>
                        <w:sz w:val="21"/>
                      </w:rPr>
                      <w:t>to</w:t>
                    </w:r>
                    <w:r>
                      <w:rPr>
                        <w:rFonts w:ascii="Arial"/>
                        <w:color w:val="010202"/>
                        <w:spacing w:val="-1"/>
                        <w:sz w:val="21"/>
                      </w:rPr>
                      <w:t> </w:t>
                    </w:r>
                    <w:r>
                      <w:rPr>
                        <w:rFonts w:ascii="Arial"/>
                        <w:color w:val="010202"/>
                        <w:sz w:val="21"/>
                      </w:rPr>
                      <w:t>25.</w:t>
                    </w:r>
                  </w:p>
                  <w:p>
                    <w:pPr>
                      <w:spacing w:before="164"/>
                      <w:ind w:left="180" w:right="0" w:firstLine="0"/>
                      <w:jc w:val="left"/>
                      <w:rPr>
                        <w:rFonts w:ascii="Arial Black"/>
                        <w:sz w:val="21"/>
                      </w:rPr>
                    </w:pPr>
                    <w:r>
                      <w:rPr>
                        <w:rFonts w:ascii="Arial Black"/>
                        <w:color w:val="CE384B"/>
                        <w:sz w:val="21"/>
                      </w:rPr>
                      <w:t>Approximate</w:t>
                    </w:r>
                    <w:r>
                      <w:rPr>
                        <w:rFonts w:ascii="Arial Black"/>
                        <w:color w:val="CE384B"/>
                        <w:spacing w:val="-6"/>
                        <w:sz w:val="21"/>
                      </w:rPr>
                      <w:t> </w:t>
                    </w:r>
                    <w:r>
                      <w:rPr>
                        <w:rFonts w:ascii="Arial Black"/>
                        <w:color w:val="CE384B"/>
                        <w:sz w:val="21"/>
                      </w:rPr>
                      <w:t>Time</w:t>
                    </w:r>
                    <w:r>
                      <w:rPr>
                        <w:rFonts w:ascii="Arial Black"/>
                        <w:color w:val="CE384B"/>
                        <w:spacing w:val="-6"/>
                        <w:sz w:val="21"/>
                      </w:rPr>
                      <w:t> </w:t>
                    </w:r>
                    <w:r>
                      <w:rPr>
                        <w:rFonts w:ascii="Arial Black"/>
                        <w:color w:val="CE384B"/>
                        <w:sz w:val="21"/>
                      </w:rPr>
                      <w:t>Period</w:t>
                    </w:r>
                    <w:r>
                      <w:rPr>
                        <w:rFonts w:ascii="Arial Black"/>
                        <w:color w:val="CE384B"/>
                        <w:spacing w:val="-6"/>
                        <w:sz w:val="21"/>
                      </w:rPr>
                      <w:t> </w:t>
                    </w:r>
                    <w:r>
                      <w:rPr>
                        <w:rFonts w:ascii="Arial Black"/>
                        <w:color w:val="CE384B"/>
                        <w:sz w:val="21"/>
                      </w:rPr>
                      <w:t>(Duration)</w:t>
                    </w:r>
                  </w:p>
                  <w:p>
                    <w:pPr>
                      <w:spacing w:before="118"/>
                      <w:ind w:left="180" w:right="0" w:firstLine="0"/>
                      <w:jc w:val="left"/>
                      <w:rPr>
                        <w:rFonts w:ascii="Arial"/>
                        <w:sz w:val="21"/>
                      </w:rPr>
                    </w:pPr>
                    <w:r>
                      <w:rPr>
                        <w:rFonts w:ascii="Arial"/>
                        <w:color w:val="010202"/>
                        <w:sz w:val="21"/>
                      </w:rPr>
                      <w:t>Indefinite</w:t>
                    </w:r>
                  </w:p>
                  <w:p>
                    <w:pPr>
                      <w:spacing w:before="165"/>
                      <w:ind w:left="180" w:right="0" w:firstLine="0"/>
                      <w:jc w:val="left"/>
                      <w:rPr>
                        <w:rFonts w:ascii="Arial Black"/>
                        <w:sz w:val="21"/>
                      </w:rPr>
                    </w:pPr>
                    <w:r>
                      <w:rPr>
                        <w:rFonts w:ascii="Arial Black"/>
                        <w:color w:val="CE384B"/>
                        <w:sz w:val="21"/>
                      </w:rPr>
                      <w:t>Related</w:t>
                    </w:r>
                    <w:r>
                      <w:rPr>
                        <w:rFonts w:ascii="Arial Black"/>
                        <w:color w:val="CE384B"/>
                        <w:spacing w:val="-8"/>
                        <w:sz w:val="21"/>
                      </w:rPr>
                      <w:t> </w:t>
                    </w:r>
                    <w:r>
                      <w:rPr>
                        <w:rFonts w:ascii="Arial Black"/>
                        <w:color w:val="CE384B"/>
                        <w:sz w:val="21"/>
                      </w:rPr>
                      <w:t>Resources</w:t>
                    </w:r>
                  </w:p>
                  <w:p>
                    <w:pPr>
                      <w:numPr>
                        <w:ilvl w:val="0"/>
                        <w:numId w:val="23"/>
                      </w:numPr>
                      <w:tabs>
                        <w:tab w:pos="539" w:val="left" w:leader="none"/>
                        <w:tab w:pos="540" w:val="left" w:leader="none"/>
                      </w:tabs>
                      <w:spacing w:before="117"/>
                      <w:ind w:left="539" w:right="0" w:hanging="360"/>
                      <w:jc w:val="left"/>
                      <w:rPr>
                        <w:rFonts w:ascii="Arial"/>
                        <w:sz w:val="21"/>
                      </w:rPr>
                    </w:pPr>
                    <w:hyperlink r:id="rId335">
                      <w:r>
                        <w:rPr>
                          <w:rFonts w:ascii="Arial"/>
                          <w:color w:val="3953A4"/>
                          <w:spacing w:val="-2"/>
                          <w:sz w:val="21"/>
                          <w:u w:val="single" w:color="3953A4"/>
                        </w:rPr>
                        <w:t>Program</w:t>
                      </w:r>
                      <w:r>
                        <w:rPr>
                          <w:rFonts w:ascii="Arial"/>
                          <w:color w:val="3953A4"/>
                          <w:spacing w:val="-12"/>
                          <w:sz w:val="21"/>
                          <w:u w:val="single" w:color="3953A4"/>
                        </w:rPr>
                        <w:t> </w:t>
                      </w:r>
                      <w:r>
                        <w:rPr>
                          <w:rFonts w:ascii="Arial"/>
                          <w:color w:val="3953A4"/>
                          <w:spacing w:val="-2"/>
                          <w:sz w:val="21"/>
                          <w:u w:val="single" w:color="3953A4"/>
                        </w:rPr>
                        <w:t>Website</w:t>
                      </w:r>
                    </w:hyperlink>
                  </w:p>
                  <w:p>
                    <w:pPr>
                      <w:numPr>
                        <w:ilvl w:val="0"/>
                        <w:numId w:val="23"/>
                      </w:numPr>
                      <w:tabs>
                        <w:tab w:pos="539" w:val="left" w:leader="none"/>
                        <w:tab w:pos="540" w:val="left" w:leader="none"/>
                      </w:tabs>
                      <w:spacing w:before="109"/>
                      <w:ind w:left="539" w:right="0" w:hanging="360"/>
                      <w:jc w:val="left"/>
                      <w:rPr>
                        <w:rFonts w:ascii="Arial"/>
                        <w:sz w:val="21"/>
                      </w:rPr>
                    </w:pPr>
                    <w:hyperlink r:id="rId334">
                      <w:r>
                        <w:rPr>
                          <w:rFonts w:ascii="Arial"/>
                          <w:color w:val="3953A4"/>
                          <w:w w:val="95"/>
                          <w:sz w:val="21"/>
                          <w:u w:val="single" w:color="3953A4"/>
                        </w:rPr>
                        <w:t>LMSEP</w:t>
                      </w:r>
                      <w:r>
                        <w:rPr>
                          <w:rFonts w:ascii="Arial"/>
                          <w:color w:val="3953A4"/>
                          <w:spacing w:val="9"/>
                          <w:w w:val="95"/>
                          <w:sz w:val="21"/>
                          <w:u w:val="single" w:color="3953A4"/>
                        </w:rPr>
                        <w:t> </w:t>
                      </w:r>
                      <w:r>
                        <w:rPr>
                          <w:rFonts w:ascii="Arial"/>
                          <w:color w:val="3953A4"/>
                          <w:w w:val="95"/>
                          <w:sz w:val="21"/>
                          <w:u w:val="single" w:color="3953A4"/>
                        </w:rPr>
                        <w:t>Overview</w:t>
                      </w:r>
                      <w:r>
                        <w:rPr>
                          <w:rFonts w:ascii="Arial"/>
                          <w:color w:val="3953A4"/>
                          <w:spacing w:val="15"/>
                          <w:w w:val="95"/>
                          <w:sz w:val="21"/>
                          <w:u w:val="single" w:color="3953A4"/>
                        </w:rPr>
                        <w:t> </w:t>
                      </w:r>
                      <w:r>
                        <w:rPr>
                          <w:rFonts w:ascii="Arial"/>
                          <w:color w:val="3953A4"/>
                          <w:w w:val="95"/>
                          <w:sz w:val="21"/>
                          <w:u w:val="single" w:color="3953A4"/>
                        </w:rPr>
                        <w:t>(slides)</w:t>
                      </w:r>
                    </w:hyperlink>
                  </w:p>
                  <w:p>
                    <w:pPr>
                      <w:numPr>
                        <w:ilvl w:val="0"/>
                        <w:numId w:val="23"/>
                      </w:numPr>
                      <w:tabs>
                        <w:tab w:pos="539" w:val="left" w:leader="none"/>
                        <w:tab w:pos="540" w:val="left" w:leader="none"/>
                      </w:tabs>
                      <w:spacing w:before="109"/>
                      <w:ind w:left="539" w:right="0" w:hanging="360"/>
                      <w:jc w:val="left"/>
                      <w:rPr>
                        <w:rFonts w:ascii="Arial"/>
                        <w:sz w:val="21"/>
                      </w:rPr>
                    </w:pPr>
                    <w:hyperlink r:id="rId336">
                      <w:r>
                        <w:rPr>
                          <w:rFonts w:ascii="Arial"/>
                          <w:color w:val="3953A4"/>
                          <w:spacing w:val="-2"/>
                          <w:sz w:val="21"/>
                          <w:u w:val="single" w:color="3953A4"/>
                        </w:rPr>
                        <w:t>LMSEP</w:t>
                      </w:r>
                      <w:r>
                        <w:rPr>
                          <w:rFonts w:ascii="Arial"/>
                          <w:color w:val="3953A4"/>
                          <w:spacing w:val="-12"/>
                          <w:sz w:val="21"/>
                          <w:u w:val="single" w:color="3953A4"/>
                        </w:rPr>
                        <w:t> </w:t>
                      </w:r>
                      <w:r>
                        <w:rPr>
                          <w:rFonts w:ascii="Arial"/>
                          <w:color w:val="3953A4"/>
                          <w:spacing w:val="-2"/>
                          <w:sz w:val="21"/>
                          <w:u w:val="single" w:color="3953A4"/>
                        </w:rPr>
                        <w:t>Brochure</w:t>
                      </w:r>
                      <w:r>
                        <w:rPr>
                          <w:rFonts w:ascii="Arial"/>
                          <w:color w:val="3953A4"/>
                          <w:spacing w:val="-8"/>
                          <w:sz w:val="21"/>
                          <w:u w:val="single" w:color="3953A4"/>
                        </w:rPr>
                        <w:t> </w:t>
                      </w:r>
                      <w:r>
                        <w:rPr>
                          <w:rFonts w:ascii="Arial"/>
                          <w:color w:val="3953A4"/>
                          <w:spacing w:val="-2"/>
                          <w:sz w:val="21"/>
                          <w:u w:val="single" w:color="3953A4"/>
                        </w:rPr>
                        <w:t>of</w:t>
                      </w:r>
                      <w:r>
                        <w:rPr>
                          <w:rFonts w:ascii="Arial"/>
                          <w:color w:val="3953A4"/>
                          <w:spacing w:val="-8"/>
                          <w:sz w:val="21"/>
                          <w:u w:val="single" w:color="3953A4"/>
                        </w:rPr>
                        <w:t> </w:t>
                      </w:r>
                      <w:r>
                        <w:rPr>
                          <w:rFonts w:ascii="Arial"/>
                          <w:color w:val="3953A4"/>
                          <w:spacing w:val="-2"/>
                          <w:sz w:val="21"/>
                          <w:u w:val="single" w:color="3953A4"/>
                        </w:rPr>
                        <w:t>Services</w:t>
                      </w:r>
                    </w:hyperlink>
                  </w:p>
                  <w:p>
                    <w:pPr>
                      <w:numPr>
                        <w:ilvl w:val="0"/>
                        <w:numId w:val="23"/>
                      </w:numPr>
                      <w:tabs>
                        <w:tab w:pos="539" w:val="left" w:leader="none"/>
                        <w:tab w:pos="540" w:val="left" w:leader="none"/>
                      </w:tabs>
                      <w:spacing w:before="108"/>
                      <w:ind w:left="539" w:right="0" w:hanging="360"/>
                      <w:jc w:val="left"/>
                      <w:rPr>
                        <w:rFonts w:ascii="Arial"/>
                        <w:sz w:val="21"/>
                      </w:rPr>
                    </w:pPr>
                    <w:hyperlink r:id="rId337">
                      <w:r>
                        <w:rPr>
                          <w:rFonts w:ascii="Arial"/>
                          <w:color w:val="3953A4"/>
                          <w:spacing w:val="-3"/>
                          <w:sz w:val="21"/>
                          <w:u w:val="single" w:color="3953A4"/>
                        </w:rPr>
                        <w:t>LMSEP</w:t>
                      </w:r>
                      <w:r>
                        <w:rPr>
                          <w:rFonts w:ascii="Arial"/>
                          <w:color w:val="3953A4"/>
                          <w:spacing w:val="-11"/>
                          <w:sz w:val="21"/>
                          <w:u w:val="single" w:color="3953A4"/>
                        </w:rPr>
                        <w:t> </w:t>
                      </w:r>
                      <w:r>
                        <w:rPr>
                          <w:rFonts w:ascii="Arial"/>
                          <w:color w:val="3953A4"/>
                          <w:spacing w:val="-2"/>
                          <w:sz w:val="21"/>
                          <w:u w:val="single" w:color="3953A4"/>
                        </w:rPr>
                        <w:t>Guidelines</w:t>
                      </w:r>
                    </w:hyperlink>
                  </w:p>
                  <w:p>
                    <w:pPr>
                      <w:numPr>
                        <w:ilvl w:val="0"/>
                        <w:numId w:val="23"/>
                      </w:numPr>
                      <w:tabs>
                        <w:tab w:pos="539" w:val="left" w:leader="none"/>
                        <w:tab w:pos="540" w:val="left" w:leader="none"/>
                      </w:tabs>
                      <w:spacing w:before="109"/>
                      <w:ind w:left="539" w:right="0" w:hanging="360"/>
                      <w:jc w:val="left"/>
                      <w:rPr>
                        <w:rFonts w:ascii="Arial"/>
                        <w:sz w:val="21"/>
                      </w:rPr>
                    </w:pPr>
                    <w:hyperlink r:id="rId338">
                      <w:r>
                        <w:rPr>
                          <w:rFonts w:ascii="Arial"/>
                          <w:color w:val="3953A4"/>
                          <w:spacing w:val="-2"/>
                          <w:sz w:val="21"/>
                          <w:u w:val="single" w:color="3953A4"/>
                        </w:rPr>
                        <w:t>LMSEP</w:t>
                      </w:r>
                      <w:r>
                        <w:rPr>
                          <w:rFonts w:ascii="Arial"/>
                          <w:color w:val="3953A4"/>
                          <w:spacing w:val="-12"/>
                          <w:sz w:val="21"/>
                          <w:u w:val="single" w:color="3953A4"/>
                        </w:rPr>
                        <w:t> </w:t>
                      </w:r>
                      <w:r>
                        <w:rPr>
                          <w:rFonts w:ascii="Arial"/>
                          <w:color w:val="3953A4"/>
                          <w:spacing w:val="-2"/>
                          <w:sz w:val="21"/>
                          <w:u w:val="single" w:color="3953A4"/>
                        </w:rPr>
                        <w:t>Research</w:t>
                      </w:r>
                      <w:r>
                        <w:rPr>
                          <w:rFonts w:ascii="Arial"/>
                          <w:color w:val="3953A4"/>
                          <w:spacing w:val="-9"/>
                          <w:sz w:val="21"/>
                          <w:u w:val="single" w:color="3953A4"/>
                        </w:rPr>
                        <w:t> </w:t>
                      </w:r>
                      <w:r>
                        <w:rPr>
                          <w:rFonts w:ascii="Arial"/>
                          <w:color w:val="3953A4"/>
                          <w:spacing w:val="-2"/>
                          <w:sz w:val="21"/>
                          <w:u w:val="single" w:color="3953A4"/>
                        </w:rPr>
                        <w:t>Brief</w:t>
                      </w:r>
                    </w:hyperlink>
                  </w:p>
                </w:txbxContent>
              </v:textbox>
              <w10:wrap type="none"/>
            </v:shape>
          </v:group>
        </w:pict>
      </w:r>
      <w:r>
        <w:rPr>
          <w:sz w:val="20"/>
        </w:rPr>
      </w:r>
    </w:p>
    <w:p>
      <w:pPr>
        <w:pStyle w:val="BodyText"/>
        <w:spacing w:before="6"/>
        <w:rPr>
          <w:sz w:val="25"/>
        </w:rPr>
      </w:pPr>
    </w:p>
    <w:p>
      <w:pPr>
        <w:pStyle w:val="BodyText"/>
        <w:spacing w:line="249" w:lineRule="auto" w:before="1"/>
        <w:ind w:left="519" w:right="805"/>
      </w:pPr>
      <w:r>
        <w:rPr>
          <w:color w:val="010202"/>
        </w:rPr>
        <w:t>a Participant Bill of Rights and Responsibilities</w:t>
      </w:r>
      <w:r>
        <w:rPr>
          <w:color w:val="010202"/>
          <w:spacing w:val="-52"/>
        </w:rPr>
        <w:t> </w:t>
      </w:r>
      <w:r>
        <w:rPr>
          <w:color w:val="010202"/>
        </w:rPr>
        <w:t>to ensure the rights and expectations of</w:t>
      </w:r>
      <w:r>
        <w:rPr>
          <w:color w:val="010202"/>
          <w:spacing w:val="1"/>
        </w:rPr>
        <w:t> </w:t>
      </w:r>
      <w:r>
        <w:rPr>
          <w:color w:val="010202"/>
        </w:rPr>
        <w:t>participants,</w:t>
      </w:r>
      <w:r>
        <w:rPr>
          <w:color w:val="010202"/>
          <w:spacing w:val="-3"/>
        </w:rPr>
        <w:t> </w:t>
      </w:r>
      <w:r>
        <w:rPr>
          <w:color w:val="010202"/>
        </w:rPr>
        <w:t>staff,</w:t>
      </w:r>
      <w:r>
        <w:rPr>
          <w:color w:val="010202"/>
          <w:spacing w:val="-3"/>
        </w:rPr>
        <w:t> </w:t>
      </w:r>
      <w:r>
        <w:rPr>
          <w:color w:val="010202"/>
        </w:rPr>
        <w:t>and</w:t>
      </w:r>
      <w:r>
        <w:rPr>
          <w:color w:val="010202"/>
          <w:spacing w:val="-3"/>
        </w:rPr>
        <w:t> </w:t>
      </w:r>
      <w:r>
        <w:rPr>
          <w:color w:val="010202"/>
        </w:rPr>
        <w:t>volunteers</w:t>
      </w:r>
      <w:r>
        <w:rPr>
          <w:color w:val="010202"/>
          <w:spacing w:val="-2"/>
        </w:rPr>
        <w:t> </w:t>
      </w:r>
      <w:r>
        <w:rPr>
          <w:color w:val="010202"/>
        </w:rPr>
        <w:t>are</w:t>
      </w:r>
      <w:r>
        <w:rPr>
          <w:color w:val="010202"/>
          <w:spacing w:val="-3"/>
        </w:rPr>
        <w:t> </w:t>
      </w:r>
      <w:r>
        <w:rPr>
          <w:color w:val="010202"/>
        </w:rPr>
        <w:t>clear</w:t>
      </w:r>
      <w:r>
        <w:rPr>
          <w:color w:val="010202"/>
          <w:spacing w:val="-3"/>
        </w:rPr>
        <w:t> </w:t>
      </w:r>
      <w:r>
        <w:rPr>
          <w:color w:val="010202"/>
        </w:rPr>
        <w:t>to</w:t>
      </w:r>
      <w:r>
        <w:rPr>
          <w:color w:val="010202"/>
          <w:spacing w:val="-2"/>
        </w:rPr>
        <w:t> </w:t>
      </w:r>
      <w:r>
        <w:rPr>
          <w:color w:val="010202"/>
        </w:rPr>
        <w:t>all</w:t>
      </w:r>
      <w:r>
        <w:rPr>
          <w:color w:val="010202"/>
          <w:spacing w:val="-52"/>
        </w:rPr>
        <w:t> </w:t>
      </w:r>
      <w:r>
        <w:rPr>
          <w:color w:val="010202"/>
        </w:rPr>
        <w:t>individuals</w:t>
      </w:r>
      <w:r>
        <w:rPr>
          <w:color w:val="010202"/>
          <w:spacing w:val="-1"/>
        </w:rPr>
        <w:t> </w:t>
      </w:r>
      <w:r>
        <w:rPr>
          <w:color w:val="010202"/>
        </w:rPr>
        <w:t>involved with</w:t>
      </w:r>
      <w:r>
        <w:rPr>
          <w:color w:val="010202"/>
          <w:spacing w:val="-1"/>
        </w:rPr>
        <w:t> </w:t>
      </w:r>
      <w:r>
        <w:rPr>
          <w:color w:val="010202"/>
        </w:rPr>
        <w:t>the program.</w:t>
      </w:r>
    </w:p>
    <w:p>
      <w:pPr>
        <w:pStyle w:val="ListParagraph"/>
        <w:numPr>
          <w:ilvl w:val="0"/>
          <w:numId w:val="22"/>
        </w:numPr>
        <w:tabs>
          <w:tab w:pos="519" w:val="left" w:leader="none"/>
          <w:tab w:pos="520" w:val="left" w:leader="none"/>
        </w:tabs>
        <w:spacing w:line="249" w:lineRule="auto" w:before="0" w:after="0"/>
        <w:ind w:left="519" w:right="911" w:hanging="360"/>
        <w:jc w:val="left"/>
        <w:rPr>
          <w:sz w:val="22"/>
        </w:rPr>
      </w:pPr>
      <w:r>
        <w:rPr>
          <w:color w:val="010202"/>
          <w:sz w:val="22"/>
        </w:rPr>
        <w:t>During</w:t>
      </w:r>
      <w:r>
        <w:rPr>
          <w:color w:val="010202"/>
          <w:spacing w:val="2"/>
          <w:sz w:val="22"/>
        </w:rPr>
        <w:t> </w:t>
      </w:r>
      <w:r>
        <w:rPr>
          <w:color w:val="010202"/>
          <w:sz w:val="22"/>
        </w:rPr>
        <w:t>their</w:t>
      </w:r>
      <w:r>
        <w:rPr>
          <w:color w:val="010202"/>
          <w:spacing w:val="3"/>
          <w:sz w:val="22"/>
        </w:rPr>
        <w:t> </w:t>
      </w:r>
      <w:r>
        <w:rPr>
          <w:color w:val="010202"/>
          <w:sz w:val="22"/>
        </w:rPr>
        <w:t>first</w:t>
      </w:r>
      <w:r>
        <w:rPr>
          <w:color w:val="010202"/>
          <w:spacing w:val="2"/>
          <w:sz w:val="22"/>
        </w:rPr>
        <w:t> </w:t>
      </w:r>
      <w:r>
        <w:rPr>
          <w:color w:val="010202"/>
          <w:sz w:val="22"/>
        </w:rPr>
        <w:t>visit,</w:t>
      </w:r>
      <w:r>
        <w:rPr>
          <w:color w:val="010202"/>
          <w:spacing w:val="3"/>
          <w:sz w:val="22"/>
        </w:rPr>
        <w:t> </w:t>
      </w:r>
      <w:r>
        <w:rPr>
          <w:color w:val="010202"/>
          <w:sz w:val="22"/>
        </w:rPr>
        <w:t>participants</w:t>
      </w:r>
      <w:r>
        <w:rPr>
          <w:color w:val="010202"/>
          <w:spacing w:val="4"/>
          <w:sz w:val="22"/>
        </w:rPr>
        <w:t> </w:t>
      </w:r>
      <w:r>
        <w:rPr>
          <w:color w:val="010202"/>
          <w:sz w:val="22"/>
        </w:rPr>
        <w:t>are</w:t>
      </w:r>
      <w:r>
        <w:rPr>
          <w:color w:val="010202"/>
          <w:spacing w:val="3"/>
          <w:sz w:val="22"/>
        </w:rPr>
        <w:t> </w:t>
      </w:r>
      <w:r>
        <w:rPr>
          <w:color w:val="010202"/>
          <w:sz w:val="22"/>
        </w:rPr>
        <w:t>asked</w:t>
      </w:r>
      <w:r>
        <w:rPr>
          <w:color w:val="010202"/>
          <w:spacing w:val="1"/>
          <w:sz w:val="22"/>
        </w:rPr>
        <w:t> </w:t>
      </w:r>
      <w:r>
        <w:rPr>
          <w:color w:val="010202"/>
          <w:sz w:val="22"/>
        </w:rPr>
        <w:t>to complete a voluntary intake form. Using the</w:t>
      </w:r>
      <w:r>
        <w:rPr>
          <w:color w:val="010202"/>
          <w:spacing w:val="-52"/>
          <w:sz w:val="22"/>
        </w:rPr>
        <w:t> </w:t>
      </w:r>
      <w:r>
        <w:rPr>
          <w:color w:val="010202"/>
          <w:sz w:val="22"/>
        </w:rPr>
        <w:t>Program</w:t>
      </w:r>
      <w:r>
        <w:rPr>
          <w:color w:val="010202"/>
          <w:spacing w:val="-3"/>
          <w:sz w:val="22"/>
        </w:rPr>
        <w:t> </w:t>
      </w:r>
      <w:r>
        <w:rPr>
          <w:color w:val="010202"/>
          <w:sz w:val="22"/>
        </w:rPr>
        <w:t>Staff</w:t>
      </w:r>
      <w:r>
        <w:rPr>
          <w:color w:val="010202"/>
          <w:spacing w:val="-2"/>
          <w:sz w:val="22"/>
        </w:rPr>
        <w:t> </w:t>
      </w:r>
      <w:r>
        <w:rPr>
          <w:color w:val="010202"/>
          <w:sz w:val="22"/>
        </w:rPr>
        <w:t>Check</w:t>
      </w:r>
      <w:r>
        <w:rPr>
          <w:color w:val="010202"/>
          <w:spacing w:val="-2"/>
          <w:sz w:val="22"/>
        </w:rPr>
        <w:t> </w:t>
      </w:r>
      <w:r>
        <w:rPr>
          <w:color w:val="010202"/>
          <w:sz w:val="22"/>
        </w:rPr>
        <w:t>List</w:t>
      </w:r>
      <w:r>
        <w:rPr>
          <w:color w:val="010202"/>
          <w:spacing w:val="-2"/>
          <w:sz w:val="22"/>
        </w:rPr>
        <w:t> </w:t>
      </w:r>
      <w:r>
        <w:rPr>
          <w:color w:val="010202"/>
          <w:sz w:val="22"/>
        </w:rPr>
        <w:t>and</w:t>
      </w:r>
      <w:r>
        <w:rPr>
          <w:color w:val="010202"/>
          <w:spacing w:val="-2"/>
          <w:sz w:val="22"/>
        </w:rPr>
        <w:t> </w:t>
      </w:r>
      <w:r>
        <w:rPr>
          <w:color w:val="010202"/>
          <w:sz w:val="22"/>
        </w:rPr>
        <w:t>this</w:t>
      </w:r>
      <w:r>
        <w:rPr>
          <w:color w:val="010202"/>
          <w:spacing w:val="-2"/>
          <w:sz w:val="22"/>
        </w:rPr>
        <w:t> </w:t>
      </w:r>
      <w:r>
        <w:rPr>
          <w:color w:val="010202"/>
          <w:sz w:val="22"/>
        </w:rPr>
        <w:t>intake</w:t>
      </w:r>
      <w:r>
        <w:rPr>
          <w:color w:val="010202"/>
          <w:spacing w:val="-2"/>
          <w:sz w:val="22"/>
        </w:rPr>
        <w:t> </w:t>
      </w:r>
      <w:r>
        <w:rPr>
          <w:color w:val="010202"/>
          <w:sz w:val="22"/>
        </w:rPr>
        <w:t>form,</w:t>
      </w:r>
    </w:p>
    <w:p>
      <w:pPr>
        <w:pStyle w:val="BodyText"/>
        <w:spacing w:line="249" w:lineRule="auto"/>
        <w:ind w:left="519" w:right="732"/>
      </w:pPr>
      <w:r>
        <w:rPr>
          <w:color w:val="010202"/>
        </w:rPr>
        <w:t>staff</w:t>
      </w:r>
      <w:r>
        <w:rPr>
          <w:color w:val="010202"/>
          <w:spacing w:val="-7"/>
        </w:rPr>
        <w:t> </w:t>
      </w:r>
      <w:r>
        <w:rPr>
          <w:color w:val="010202"/>
        </w:rPr>
        <w:t>discuss</w:t>
      </w:r>
      <w:r>
        <w:rPr>
          <w:color w:val="010202"/>
          <w:spacing w:val="-6"/>
        </w:rPr>
        <w:t> </w:t>
      </w:r>
      <w:r>
        <w:rPr>
          <w:color w:val="010202"/>
        </w:rPr>
        <w:t>LMSEP’s</w:t>
      </w:r>
      <w:r>
        <w:rPr>
          <w:color w:val="010202"/>
          <w:spacing w:val="-7"/>
        </w:rPr>
        <w:t> </w:t>
      </w:r>
      <w:r>
        <w:rPr>
          <w:color w:val="010202"/>
        </w:rPr>
        <w:t>numerous</w:t>
      </w:r>
      <w:r>
        <w:rPr>
          <w:color w:val="010202"/>
          <w:spacing w:val="-6"/>
        </w:rPr>
        <w:t> </w:t>
      </w:r>
      <w:r>
        <w:rPr>
          <w:color w:val="010202"/>
        </w:rPr>
        <w:t>harm</w:t>
      </w:r>
      <w:r>
        <w:rPr>
          <w:color w:val="010202"/>
          <w:spacing w:val="-6"/>
        </w:rPr>
        <w:t> </w:t>
      </w:r>
      <w:r>
        <w:rPr>
          <w:color w:val="010202"/>
        </w:rPr>
        <w:t>reduction</w:t>
      </w:r>
      <w:r>
        <w:rPr>
          <w:color w:val="010202"/>
          <w:spacing w:val="-52"/>
        </w:rPr>
        <w:t> </w:t>
      </w:r>
      <w:r>
        <w:rPr>
          <w:color w:val="010202"/>
        </w:rPr>
        <w:t>and</w:t>
      </w:r>
      <w:r>
        <w:rPr>
          <w:color w:val="010202"/>
          <w:spacing w:val="-1"/>
        </w:rPr>
        <w:t> </w:t>
      </w:r>
      <w:r>
        <w:rPr>
          <w:color w:val="010202"/>
        </w:rPr>
        <w:t>treatment</w:t>
      </w:r>
      <w:r>
        <w:rPr>
          <w:color w:val="010202"/>
          <w:spacing w:val="-1"/>
        </w:rPr>
        <w:t> </w:t>
      </w:r>
      <w:r>
        <w:rPr>
          <w:color w:val="010202"/>
        </w:rPr>
        <w:t>services</w:t>
      </w:r>
      <w:r>
        <w:rPr>
          <w:color w:val="010202"/>
          <w:spacing w:val="-1"/>
        </w:rPr>
        <w:t> </w:t>
      </w:r>
      <w:r>
        <w:rPr>
          <w:color w:val="010202"/>
        </w:rPr>
        <w:t>with</w:t>
      </w:r>
      <w:r>
        <w:rPr>
          <w:color w:val="010202"/>
          <w:spacing w:val="-2"/>
        </w:rPr>
        <w:t> </w:t>
      </w:r>
      <w:r>
        <w:rPr>
          <w:color w:val="010202"/>
        </w:rPr>
        <w:t>participants.</w:t>
      </w:r>
    </w:p>
    <w:p>
      <w:pPr>
        <w:pStyle w:val="ListParagraph"/>
        <w:numPr>
          <w:ilvl w:val="0"/>
          <w:numId w:val="22"/>
        </w:numPr>
        <w:tabs>
          <w:tab w:pos="519" w:val="left" w:leader="none"/>
          <w:tab w:pos="520" w:val="left" w:leader="none"/>
        </w:tabs>
        <w:spacing w:line="256" w:lineRule="exact" w:before="0" w:after="0"/>
        <w:ind w:left="519" w:right="0" w:hanging="361"/>
        <w:jc w:val="left"/>
        <w:rPr>
          <w:sz w:val="22"/>
        </w:rPr>
      </w:pPr>
      <w:r>
        <w:rPr>
          <w:color w:val="010202"/>
          <w:sz w:val="22"/>
        </w:rPr>
        <w:t>Within</w:t>
      </w:r>
      <w:r>
        <w:rPr>
          <w:color w:val="010202"/>
          <w:spacing w:val="-5"/>
          <w:sz w:val="22"/>
        </w:rPr>
        <w:t> </w:t>
      </w:r>
      <w:r>
        <w:rPr>
          <w:color w:val="010202"/>
          <w:sz w:val="22"/>
        </w:rPr>
        <w:t>LMSEP’s</w:t>
      </w:r>
      <w:r>
        <w:rPr>
          <w:color w:val="010202"/>
          <w:spacing w:val="-5"/>
          <w:sz w:val="22"/>
        </w:rPr>
        <w:t> </w:t>
      </w:r>
      <w:r>
        <w:rPr>
          <w:color w:val="010202"/>
          <w:sz w:val="22"/>
        </w:rPr>
        <w:t>harm</w:t>
      </w:r>
      <w:r>
        <w:rPr>
          <w:color w:val="010202"/>
          <w:spacing w:val="-4"/>
          <w:sz w:val="22"/>
        </w:rPr>
        <w:t> </w:t>
      </w:r>
      <w:r>
        <w:rPr>
          <w:color w:val="010202"/>
          <w:sz w:val="22"/>
        </w:rPr>
        <w:t>reduction</w:t>
      </w:r>
      <w:r>
        <w:rPr>
          <w:color w:val="010202"/>
          <w:spacing w:val="-4"/>
          <w:sz w:val="22"/>
        </w:rPr>
        <w:t> </w:t>
      </w:r>
      <w:r>
        <w:rPr>
          <w:color w:val="010202"/>
          <w:sz w:val="22"/>
        </w:rPr>
        <w:t>model,</w:t>
      </w:r>
    </w:p>
    <w:p>
      <w:pPr>
        <w:pStyle w:val="BodyText"/>
        <w:spacing w:line="249" w:lineRule="auto"/>
        <w:ind w:left="519" w:right="1087"/>
      </w:pPr>
      <w:r>
        <w:rPr>
          <w:color w:val="010202"/>
        </w:rPr>
        <w:t>certified alcohol and SUD counselors and</w:t>
      </w:r>
      <w:r>
        <w:rPr>
          <w:color w:val="010202"/>
          <w:spacing w:val="1"/>
        </w:rPr>
        <w:t> </w:t>
      </w:r>
      <w:r>
        <w:rPr>
          <w:color w:val="010202"/>
        </w:rPr>
        <w:t>HIV prevention specialists provide onsite</w:t>
      </w:r>
      <w:r>
        <w:rPr>
          <w:color w:val="010202"/>
          <w:spacing w:val="1"/>
        </w:rPr>
        <w:t> </w:t>
      </w:r>
      <w:r>
        <w:rPr>
          <w:color w:val="010202"/>
        </w:rPr>
        <w:t>support, testing, and linkage. LMSEP staff</w:t>
      </w:r>
      <w:r>
        <w:rPr>
          <w:color w:val="010202"/>
          <w:spacing w:val="1"/>
        </w:rPr>
        <w:t> </w:t>
      </w:r>
      <w:r>
        <w:rPr>
          <w:color w:val="010202"/>
        </w:rPr>
        <w:t>link</w:t>
      </w:r>
      <w:r>
        <w:rPr>
          <w:color w:val="010202"/>
          <w:spacing w:val="-3"/>
        </w:rPr>
        <w:t> </w:t>
      </w:r>
      <w:r>
        <w:rPr>
          <w:color w:val="010202"/>
        </w:rPr>
        <w:t>participants</w:t>
      </w:r>
      <w:r>
        <w:rPr>
          <w:color w:val="010202"/>
          <w:spacing w:val="-2"/>
        </w:rPr>
        <w:t> </w:t>
      </w:r>
      <w:r>
        <w:rPr>
          <w:color w:val="010202"/>
        </w:rPr>
        <w:t>who</w:t>
      </w:r>
      <w:r>
        <w:rPr>
          <w:color w:val="010202"/>
          <w:spacing w:val="-3"/>
        </w:rPr>
        <w:t> </w:t>
      </w:r>
      <w:r>
        <w:rPr>
          <w:color w:val="010202"/>
        </w:rPr>
        <w:t>test</w:t>
      </w:r>
      <w:r>
        <w:rPr>
          <w:color w:val="010202"/>
          <w:spacing w:val="-2"/>
        </w:rPr>
        <w:t> </w:t>
      </w:r>
      <w:r>
        <w:rPr>
          <w:color w:val="010202"/>
        </w:rPr>
        <w:t>positive</w:t>
      </w:r>
      <w:r>
        <w:rPr>
          <w:color w:val="010202"/>
          <w:spacing w:val="-2"/>
        </w:rPr>
        <w:t> </w:t>
      </w:r>
      <w:r>
        <w:rPr>
          <w:color w:val="010202"/>
        </w:rPr>
        <w:t>for</w:t>
      </w:r>
      <w:r>
        <w:rPr>
          <w:color w:val="010202"/>
          <w:spacing w:val="-2"/>
        </w:rPr>
        <w:t> </w:t>
      </w:r>
      <w:r>
        <w:rPr>
          <w:color w:val="010202"/>
        </w:rPr>
        <w:t>HIV</w:t>
      </w:r>
      <w:r>
        <w:rPr>
          <w:color w:val="010202"/>
          <w:spacing w:val="-7"/>
        </w:rPr>
        <w:t> </w:t>
      </w:r>
      <w:r>
        <w:rPr>
          <w:color w:val="010202"/>
        </w:rPr>
        <w:t>to</w:t>
      </w:r>
      <w:r>
        <w:rPr>
          <w:color w:val="010202"/>
          <w:spacing w:val="-52"/>
        </w:rPr>
        <w:t> </w:t>
      </w:r>
      <w:r>
        <w:rPr>
          <w:color w:val="010202"/>
        </w:rPr>
        <w:t>a Kentucky Care Coordination program case</w:t>
      </w:r>
      <w:r>
        <w:rPr>
          <w:color w:val="010202"/>
          <w:spacing w:val="-52"/>
        </w:rPr>
        <w:t> </w:t>
      </w:r>
      <w:r>
        <w:rPr>
          <w:color w:val="010202"/>
        </w:rPr>
        <w:t>manager at the University of Louisville to</w:t>
      </w:r>
      <w:r>
        <w:rPr>
          <w:color w:val="010202"/>
          <w:spacing w:val="1"/>
        </w:rPr>
        <w:t> </w:t>
      </w:r>
      <w:r>
        <w:rPr>
          <w:color w:val="010202"/>
        </w:rPr>
        <w:t>facilitate</w:t>
      </w:r>
      <w:r>
        <w:rPr>
          <w:color w:val="010202"/>
          <w:spacing w:val="-4"/>
        </w:rPr>
        <w:t> </w:t>
      </w:r>
      <w:r>
        <w:rPr>
          <w:color w:val="010202"/>
        </w:rPr>
        <w:t>HIV-specific</w:t>
      </w:r>
      <w:r>
        <w:rPr>
          <w:color w:val="010202"/>
          <w:spacing w:val="-4"/>
        </w:rPr>
        <w:t> </w:t>
      </w:r>
      <w:r>
        <w:rPr>
          <w:color w:val="010202"/>
        </w:rPr>
        <w:t>care</w:t>
      </w:r>
      <w:r>
        <w:rPr>
          <w:color w:val="010202"/>
          <w:spacing w:val="-4"/>
        </w:rPr>
        <w:t> </w:t>
      </w:r>
      <w:r>
        <w:rPr>
          <w:color w:val="010202"/>
        </w:rPr>
        <w:t>and</w:t>
      </w:r>
      <w:r>
        <w:rPr>
          <w:color w:val="010202"/>
          <w:spacing w:val="-4"/>
        </w:rPr>
        <w:t> </w:t>
      </w:r>
      <w:r>
        <w:rPr>
          <w:color w:val="010202"/>
        </w:rPr>
        <w:t>treatment.</w:t>
      </w:r>
    </w:p>
    <w:p>
      <w:pPr>
        <w:spacing w:after="0" w:line="249" w:lineRule="auto"/>
        <w:sectPr>
          <w:type w:val="continuous"/>
          <w:pgSz w:w="12240" w:h="15840"/>
          <w:pgMar w:header="0" w:footer="666" w:top="1500" w:bottom="0" w:left="560" w:right="0"/>
          <w:cols w:num="2" w:equalWidth="0">
            <w:col w:w="5240" w:space="881"/>
            <w:col w:w="5559"/>
          </w:cols>
        </w:sectPr>
      </w:pPr>
    </w:p>
    <w:p>
      <w:pPr>
        <w:pStyle w:val="BodyText"/>
        <w:rPr>
          <w:sz w:val="20"/>
        </w:rPr>
      </w:pPr>
    </w:p>
    <w:p>
      <w:pPr>
        <w:pStyle w:val="BodyText"/>
        <w:rPr>
          <w:sz w:val="20"/>
        </w:rPr>
      </w:pPr>
    </w:p>
    <w:p>
      <w:pPr>
        <w:pStyle w:val="BodyText"/>
        <w:spacing w:before="8"/>
        <w:rPr>
          <w:sz w:val="26"/>
        </w:rPr>
      </w:pPr>
    </w:p>
    <w:p>
      <w:pPr>
        <w:spacing w:after="0"/>
        <w:rPr>
          <w:sz w:val="26"/>
        </w:rPr>
        <w:sectPr>
          <w:pgSz w:w="12240" w:h="15840"/>
          <w:pgMar w:header="0" w:footer="666" w:top="380" w:bottom="860" w:left="560" w:right="0"/>
        </w:sectPr>
      </w:pPr>
    </w:p>
    <w:p>
      <w:pPr>
        <w:pStyle w:val="Heading6"/>
        <w:spacing w:before="93"/>
      </w:pPr>
      <w:bookmarkStart w:name="Findings and Outcomes" w:id="123"/>
      <w:bookmarkEnd w:id="123"/>
      <w:r>
        <w:rPr>
          <w:b w:val="0"/>
        </w:rPr>
      </w:r>
      <w:bookmarkStart w:name="Lessons Learned" w:id="124"/>
      <w:bookmarkEnd w:id="124"/>
      <w:r>
        <w:rPr>
          <w:b w:val="0"/>
        </w:rPr>
      </w:r>
      <w:r>
        <w:rPr>
          <w:color w:val="CE384B"/>
        </w:rPr>
        <w:t>Findings</w:t>
      </w:r>
      <w:r>
        <w:rPr>
          <w:color w:val="CE384B"/>
          <w:spacing w:val="-1"/>
        </w:rPr>
        <w:t> </w:t>
      </w:r>
      <w:r>
        <w:rPr>
          <w:color w:val="CE384B"/>
        </w:rPr>
        <w:t>and</w:t>
      </w:r>
      <w:r>
        <w:rPr>
          <w:color w:val="CE384B"/>
          <w:spacing w:val="-2"/>
        </w:rPr>
        <w:t> </w:t>
      </w:r>
      <w:r>
        <w:rPr>
          <w:color w:val="CE384B"/>
        </w:rPr>
        <w:t>Outcomes</w:t>
      </w:r>
    </w:p>
    <w:p>
      <w:pPr>
        <w:pStyle w:val="ListParagraph"/>
        <w:numPr>
          <w:ilvl w:val="1"/>
          <w:numId w:val="22"/>
        </w:numPr>
        <w:tabs>
          <w:tab w:pos="879" w:val="left" w:leader="none"/>
          <w:tab w:pos="880" w:val="left" w:leader="none"/>
        </w:tabs>
        <w:spacing w:line="249" w:lineRule="auto" w:before="86" w:after="0"/>
        <w:ind w:left="879" w:right="38" w:hanging="360"/>
        <w:jc w:val="left"/>
        <w:rPr>
          <w:sz w:val="22"/>
        </w:rPr>
      </w:pPr>
      <w:r>
        <w:rPr>
          <w:color w:val="010202"/>
          <w:spacing w:val="-5"/>
          <w:sz w:val="22"/>
        </w:rPr>
        <w:t>Since</w:t>
      </w:r>
      <w:r>
        <w:rPr>
          <w:color w:val="010202"/>
          <w:spacing w:val="-9"/>
          <w:sz w:val="22"/>
        </w:rPr>
        <w:t> </w:t>
      </w:r>
      <w:r>
        <w:rPr>
          <w:color w:val="010202"/>
          <w:spacing w:val="-5"/>
          <w:sz w:val="22"/>
        </w:rPr>
        <w:t>its</w:t>
      </w:r>
      <w:r>
        <w:rPr>
          <w:color w:val="010202"/>
          <w:spacing w:val="-9"/>
          <w:sz w:val="22"/>
        </w:rPr>
        <w:t> </w:t>
      </w:r>
      <w:r>
        <w:rPr>
          <w:color w:val="010202"/>
          <w:spacing w:val="-4"/>
          <w:sz w:val="22"/>
        </w:rPr>
        <w:t>establishment</w:t>
      </w:r>
      <w:r>
        <w:rPr>
          <w:color w:val="010202"/>
          <w:spacing w:val="-9"/>
          <w:sz w:val="22"/>
        </w:rPr>
        <w:t> </w:t>
      </w:r>
      <w:r>
        <w:rPr>
          <w:color w:val="010202"/>
          <w:spacing w:val="-4"/>
          <w:sz w:val="22"/>
        </w:rPr>
        <w:t>in</w:t>
      </w:r>
      <w:r>
        <w:rPr>
          <w:color w:val="010202"/>
          <w:spacing w:val="-9"/>
          <w:sz w:val="22"/>
        </w:rPr>
        <w:t> </w:t>
      </w:r>
      <w:r>
        <w:rPr>
          <w:color w:val="010202"/>
          <w:spacing w:val="-4"/>
          <w:sz w:val="22"/>
        </w:rPr>
        <w:t>2015,</w:t>
      </w:r>
      <w:r>
        <w:rPr>
          <w:color w:val="010202"/>
          <w:spacing w:val="-9"/>
          <w:sz w:val="22"/>
        </w:rPr>
        <w:t> </w:t>
      </w:r>
      <w:r>
        <w:rPr>
          <w:color w:val="010202"/>
          <w:spacing w:val="-4"/>
          <w:sz w:val="22"/>
        </w:rPr>
        <w:t>LMSEP</w:t>
      </w:r>
      <w:r>
        <w:rPr>
          <w:color w:val="010202"/>
          <w:spacing w:val="-17"/>
          <w:sz w:val="22"/>
        </w:rPr>
        <w:t> </w:t>
      </w:r>
      <w:r>
        <w:rPr>
          <w:color w:val="010202"/>
          <w:spacing w:val="-4"/>
          <w:sz w:val="22"/>
        </w:rPr>
        <w:t>has</w:t>
      </w:r>
      <w:r>
        <w:rPr>
          <w:color w:val="010202"/>
          <w:spacing w:val="-9"/>
          <w:sz w:val="22"/>
        </w:rPr>
        <w:t> </w:t>
      </w:r>
      <w:r>
        <w:rPr>
          <w:color w:val="010202"/>
          <w:spacing w:val="-4"/>
          <w:sz w:val="22"/>
        </w:rPr>
        <w:t>served</w:t>
      </w:r>
      <w:r>
        <w:rPr>
          <w:color w:val="010202"/>
          <w:spacing w:val="-52"/>
          <w:sz w:val="22"/>
        </w:rPr>
        <w:t> </w:t>
      </w:r>
      <w:r>
        <w:rPr>
          <w:color w:val="010202"/>
          <w:spacing w:val="-4"/>
          <w:sz w:val="22"/>
        </w:rPr>
        <w:t>more than 20,000 unique participants, has </w:t>
      </w:r>
      <w:r>
        <w:rPr>
          <w:color w:val="010202"/>
          <w:spacing w:val="-3"/>
          <w:sz w:val="22"/>
        </w:rPr>
        <w:t>had</w:t>
      </w:r>
      <w:r>
        <w:rPr>
          <w:color w:val="010202"/>
          <w:spacing w:val="-2"/>
          <w:sz w:val="22"/>
        </w:rPr>
        <w:t> </w:t>
      </w:r>
      <w:r>
        <w:rPr>
          <w:color w:val="010202"/>
          <w:spacing w:val="-5"/>
          <w:sz w:val="22"/>
        </w:rPr>
        <w:t>about 115,000 visits, </w:t>
      </w:r>
      <w:r>
        <w:rPr>
          <w:color w:val="010202"/>
          <w:spacing w:val="-4"/>
          <w:sz w:val="22"/>
        </w:rPr>
        <w:t>and has distributed more than</w:t>
      </w:r>
      <w:r>
        <w:rPr>
          <w:color w:val="010202"/>
          <w:spacing w:val="-52"/>
          <w:sz w:val="22"/>
        </w:rPr>
        <w:t> </w:t>
      </w:r>
      <w:r>
        <w:rPr>
          <w:color w:val="010202"/>
          <w:spacing w:val="-5"/>
          <w:sz w:val="22"/>
        </w:rPr>
        <w:t>five</w:t>
      </w:r>
      <w:r>
        <w:rPr>
          <w:color w:val="010202"/>
          <w:spacing w:val="-9"/>
          <w:sz w:val="22"/>
        </w:rPr>
        <w:t> </w:t>
      </w:r>
      <w:r>
        <w:rPr>
          <w:color w:val="010202"/>
          <w:spacing w:val="-5"/>
          <w:sz w:val="22"/>
        </w:rPr>
        <w:t>million</w:t>
      </w:r>
      <w:r>
        <w:rPr>
          <w:color w:val="010202"/>
          <w:spacing w:val="-8"/>
          <w:sz w:val="22"/>
        </w:rPr>
        <w:t> </w:t>
      </w:r>
      <w:r>
        <w:rPr>
          <w:color w:val="010202"/>
          <w:spacing w:val="-5"/>
          <w:sz w:val="22"/>
        </w:rPr>
        <w:t>sterile</w:t>
      </w:r>
      <w:r>
        <w:rPr>
          <w:color w:val="010202"/>
          <w:spacing w:val="-9"/>
          <w:sz w:val="22"/>
        </w:rPr>
        <w:t> </w:t>
      </w:r>
      <w:r>
        <w:rPr>
          <w:color w:val="010202"/>
          <w:spacing w:val="-5"/>
          <w:sz w:val="22"/>
        </w:rPr>
        <w:t>syringes.</w:t>
      </w:r>
      <w:r>
        <w:rPr>
          <w:color w:val="010202"/>
          <w:spacing w:val="-8"/>
          <w:sz w:val="22"/>
        </w:rPr>
        <w:t> </w:t>
      </w:r>
      <w:r>
        <w:rPr>
          <w:color w:val="010202"/>
          <w:spacing w:val="-4"/>
          <w:sz w:val="22"/>
        </w:rPr>
        <w:t>LMSEP</w:t>
      </w:r>
      <w:r>
        <w:rPr>
          <w:color w:val="010202"/>
          <w:spacing w:val="-17"/>
          <w:sz w:val="22"/>
        </w:rPr>
        <w:t> </w:t>
      </w:r>
      <w:r>
        <w:rPr>
          <w:color w:val="010202"/>
          <w:spacing w:val="-4"/>
          <w:sz w:val="22"/>
        </w:rPr>
        <w:t>has</w:t>
      </w:r>
      <w:r>
        <w:rPr>
          <w:color w:val="010202"/>
          <w:spacing w:val="-8"/>
          <w:sz w:val="22"/>
        </w:rPr>
        <w:t> </w:t>
      </w:r>
      <w:r>
        <w:rPr>
          <w:color w:val="010202"/>
          <w:spacing w:val="-4"/>
          <w:sz w:val="22"/>
        </w:rPr>
        <w:t>also:</w:t>
      </w:r>
    </w:p>
    <w:p>
      <w:pPr>
        <w:pStyle w:val="ListParagraph"/>
        <w:numPr>
          <w:ilvl w:val="2"/>
          <w:numId w:val="22"/>
        </w:numPr>
        <w:tabs>
          <w:tab w:pos="1239" w:val="left" w:leader="none"/>
          <w:tab w:pos="1240" w:val="left" w:leader="none"/>
        </w:tabs>
        <w:spacing w:line="249" w:lineRule="auto" w:before="77" w:after="0"/>
        <w:ind w:left="1239" w:right="49" w:hanging="360"/>
        <w:jc w:val="left"/>
        <w:rPr>
          <w:sz w:val="22"/>
        </w:rPr>
      </w:pPr>
      <w:r>
        <w:rPr>
          <w:color w:val="010202"/>
          <w:sz w:val="22"/>
        </w:rPr>
        <w:t>Tested</w:t>
      </w:r>
      <w:r>
        <w:rPr>
          <w:color w:val="010202"/>
          <w:spacing w:val="-5"/>
          <w:sz w:val="22"/>
        </w:rPr>
        <w:t> </w:t>
      </w:r>
      <w:r>
        <w:rPr>
          <w:color w:val="010202"/>
          <w:sz w:val="22"/>
        </w:rPr>
        <w:t>more</w:t>
      </w:r>
      <w:r>
        <w:rPr>
          <w:color w:val="010202"/>
          <w:spacing w:val="-4"/>
          <w:sz w:val="22"/>
        </w:rPr>
        <w:t> </w:t>
      </w:r>
      <w:r>
        <w:rPr>
          <w:color w:val="010202"/>
          <w:sz w:val="22"/>
        </w:rPr>
        <w:t>than</w:t>
      </w:r>
      <w:r>
        <w:rPr>
          <w:color w:val="010202"/>
          <w:spacing w:val="-4"/>
          <w:sz w:val="22"/>
        </w:rPr>
        <w:t> </w:t>
      </w:r>
      <w:r>
        <w:rPr>
          <w:color w:val="010202"/>
          <w:sz w:val="22"/>
        </w:rPr>
        <w:t>35,000</w:t>
      </w:r>
      <w:r>
        <w:rPr>
          <w:color w:val="010202"/>
          <w:spacing w:val="-4"/>
          <w:sz w:val="22"/>
        </w:rPr>
        <w:t> </w:t>
      </w:r>
      <w:r>
        <w:rPr>
          <w:color w:val="010202"/>
          <w:sz w:val="22"/>
        </w:rPr>
        <w:t>people</w:t>
      </w:r>
      <w:r>
        <w:rPr>
          <w:color w:val="010202"/>
          <w:spacing w:val="-5"/>
          <w:sz w:val="22"/>
        </w:rPr>
        <w:t> </w:t>
      </w:r>
      <w:r>
        <w:rPr>
          <w:color w:val="010202"/>
          <w:sz w:val="22"/>
        </w:rPr>
        <w:t>for</w:t>
      </w:r>
      <w:r>
        <w:rPr>
          <w:color w:val="010202"/>
          <w:spacing w:val="-4"/>
          <w:sz w:val="22"/>
        </w:rPr>
        <w:t> </w:t>
      </w:r>
      <w:r>
        <w:rPr>
          <w:color w:val="010202"/>
          <w:sz w:val="22"/>
        </w:rPr>
        <w:t>HIV</w:t>
      </w:r>
      <w:r>
        <w:rPr>
          <w:color w:val="010202"/>
          <w:spacing w:val="-9"/>
          <w:sz w:val="22"/>
        </w:rPr>
        <w:t> </w:t>
      </w:r>
      <w:r>
        <w:rPr>
          <w:color w:val="010202"/>
          <w:sz w:val="22"/>
        </w:rPr>
        <w:t>and</w:t>
      </w:r>
      <w:r>
        <w:rPr>
          <w:color w:val="010202"/>
          <w:spacing w:val="-52"/>
          <w:sz w:val="22"/>
        </w:rPr>
        <w:t> </w:t>
      </w:r>
      <w:r>
        <w:rPr>
          <w:color w:val="010202"/>
          <w:sz w:val="22"/>
        </w:rPr>
        <w:t>referred 29 for treatment</w:t>
      </w:r>
    </w:p>
    <w:p>
      <w:pPr>
        <w:pStyle w:val="ListParagraph"/>
        <w:numPr>
          <w:ilvl w:val="2"/>
          <w:numId w:val="22"/>
        </w:numPr>
        <w:tabs>
          <w:tab w:pos="1239" w:val="left" w:leader="none"/>
          <w:tab w:pos="1240" w:val="left" w:leader="none"/>
        </w:tabs>
        <w:spacing w:line="254" w:lineRule="exact" w:before="0" w:after="0"/>
        <w:ind w:left="1239" w:right="0" w:hanging="361"/>
        <w:jc w:val="left"/>
        <w:rPr>
          <w:sz w:val="22"/>
        </w:rPr>
      </w:pPr>
      <w:r>
        <w:rPr>
          <w:color w:val="010202"/>
          <w:sz w:val="22"/>
        </w:rPr>
        <w:t>Tested</w:t>
      </w:r>
      <w:r>
        <w:rPr>
          <w:color w:val="010202"/>
          <w:spacing w:val="-3"/>
          <w:sz w:val="22"/>
        </w:rPr>
        <w:t> </w:t>
      </w:r>
      <w:r>
        <w:rPr>
          <w:color w:val="010202"/>
          <w:sz w:val="22"/>
        </w:rPr>
        <w:t>more</w:t>
      </w:r>
      <w:r>
        <w:rPr>
          <w:color w:val="010202"/>
          <w:spacing w:val="-2"/>
          <w:sz w:val="22"/>
        </w:rPr>
        <w:t> </w:t>
      </w:r>
      <w:r>
        <w:rPr>
          <w:color w:val="010202"/>
          <w:sz w:val="22"/>
        </w:rPr>
        <w:t>than</w:t>
      </w:r>
      <w:r>
        <w:rPr>
          <w:color w:val="010202"/>
          <w:spacing w:val="-2"/>
          <w:sz w:val="22"/>
        </w:rPr>
        <w:t> </w:t>
      </w:r>
      <w:r>
        <w:rPr>
          <w:color w:val="010202"/>
          <w:sz w:val="22"/>
        </w:rPr>
        <w:t>4,800</w:t>
      </w:r>
      <w:r>
        <w:rPr>
          <w:color w:val="010202"/>
          <w:spacing w:val="-2"/>
          <w:sz w:val="22"/>
        </w:rPr>
        <w:t> </w:t>
      </w:r>
      <w:r>
        <w:rPr>
          <w:color w:val="010202"/>
          <w:sz w:val="22"/>
        </w:rPr>
        <w:t>people</w:t>
      </w:r>
      <w:r>
        <w:rPr>
          <w:color w:val="010202"/>
          <w:spacing w:val="-2"/>
          <w:sz w:val="22"/>
        </w:rPr>
        <w:t> </w:t>
      </w:r>
      <w:r>
        <w:rPr>
          <w:color w:val="010202"/>
          <w:sz w:val="22"/>
        </w:rPr>
        <w:t>for</w:t>
      </w:r>
      <w:r>
        <w:rPr>
          <w:color w:val="010202"/>
          <w:spacing w:val="-3"/>
          <w:sz w:val="22"/>
        </w:rPr>
        <w:t> </w:t>
      </w:r>
      <w:r>
        <w:rPr>
          <w:color w:val="010202"/>
          <w:sz w:val="22"/>
        </w:rPr>
        <w:t>HCV</w:t>
      </w:r>
      <w:r>
        <w:rPr>
          <w:color w:val="010202"/>
          <w:spacing w:val="-7"/>
          <w:sz w:val="22"/>
        </w:rPr>
        <w:t> </w:t>
      </w:r>
      <w:r>
        <w:rPr>
          <w:color w:val="010202"/>
          <w:sz w:val="22"/>
        </w:rPr>
        <w:t>and</w:t>
      </w:r>
    </w:p>
    <w:p>
      <w:pPr>
        <w:pStyle w:val="BodyText"/>
        <w:spacing w:line="251" w:lineRule="exact" w:before="10"/>
        <w:ind w:left="1239"/>
      </w:pPr>
      <w:r>
        <w:rPr>
          <w:color w:val="010202"/>
        </w:rPr>
        <w:t>referred approximately 700 for treatment</w:t>
      </w:r>
    </w:p>
    <w:p>
      <w:pPr>
        <w:pStyle w:val="ListParagraph"/>
        <w:numPr>
          <w:ilvl w:val="2"/>
          <w:numId w:val="22"/>
        </w:numPr>
        <w:tabs>
          <w:tab w:pos="1239" w:val="left" w:leader="none"/>
          <w:tab w:pos="1240" w:val="left" w:leader="none"/>
        </w:tabs>
        <w:spacing w:line="264" w:lineRule="exact" w:before="0" w:after="0"/>
        <w:ind w:left="1239" w:right="0" w:hanging="361"/>
        <w:jc w:val="left"/>
        <w:rPr>
          <w:sz w:val="22"/>
        </w:rPr>
      </w:pPr>
      <w:r>
        <w:rPr>
          <w:color w:val="010202"/>
          <w:sz w:val="22"/>
        </w:rPr>
        <w:t>Referred</w:t>
      </w:r>
      <w:r>
        <w:rPr>
          <w:color w:val="010202"/>
          <w:spacing w:val="-1"/>
          <w:sz w:val="22"/>
        </w:rPr>
        <w:t> </w:t>
      </w:r>
      <w:r>
        <w:rPr>
          <w:color w:val="010202"/>
          <w:sz w:val="22"/>
        </w:rPr>
        <w:t>719 people for</w:t>
      </w:r>
      <w:r>
        <w:rPr>
          <w:color w:val="010202"/>
          <w:spacing w:val="-1"/>
          <w:sz w:val="22"/>
        </w:rPr>
        <w:t> </w:t>
      </w:r>
      <w:r>
        <w:rPr>
          <w:color w:val="010202"/>
          <w:sz w:val="22"/>
        </w:rPr>
        <w:t>SUD</w:t>
      </w:r>
      <w:r>
        <w:rPr>
          <w:color w:val="010202"/>
          <w:spacing w:val="-1"/>
          <w:sz w:val="22"/>
        </w:rPr>
        <w:t> </w:t>
      </w:r>
      <w:r>
        <w:rPr>
          <w:color w:val="010202"/>
          <w:sz w:val="22"/>
        </w:rPr>
        <w:t>treatment</w:t>
      </w:r>
    </w:p>
    <w:p>
      <w:pPr>
        <w:pStyle w:val="ListParagraph"/>
        <w:numPr>
          <w:ilvl w:val="2"/>
          <w:numId w:val="22"/>
        </w:numPr>
        <w:tabs>
          <w:tab w:pos="1239" w:val="left" w:leader="none"/>
          <w:tab w:pos="1240" w:val="left" w:leader="none"/>
        </w:tabs>
        <w:spacing w:line="249" w:lineRule="auto" w:before="0" w:after="0"/>
        <w:ind w:left="1239" w:right="349" w:hanging="360"/>
        <w:jc w:val="left"/>
        <w:rPr>
          <w:sz w:val="22"/>
        </w:rPr>
      </w:pPr>
      <w:r>
        <w:rPr>
          <w:color w:val="010202"/>
          <w:sz w:val="22"/>
        </w:rPr>
        <w:t>Connected more than 300 people to other</w:t>
      </w:r>
      <w:r>
        <w:rPr>
          <w:color w:val="010202"/>
          <w:spacing w:val="-53"/>
          <w:sz w:val="22"/>
        </w:rPr>
        <w:t> </w:t>
      </w:r>
      <w:r>
        <w:rPr>
          <w:color w:val="010202"/>
          <w:sz w:val="22"/>
        </w:rPr>
        <w:t>community</w:t>
      </w:r>
      <w:r>
        <w:rPr>
          <w:color w:val="010202"/>
          <w:spacing w:val="-1"/>
          <w:sz w:val="22"/>
        </w:rPr>
        <w:t> </w:t>
      </w:r>
      <w:r>
        <w:rPr>
          <w:color w:val="010202"/>
          <w:sz w:val="22"/>
        </w:rPr>
        <w:t>services</w:t>
      </w:r>
    </w:p>
    <w:p>
      <w:pPr>
        <w:pStyle w:val="ListParagraph"/>
        <w:numPr>
          <w:ilvl w:val="1"/>
          <w:numId w:val="22"/>
        </w:numPr>
        <w:tabs>
          <w:tab w:pos="878" w:val="left" w:leader="none"/>
          <w:tab w:pos="879" w:val="left" w:leader="none"/>
        </w:tabs>
        <w:spacing w:line="249" w:lineRule="auto" w:before="72" w:after="0"/>
        <w:ind w:left="878" w:right="97" w:hanging="360"/>
        <w:jc w:val="left"/>
        <w:rPr>
          <w:sz w:val="22"/>
        </w:rPr>
      </w:pPr>
      <w:r>
        <w:rPr>
          <w:color w:val="010202"/>
          <w:sz w:val="22"/>
        </w:rPr>
        <w:t>Since</w:t>
      </w:r>
      <w:r>
        <w:rPr>
          <w:color w:val="010202"/>
          <w:spacing w:val="-4"/>
          <w:sz w:val="22"/>
        </w:rPr>
        <w:t> </w:t>
      </w:r>
      <w:r>
        <w:rPr>
          <w:color w:val="010202"/>
          <w:sz w:val="22"/>
        </w:rPr>
        <w:t>LMSEP</w:t>
      </w:r>
      <w:r>
        <w:rPr>
          <w:color w:val="010202"/>
          <w:spacing w:val="-11"/>
          <w:sz w:val="22"/>
        </w:rPr>
        <w:t> </w:t>
      </w:r>
      <w:r>
        <w:rPr>
          <w:color w:val="010202"/>
          <w:sz w:val="22"/>
        </w:rPr>
        <w:t>staff</w:t>
      </w:r>
      <w:r>
        <w:rPr>
          <w:color w:val="010202"/>
          <w:spacing w:val="-2"/>
          <w:sz w:val="22"/>
        </w:rPr>
        <w:t> </w:t>
      </w:r>
      <w:r>
        <w:rPr>
          <w:color w:val="010202"/>
          <w:sz w:val="22"/>
        </w:rPr>
        <w:t>began</w:t>
      </w:r>
      <w:r>
        <w:rPr>
          <w:color w:val="010202"/>
          <w:spacing w:val="-3"/>
          <w:sz w:val="22"/>
        </w:rPr>
        <w:t> </w:t>
      </w:r>
      <w:r>
        <w:rPr>
          <w:color w:val="010202"/>
          <w:sz w:val="22"/>
        </w:rPr>
        <w:t>distributing</w:t>
      </w:r>
      <w:r>
        <w:rPr>
          <w:color w:val="010202"/>
          <w:spacing w:val="-2"/>
          <w:sz w:val="22"/>
        </w:rPr>
        <w:t> </w:t>
      </w:r>
      <w:r>
        <w:rPr>
          <w:color w:val="010202"/>
          <w:sz w:val="22"/>
        </w:rPr>
        <w:t>naloxone,</w:t>
      </w:r>
      <w:r>
        <w:rPr>
          <w:color w:val="010202"/>
          <w:spacing w:val="-52"/>
          <w:sz w:val="22"/>
        </w:rPr>
        <w:t> </w:t>
      </w:r>
      <w:r>
        <w:rPr>
          <w:color w:val="010202"/>
          <w:sz w:val="22"/>
        </w:rPr>
        <w:t>890 participants have reported almost 2,000</w:t>
      </w:r>
      <w:r>
        <w:rPr>
          <w:color w:val="010202"/>
          <w:spacing w:val="1"/>
          <w:sz w:val="22"/>
        </w:rPr>
        <w:t> </w:t>
      </w:r>
      <w:r>
        <w:rPr>
          <w:color w:val="010202"/>
          <w:sz w:val="22"/>
        </w:rPr>
        <w:t>overdose reversals.</w:t>
      </w:r>
    </w:p>
    <w:p>
      <w:pPr>
        <w:pStyle w:val="ListParagraph"/>
        <w:numPr>
          <w:ilvl w:val="1"/>
          <w:numId w:val="22"/>
        </w:numPr>
        <w:tabs>
          <w:tab w:pos="878" w:val="left" w:leader="none"/>
          <w:tab w:pos="879" w:val="left" w:leader="none"/>
        </w:tabs>
        <w:spacing w:line="255" w:lineRule="exact" w:before="0" w:after="0"/>
        <w:ind w:left="878" w:right="0" w:hanging="360"/>
        <w:jc w:val="left"/>
        <w:rPr>
          <w:sz w:val="22"/>
        </w:rPr>
      </w:pPr>
      <w:r>
        <w:rPr>
          <w:color w:val="010202"/>
          <w:sz w:val="22"/>
        </w:rPr>
        <w:t>Louisville</w:t>
      </w:r>
      <w:r>
        <w:rPr>
          <w:color w:val="010202"/>
          <w:spacing w:val="-2"/>
          <w:sz w:val="22"/>
        </w:rPr>
        <w:t> </w:t>
      </w:r>
      <w:r>
        <w:rPr>
          <w:color w:val="010202"/>
          <w:sz w:val="22"/>
        </w:rPr>
        <w:t>has</w:t>
      </w:r>
      <w:r>
        <w:rPr>
          <w:color w:val="010202"/>
          <w:spacing w:val="-2"/>
          <w:sz w:val="22"/>
        </w:rPr>
        <w:t> </w:t>
      </w:r>
      <w:r>
        <w:rPr>
          <w:color w:val="010202"/>
          <w:sz w:val="22"/>
        </w:rPr>
        <w:t>prevented</w:t>
      </w:r>
      <w:r>
        <w:rPr>
          <w:color w:val="010202"/>
          <w:spacing w:val="-1"/>
          <w:sz w:val="22"/>
        </w:rPr>
        <w:t> </w:t>
      </w:r>
      <w:r>
        <w:rPr>
          <w:color w:val="010202"/>
          <w:sz w:val="22"/>
        </w:rPr>
        <w:t>a</w:t>
      </w:r>
      <w:r>
        <w:rPr>
          <w:color w:val="010202"/>
          <w:spacing w:val="-2"/>
          <w:sz w:val="22"/>
        </w:rPr>
        <w:t> </w:t>
      </w:r>
      <w:r>
        <w:rPr>
          <w:color w:val="010202"/>
          <w:sz w:val="22"/>
        </w:rPr>
        <w:t>substantial</w:t>
      </w:r>
      <w:r>
        <w:rPr>
          <w:color w:val="010202"/>
          <w:spacing w:val="-2"/>
          <w:sz w:val="22"/>
        </w:rPr>
        <w:t> </w:t>
      </w:r>
      <w:r>
        <w:rPr>
          <w:color w:val="010202"/>
          <w:sz w:val="22"/>
        </w:rPr>
        <w:t>rise</w:t>
      </w:r>
    </w:p>
    <w:p>
      <w:pPr>
        <w:pStyle w:val="BodyText"/>
        <w:spacing w:line="249" w:lineRule="auto" w:before="10"/>
        <w:ind w:left="878" w:right="161"/>
      </w:pPr>
      <w:r>
        <w:rPr>
          <w:color w:val="010202"/>
        </w:rPr>
        <w:t>in new HIV diagnoses, reporting a stable</w:t>
      </w:r>
      <w:r>
        <w:rPr>
          <w:color w:val="010202"/>
          <w:spacing w:val="1"/>
        </w:rPr>
        <w:t> </w:t>
      </w:r>
      <w:r>
        <w:rPr>
          <w:color w:val="010202"/>
        </w:rPr>
        <w:t>transmission rate while neighboring states have</w:t>
      </w:r>
      <w:r>
        <w:rPr>
          <w:color w:val="010202"/>
          <w:spacing w:val="-52"/>
        </w:rPr>
        <w:t> </w:t>
      </w:r>
      <w:r>
        <w:rPr>
          <w:color w:val="010202"/>
        </w:rPr>
        <w:t>experienced increases. Before LMSEP opened,</w:t>
      </w:r>
      <w:r>
        <w:rPr>
          <w:color w:val="010202"/>
          <w:spacing w:val="-52"/>
        </w:rPr>
        <w:t> </w:t>
      </w:r>
      <w:r>
        <w:rPr>
          <w:color w:val="010202"/>
        </w:rPr>
        <w:t>the</w:t>
      </w:r>
      <w:r>
        <w:rPr>
          <w:color w:val="010202"/>
          <w:spacing w:val="-2"/>
        </w:rPr>
        <w:t> </w:t>
      </w:r>
      <w:r>
        <w:rPr>
          <w:color w:val="010202"/>
        </w:rPr>
        <w:t>rate</w:t>
      </w:r>
      <w:r>
        <w:rPr>
          <w:color w:val="010202"/>
          <w:spacing w:val="-2"/>
        </w:rPr>
        <w:t> </w:t>
      </w:r>
      <w:r>
        <w:rPr>
          <w:color w:val="010202"/>
        </w:rPr>
        <w:t>of</w:t>
      </w:r>
      <w:r>
        <w:rPr>
          <w:color w:val="010202"/>
          <w:spacing w:val="-2"/>
        </w:rPr>
        <w:t> </w:t>
      </w:r>
      <w:r>
        <w:rPr>
          <w:color w:val="010202"/>
        </w:rPr>
        <w:t>new</w:t>
      </w:r>
      <w:r>
        <w:rPr>
          <w:color w:val="010202"/>
          <w:spacing w:val="-2"/>
        </w:rPr>
        <w:t> </w:t>
      </w:r>
      <w:r>
        <w:rPr>
          <w:color w:val="010202"/>
        </w:rPr>
        <w:t>HIV</w:t>
      </w:r>
      <w:r>
        <w:rPr>
          <w:color w:val="010202"/>
          <w:spacing w:val="-6"/>
        </w:rPr>
        <w:t> </w:t>
      </w:r>
      <w:r>
        <w:rPr>
          <w:color w:val="010202"/>
        </w:rPr>
        <w:t>diagnoses</w:t>
      </w:r>
      <w:r>
        <w:rPr>
          <w:color w:val="010202"/>
          <w:spacing w:val="-2"/>
        </w:rPr>
        <w:t> </w:t>
      </w:r>
      <w:r>
        <w:rPr>
          <w:color w:val="010202"/>
        </w:rPr>
        <w:t>in</w:t>
      </w:r>
      <w:r>
        <w:rPr>
          <w:color w:val="010202"/>
          <w:spacing w:val="-2"/>
        </w:rPr>
        <w:t> </w:t>
      </w:r>
      <w:r>
        <w:rPr>
          <w:color w:val="010202"/>
        </w:rPr>
        <w:t>the</w:t>
      </w:r>
      <w:r>
        <w:rPr>
          <w:color w:val="010202"/>
          <w:spacing w:val="-2"/>
        </w:rPr>
        <w:t> </w:t>
      </w:r>
      <w:r>
        <w:rPr>
          <w:color w:val="010202"/>
        </w:rPr>
        <w:t>Louisville</w:t>
      </w:r>
      <w:r>
        <w:rPr>
          <w:color w:val="010202"/>
          <w:spacing w:val="-52"/>
        </w:rPr>
        <w:t> </w:t>
      </w:r>
      <w:r>
        <w:rPr>
          <w:color w:val="010202"/>
        </w:rPr>
        <w:t>metropolitan region was 15.3 per 100,000 in</w:t>
      </w:r>
      <w:r>
        <w:rPr>
          <w:color w:val="010202"/>
          <w:spacing w:val="1"/>
        </w:rPr>
        <w:t> </w:t>
      </w:r>
      <w:r>
        <w:rPr>
          <w:color w:val="010202"/>
        </w:rPr>
        <w:t>2014. In 2017, the rate of new HIV diagnoses</w:t>
      </w:r>
      <w:r>
        <w:rPr>
          <w:color w:val="010202"/>
          <w:spacing w:val="1"/>
        </w:rPr>
        <w:t> </w:t>
      </w:r>
      <w:r>
        <w:rPr>
          <w:color w:val="010202"/>
        </w:rPr>
        <w:t>was</w:t>
      </w:r>
      <w:r>
        <w:rPr>
          <w:color w:val="010202"/>
          <w:spacing w:val="-2"/>
        </w:rPr>
        <w:t> </w:t>
      </w:r>
      <w:r>
        <w:rPr>
          <w:color w:val="010202"/>
        </w:rPr>
        <w:t>13.9 per 100,000.</w:t>
      </w:r>
      <w:r>
        <w:rPr>
          <w:color w:val="010202"/>
          <w:vertAlign w:val="superscript"/>
        </w:rPr>
        <w:t>2</w:t>
      </w:r>
    </w:p>
    <w:p>
      <w:pPr>
        <w:pStyle w:val="Heading6"/>
        <w:spacing w:line="228" w:lineRule="auto" w:before="103"/>
        <w:ind w:left="1121" w:right="4102"/>
      </w:pPr>
      <w:r>
        <w:rPr>
          <w:b w:val="0"/>
        </w:rPr>
        <w:br w:type="column"/>
      </w:r>
      <w:r>
        <w:rPr>
          <w:color w:val="CE384B"/>
        </w:rPr>
        <w:t>Lessons</w:t>
      </w:r>
      <w:r>
        <w:rPr>
          <w:color w:val="CE384B"/>
          <w:spacing w:val="-59"/>
        </w:rPr>
        <w:t> </w:t>
      </w:r>
      <w:r>
        <w:rPr>
          <w:color w:val="CE384B"/>
        </w:rPr>
        <w:t>Learned</w:t>
      </w:r>
    </w:p>
    <w:p>
      <w:pPr>
        <w:pStyle w:val="ListParagraph"/>
        <w:numPr>
          <w:ilvl w:val="0"/>
          <w:numId w:val="24"/>
        </w:numPr>
        <w:tabs>
          <w:tab w:pos="1095" w:val="left" w:leader="none"/>
          <w:tab w:pos="1096" w:val="left" w:leader="none"/>
        </w:tabs>
        <w:spacing w:line="249" w:lineRule="auto" w:before="178" w:after="0"/>
        <w:ind w:left="1095" w:right="721" w:hanging="360"/>
        <w:jc w:val="left"/>
        <w:rPr>
          <w:sz w:val="22"/>
        </w:rPr>
      </w:pPr>
      <w:r>
        <w:rPr/>
        <w:drawing>
          <wp:anchor distT="0" distB="0" distL="0" distR="0" allowOverlap="1" layoutInCell="1" locked="0" behindDoc="0" simplePos="0" relativeHeight="15771136">
            <wp:simplePos x="0" y="0"/>
            <wp:positionH relativeFrom="page">
              <wp:posOffset>3977639</wp:posOffset>
            </wp:positionH>
            <wp:positionV relativeFrom="paragraph">
              <wp:posOffset>-422252</wp:posOffset>
            </wp:positionV>
            <wp:extent cx="496061" cy="496061"/>
            <wp:effectExtent l="0" t="0" r="0" b="0"/>
            <wp:wrapNone/>
            <wp:docPr id="87" name="image33.jpeg"/>
            <wp:cNvGraphicFramePr>
              <a:graphicFrameLocks noChangeAspect="1"/>
            </wp:cNvGraphicFramePr>
            <a:graphic>
              <a:graphicData uri="http://schemas.openxmlformats.org/drawingml/2006/picture">
                <pic:pic>
                  <pic:nvPicPr>
                    <pic:cNvPr id="88" name="image33.jpeg"/>
                    <pic:cNvPicPr/>
                  </pic:nvPicPr>
                  <pic:blipFill>
                    <a:blip r:embed="rId332" cstate="print"/>
                    <a:stretch>
                      <a:fillRect/>
                    </a:stretch>
                  </pic:blipFill>
                  <pic:spPr>
                    <a:xfrm>
                      <a:off x="0" y="0"/>
                      <a:ext cx="496061" cy="496061"/>
                    </a:xfrm>
                    <a:prstGeom prst="rect">
                      <a:avLst/>
                    </a:prstGeom>
                  </pic:spPr>
                </pic:pic>
              </a:graphicData>
            </a:graphic>
          </wp:anchor>
        </w:drawing>
      </w:r>
      <w:r>
        <w:rPr>
          <w:color w:val="010202"/>
          <w:sz w:val="22"/>
        </w:rPr>
        <w:t>Less restrictive dispensation policies (e.g.,</w:t>
      </w:r>
      <w:r>
        <w:rPr>
          <w:color w:val="010202"/>
          <w:spacing w:val="1"/>
          <w:sz w:val="22"/>
        </w:rPr>
        <w:t> </w:t>
      </w:r>
      <w:r>
        <w:rPr>
          <w:color w:val="010202"/>
          <w:spacing w:val="-1"/>
          <w:sz w:val="22"/>
        </w:rPr>
        <w:t>providing the number of supplies </w:t>
      </w:r>
      <w:r>
        <w:rPr>
          <w:color w:val="010202"/>
          <w:sz w:val="22"/>
        </w:rPr>
        <w:t>a client reports</w:t>
      </w:r>
      <w:r>
        <w:rPr>
          <w:color w:val="010202"/>
          <w:spacing w:val="1"/>
          <w:sz w:val="22"/>
        </w:rPr>
        <w:t> </w:t>
      </w:r>
      <w:r>
        <w:rPr>
          <w:color w:val="010202"/>
          <w:sz w:val="22"/>
        </w:rPr>
        <w:t>needing instead of offering one set of sterile</w:t>
      </w:r>
      <w:r>
        <w:rPr>
          <w:color w:val="010202"/>
          <w:spacing w:val="1"/>
          <w:sz w:val="22"/>
        </w:rPr>
        <w:t> </w:t>
      </w:r>
      <w:r>
        <w:rPr>
          <w:color w:val="010202"/>
          <w:spacing w:val="-2"/>
          <w:sz w:val="22"/>
        </w:rPr>
        <w:t>supplies</w:t>
      </w:r>
      <w:r>
        <w:rPr>
          <w:color w:val="010202"/>
          <w:spacing w:val="-12"/>
          <w:sz w:val="22"/>
        </w:rPr>
        <w:t> </w:t>
      </w:r>
      <w:r>
        <w:rPr>
          <w:color w:val="010202"/>
          <w:spacing w:val="-2"/>
          <w:sz w:val="22"/>
        </w:rPr>
        <w:t>for</w:t>
      </w:r>
      <w:r>
        <w:rPr>
          <w:color w:val="010202"/>
          <w:spacing w:val="-11"/>
          <w:sz w:val="22"/>
        </w:rPr>
        <w:t> </w:t>
      </w:r>
      <w:r>
        <w:rPr>
          <w:color w:val="010202"/>
          <w:spacing w:val="-2"/>
          <w:sz w:val="22"/>
        </w:rPr>
        <w:t>every</w:t>
      </w:r>
      <w:r>
        <w:rPr>
          <w:color w:val="010202"/>
          <w:spacing w:val="-10"/>
          <w:sz w:val="22"/>
        </w:rPr>
        <w:t> </w:t>
      </w:r>
      <w:r>
        <w:rPr>
          <w:color w:val="010202"/>
          <w:spacing w:val="-1"/>
          <w:sz w:val="22"/>
        </w:rPr>
        <w:t>one</w:t>
      </w:r>
      <w:r>
        <w:rPr>
          <w:color w:val="010202"/>
          <w:spacing w:val="-12"/>
          <w:sz w:val="22"/>
        </w:rPr>
        <w:t> </w:t>
      </w:r>
      <w:r>
        <w:rPr>
          <w:color w:val="010202"/>
          <w:spacing w:val="-1"/>
          <w:sz w:val="22"/>
        </w:rPr>
        <w:t>set</w:t>
      </w:r>
      <w:r>
        <w:rPr>
          <w:color w:val="010202"/>
          <w:spacing w:val="-11"/>
          <w:sz w:val="22"/>
        </w:rPr>
        <w:t> </w:t>
      </w:r>
      <w:r>
        <w:rPr>
          <w:color w:val="010202"/>
          <w:spacing w:val="-1"/>
          <w:sz w:val="22"/>
        </w:rPr>
        <w:t>of</w:t>
      </w:r>
      <w:r>
        <w:rPr>
          <w:color w:val="010202"/>
          <w:spacing w:val="-11"/>
          <w:sz w:val="22"/>
        </w:rPr>
        <w:t> </w:t>
      </w:r>
      <w:r>
        <w:rPr>
          <w:color w:val="010202"/>
          <w:spacing w:val="-1"/>
          <w:sz w:val="22"/>
        </w:rPr>
        <w:t>used</w:t>
      </w:r>
      <w:r>
        <w:rPr>
          <w:color w:val="010202"/>
          <w:spacing w:val="-11"/>
          <w:sz w:val="22"/>
        </w:rPr>
        <w:t> </w:t>
      </w:r>
      <w:r>
        <w:rPr>
          <w:color w:val="010202"/>
          <w:spacing w:val="-1"/>
          <w:sz w:val="22"/>
        </w:rPr>
        <w:t>supplies)</w:t>
      </w:r>
      <w:r>
        <w:rPr>
          <w:color w:val="010202"/>
          <w:spacing w:val="-12"/>
          <w:sz w:val="22"/>
        </w:rPr>
        <w:t> </w:t>
      </w:r>
      <w:r>
        <w:rPr>
          <w:color w:val="010202"/>
          <w:spacing w:val="-1"/>
          <w:sz w:val="22"/>
        </w:rPr>
        <w:t>reduce</w:t>
      </w:r>
      <w:r>
        <w:rPr>
          <w:color w:val="010202"/>
          <w:spacing w:val="-52"/>
          <w:sz w:val="22"/>
        </w:rPr>
        <w:t> </w:t>
      </w:r>
      <w:r>
        <w:rPr>
          <w:color w:val="010202"/>
          <w:sz w:val="22"/>
        </w:rPr>
        <w:t>syringe re-use and may benefit people who use</w:t>
      </w:r>
      <w:r>
        <w:rPr>
          <w:color w:val="010202"/>
          <w:spacing w:val="1"/>
          <w:sz w:val="22"/>
        </w:rPr>
        <w:t> </w:t>
      </w:r>
      <w:r>
        <w:rPr>
          <w:color w:val="010202"/>
          <w:spacing w:val="-2"/>
          <w:sz w:val="22"/>
        </w:rPr>
        <w:t>injection</w:t>
      </w:r>
      <w:r>
        <w:rPr>
          <w:color w:val="010202"/>
          <w:spacing w:val="-12"/>
          <w:sz w:val="22"/>
        </w:rPr>
        <w:t> </w:t>
      </w:r>
      <w:r>
        <w:rPr>
          <w:color w:val="010202"/>
          <w:spacing w:val="-2"/>
          <w:sz w:val="22"/>
        </w:rPr>
        <w:t>drugs</w:t>
      </w:r>
      <w:r>
        <w:rPr>
          <w:color w:val="010202"/>
          <w:spacing w:val="-12"/>
          <w:sz w:val="22"/>
        </w:rPr>
        <w:t> </w:t>
      </w:r>
      <w:r>
        <w:rPr>
          <w:color w:val="010202"/>
          <w:spacing w:val="-2"/>
          <w:sz w:val="22"/>
        </w:rPr>
        <w:t>and</w:t>
      </w:r>
      <w:r>
        <w:rPr>
          <w:color w:val="010202"/>
          <w:spacing w:val="-12"/>
          <w:sz w:val="22"/>
        </w:rPr>
        <w:t> </w:t>
      </w:r>
      <w:r>
        <w:rPr>
          <w:color w:val="010202"/>
          <w:spacing w:val="-1"/>
          <w:sz w:val="22"/>
        </w:rPr>
        <w:t>may</w:t>
      </w:r>
      <w:r>
        <w:rPr>
          <w:color w:val="010202"/>
          <w:spacing w:val="-11"/>
          <w:sz w:val="22"/>
        </w:rPr>
        <w:t> </w:t>
      </w:r>
      <w:r>
        <w:rPr>
          <w:color w:val="010202"/>
          <w:spacing w:val="-1"/>
          <w:sz w:val="22"/>
        </w:rPr>
        <w:t>not</w:t>
      </w:r>
      <w:r>
        <w:rPr>
          <w:color w:val="010202"/>
          <w:spacing w:val="-12"/>
          <w:sz w:val="22"/>
        </w:rPr>
        <w:t> </w:t>
      </w:r>
      <w:r>
        <w:rPr>
          <w:color w:val="010202"/>
          <w:spacing w:val="-1"/>
          <w:sz w:val="22"/>
        </w:rPr>
        <w:t>directly</w:t>
      </w:r>
      <w:r>
        <w:rPr>
          <w:color w:val="010202"/>
          <w:spacing w:val="-12"/>
          <w:sz w:val="22"/>
        </w:rPr>
        <w:t> </w:t>
      </w:r>
      <w:r>
        <w:rPr>
          <w:color w:val="010202"/>
          <w:spacing w:val="-1"/>
          <w:sz w:val="22"/>
        </w:rPr>
        <w:t>attend</w:t>
      </w:r>
      <w:r>
        <w:rPr>
          <w:color w:val="010202"/>
          <w:spacing w:val="-11"/>
          <w:sz w:val="22"/>
        </w:rPr>
        <w:t> </w:t>
      </w:r>
      <w:r>
        <w:rPr>
          <w:color w:val="010202"/>
          <w:spacing w:val="-1"/>
          <w:sz w:val="22"/>
        </w:rPr>
        <w:t>a</w:t>
      </w:r>
      <w:r>
        <w:rPr>
          <w:color w:val="010202"/>
          <w:spacing w:val="-12"/>
          <w:sz w:val="22"/>
        </w:rPr>
        <w:t> </w:t>
      </w:r>
      <w:r>
        <w:rPr>
          <w:color w:val="010202"/>
          <w:spacing w:val="-1"/>
          <w:sz w:val="22"/>
        </w:rPr>
        <w:t>SSP.</w:t>
      </w:r>
    </w:p>
    <w:p>
      <w:pPr>
        <w:pStyle w:val="ListParagraph"/>
        <w:numPr>
          <w:ilvl w:val="0"/>
          <w:numId w:val="24"/>
        </w:numPr>
        <w:tabs>
          <w:tab w:pos="1095" w:val="left" w:leader="none"/>
          <w:tab w:pos="1096" w:val="left" w:leader="none"/>
        </w:tabs>
        <w:spacing w:line="249" w:lineRule="auto" w:before="0" w:after="0"/>
        <w:ind w:left="1095" w:right="756" w:hanging="360"/>
        <w:jc w:val="left"/>
        <w:rPr>
          <w:sz w:val="22"/>
        </w:rPr>
      </w:pPr>
      <w:r>
        <w:rPr>
          <w:color w:val="010202"/>
          <w:sz w:val="22"/>
        </w:rPr>
        <w:t>Build community collaboration and support to</w:t>
      </w:r>
      <w:r>
        <w:rPr>
          <w:color w:val="010202"/>
          <w:spacing w:val="1"/>
          <w:sz w:val="22"/>
        </w:rPr>
        <w:t> </w:t>
      </w:r>
      <w:r>
        <w:rPr>
          <w:color w:val="010202"/>
          <w:sz w:val="22"/>
        </w:rPr>
        <w:t>counter the stigma attached to the SSP practice.</w:t>
      </w:r>
      <w:r>
        <w:rPr>
          <w:color w:val="010202"/>
          <w:spacing w:val="1"/>
          <w:sz w:val="22"/>
        </w:rPr>
        <w:t> </w:t>
      </w:r>
      <w:r>
        <w:rPr>
          <w:color w:val="010202"/>
          <w:sz w:val="22"/>
        </w:rPr>
        <w:t>Engage partners from the start of program</w:t>
      </w:r>
      <w:r>
        <w:rPr>
          <w:color w:val="010202"/>
          <w:spacing w:val="1"/>
          <w:sz w:val="22"/>
        </w:rPr>
        <w:t> </w:t>
      </w:r>
      <w:r>
        <w:rPr>
          <w:color w:val="010202"/>
          <w:sz w:val="22"/>
        </w:rPr>
        <w:t>development throughout implementation. When</w:t>
      </w:r>
      <w:r>
        <w:rPr>
          <w:color w:val="010202"/>
          <w:spacing w:val="1"/>
          <w:sz w:val="22"/>
        </w:rPr>
        <w:t> </w:t>
      </w:r>
      <w:r>
        <w:rPr>
          <w:color w:val="010202"/>
          <w:sz w:val="22"/>
        </w:rPr>
        <w:t>assessing community readiness to start an SSP,</w:t>
      </w:r>
      <w:r>
        <w:rPr>
          <w:color w:val="010202"/>
          <w:spacing w:val="1"/>
          <w:sz w:val="22"/>
        </w:rPr>
        <w:t> </w:t>
      </w:r>
      <w:r>
        <w:rPr>
          <w:color w:val="010202"/>
          <w:sz w:val="22"/>
        </w:rPr>
        <w:t>LMSEP worked to build support with various</w:t>
      </w:r>
      <w:r>
        <w:rPr>
          <w:color w:val="010202"/>
          <w:spacing w:val="1"/>
          <w:sz w:val="22"/>
        </w:rPr>
        <w:t> </w:t>
      </w:r>
      <w:r>
        <w:rPr>
          <w:color w:val="010202"/>
          <w:sz w:val="22"/>
        </w:rPr>
        <w:t>partners</w:t>
      </w:r>
      <w:r>
        <w:rPr>
          <w:color w:val="010202"/>
          <w:spacing w:val="3"/>
          <w:sz w:val="22"/>
        </w:rPr>
        <w:t> </w:t>
      </w:r>
      <w:r>
        <w:rPr>
          <w:color w:val="010202"/>
          <w:sz w:val="22"/>
        </w:rPr>
        <w:t>and</w:t>
      </w:r>
      <w:r>
        <w:rPr>
          <w:color w:val="010202"/>
          <w:spacing w:val="4"/>
          <w:sz w:val="22"/>
        </w:rPr>
        <w:t> </w:t>
      </w:r>
      <w:r>
        <w:rPr>
          <w:color w:val="010202"/>
          <w:sz w:val="22"/>
        </w:rPr>
        <w:t>stakeholders,</w:t>
      </w:r>
      <w:r>
        <w:rPr>
          <w:color w:val="010202"/>
          <w:spacing w:val="3"/>
          <w:sz w:val="22"/>
        </w:rPr>
        <w:t> </w:t>
      </w:r>
      <w:r>
        <w:rPr>
          <w:color w:val="010202"/>
          <w:sz w:val="22"/>
        </w:rPr>
        <w:t>including</w:t>
      </w:r>
      <w:r>
        <w:rPr>
          <w:color w:val="010202"/>
          <w:spacing w:val="4"/>
          <w:sz w:val="22"/>
        </w:rPr>
        <w:t> </w:t>
      </w:r>
      <w:r>
        <w:rPr>
          <w:color w:val="010202"/>
          <w:sz w:val="22"/>
        </w:rPr>
        <w:t>political</w:t>
      </w:r>
      <w:r>
        <w:rPr>
          <w:color w:val="010202"/>
          <w:spacing w:val="1"/>
          <w:sz w:val="22"/>
        </w:rPr>
        <w:t> </w:t>
      </w:r>
      <w:r>
        <w:rPr>
          <w:color w:val="010202"/>
          <w:sz w:val="22"/>
        </w:rPr>
        <w:t>and social leaders, healthcare and social services</w:t>
      </w:r>
      <w:r>
        <w:rPr>
          <w:color w:val="010202"/>
          <w:spacing w:val="-52"/>
          <w:sz w:val="22"/>
        </w:rPr>
        <w:t> </w:t>
      </w:r>
      <w:r>
        <w:rPr>
          <w:color w:val="010202"/>
          <w:sz w:val="22"/>
        </w:rPr>
        <w:t>providers, law enforcement, neighborhood</w:t>
      </w:r>
      <w:r>
        <w:rPr>
          <w:color w:val="010202"/>
          <w:spacing w:val="1"/>
          <w:sz w:val="22"/>
        </w:rPr>
        <w:t> </w:t>
      </w:r>
      <w:r>
        <w:rPr>
          <w:color w:val="010202"/>
          <w:sz w:val="22"/>
        </w:rPr>
        <w:t>associations, business owners, fire and rescue</w:t>
      </w:r>
      <w:r>
        <w:rPr>
          <w:color w:val="010202"/>
          <w:spacing w:val="1"/>
          <w:sz w:val="22"/>
        </w:rPr>
        <w:t> </w:t>
      </w:r>
      <w:r>
        <w:rPr>
          <w:color w:val="010202"/>
          <w:sz w:val="22"/>
        </w:rPr>
        <w:t>departments, the local media, and district and</w:t>
      </w:r>
      <w:r>
        <w:rPr>
          <w:color w:val="010202"/>
          <w:spacing w:val="1"/>
          <w:sz w:val="22"/>
        </w:rPr>
        <w:t> </w:t>
      </w:r>
      <w:r>
        <w:rPr>
          <w:color w:val="010202"/>
          <w:sz w:val="22"/>
        </w:rPr>
        <w:t>county attorneys.</w:t>
      </w:r>
    </w:p>
    <w:p>
      <w:pPr>
        <w:pStyle w:val="ListParagraph"/>
        <w:numPr>
          <w:ilvl w:val="0"/>
          <w:numId w:val="24"/>
        </w:numPr>
        <w:tabs>
          <w:tab w:pos="1095" w:val="left" w:leader="none"/>
          <w:tab w:pos="1096" w:val="left" w:leader="none"/>
        </w:tabs>
        <w:spacing w:line="249" w:lineRule="auto" w:before="0" w:after="0"/>
        <w:ind w:left="1095" w:right="887" w:hanging="360"/>
        <w:jc w:val="left"/>
        <w:rPr>
          <w:sz w:val="22"/>
        </w:rPr>
      </w:pPr>
      <w:r>
        <w:rPr>
          <w:color w:val="010202"/>
          <w:sz w:val="22"/>
        </w:rPr>
        <w:t>Building trust with program participants is</w:t>
      </w:r>
      <w:r>
        <w:rPr>
          <w:color w:val="010202"/>
          <w:spacing w:val="1"/>
          <w:sz w:val="22"/>
        </w:rPr>
        <w:t> </w:t>
      </w:r>
      <w:r>
        <w:rPr>
          <w:color w:val="010202"/>
          <w:sz w:val="22"/>
        </w:rPr>
        <w:t>often difficult but especially important. In</w:t>
      </w:r>
      <w:r>
        <w:rPr>
          <w:color w:val="010202"/>
          <w:spacing w:val="1"/>
          <w:sz w:val="22"/>
        </w:rPr>
        <w:t> </w:t>
      </w:r>
      <w:r>
        <w:rPr>
          <w:color w:val="010202"/>
          <w:sz w:val="22"/>
        </w:rPr>
        <w:t>LMSEP, this trust facilitated an increase of</w:t>
      </w:r>
      <w:r>
        <w:rPr>
          <w:color w:val="010202"/>
          <w:spacing w:val="1"/>
          <w:sz w:val="22"/>
        </w:rPr>
        <w:t> </w:t>
      </w:r>
      <w:r>
        <w:rPr>
          <w:color w:val="010202"/>
          <w:sz w:val="22"/>
        </w:rPr>
        <w:t>immunizations</w:t>
      </w:r>
      <w:r>
        <w:rPr>
          <w:color w:val="010202"/>
          <w:spacing w:val="-3"/>
          <w:sz w:val="22"/>
        </w:rPr>
        <w:t> </w:t>
      </w:r>
      <w:r>
        <w:rPr>
          <w:color w:val="010202"/>
          <w:sz w:val="22"/>
        </w:rPr>
        <w:t>and</w:t>
      </w:r>
      <w:r>
        <w:rPr>
          <w:color w:val="010202"/>
          <w:spacing w:val="-3"/>
          <w:sz w:val="22"/>
        </w:rPr>
        <w:t> </w:t>
      </w:r>
      <w:r>
        <w:rPr>
          <w:color w:val="010202"/>
          <w:sz w:val="22"/>
        </w:rPr>
        <w:t>treatment</w:t>
      </w:r>
      <w:r>
        <w:rPr>
          <w:color w:val="010202"/>
          <w:spacing w:val="-3"/>
          <w:sz w:val="22"/>
        </w:rPr>
        <w:t> </w:t>
      </w:r>
      <w:r>
        <w:rPr>
          <w:color w:val="010202"/>
          <w:sz w:val="22"/>
        </w:rPr>
        <w:t>during</w:t>
      </w:r>
      <w:r>
        <w:rPr>
          <w:color w:val="010202"/>
          <w:spacing w:val="-2"/>
          <w:sz w:val="22"/>
        </w:rPr>
        <w:t> </w:t>
      </w:r>
      <w:r>
        <w:rPr>
          <w:color w:val="010202"/>
          <w:sz w:val="22"/>
        </w:rPr>
        <w:t>a</w:t>
      </w:r>
      <w:r>
        <w:rPr>
          <w:color w:val="010202"/>
          <w:spacing w:val="-3"/>
          <w:sz w:val="22"/>
        </w:rPr>
        <w:t> </w:t>
      </w:r>
      <w:r>
        <w:rPr>
          <w:color w:val="010202"/>
          <w:sz w:val="22"/>
        </w:rPr>
        <w:t>hepatitis</w:t>
      </w:r>
    </w:p>
    <w:p>
      <w:pPr>
        <w:pStyle w:val="BodyText"/>
        <w:ind w:left="1095"/>
      </w:pPr>
      <w:r>
        <w:rPr>
          <w:color w:val="010202"/>
        </w:rPr>
        <w:t>A</w:t>
      </w:r>
      <w:r>
        <w:rPr>
          <w:color w:val="010202"/>
          <w:spacing w:val="-13"/>
        </w:rPr>
        <w:t> </w:t>
      </w:r>
      <w:r>
        <w:rPr>
          <w:color w:val="010202"/>
        </w:rPr>
        <w:t>outbreak and the ability to educate participants</w:t>
      </w:r>
    </w:p>
    <w:p>
      <w:pPr>
        <w:pStyle w:val="BodyText"/>
        <w:ind w:left="1095"/>
      </w:pPr>
      <w:r>
        <w:rPr>
          <w:color w:val="010202"/>
        </w:rPr>
        <w:t>on</w:t>
      </w:r>
      <w:r>
        <w:rPr>
          <w:color w:val="010202"/>
          <w:spacing w:val="-1"/>
        </w:rPr>
        <w:t> </w:t>
      </w:r>
      <w:r>
        <w:rPr>
          <w:color w:val="010202"/>
        </w:rPr>
        <w:t>COVID-19</w:t>
      </w:r>
      <w:r>
        <w:rPr>
          <w:color w:val="010202"/>
          <w:spacing w:val="-1"/>
        </w:rPr>
        <w:t> </w:t>
      </w:r>
      <w:r>
        <w:rPr>
          <w:color w:val="010202"/>
        </w:rPr>
        <w:t>health</w:t>
      </w:r>
      <w:r>
        <w:rPr>
          <w:color w:val="010202"/>
          <w:spacing w:val="-1"/>
        </w:rPr>
        <w:t> </w:t>
      </w:r>
      <w:r>
        <w:rPr>
          <w:color w:val="010202"/>
        </w:rPr>
        <w:t>and</w:t>
      </w:r>
      <w:r>
        <w:rPr>
          <w:color w:val="010202"/>
          <w:spacing w:val="-1"/>
        </w:rPr>
        <w:t> </w:t>
      </w:r>
      <w:r>
        <w:rPr>
          <w:color w:val="010202"/>
        </w:rPr>
        <w:t>safety</w:t>
      </w:r>
      <w:r>
        <w:rPr>
          <w:color w:val="010202"/>
          <w:spacing w:val="-1"/>
        </w:rPr>
        <w:t> </w:t>
      </w:r>
      <w:r>
        <w:rPr>
          <w:color w:val="010202"/>
        </w:rPr>
        <w:t>issues.</w:t>
      </w:r>
    </w:p>
    <w:p>
      <w:pPr>
        <w:spacing w:after="0"/>
        <w:sectPr>
          <w:type w:val="continuous"/>
          <w:pgSz w:w="12240" w:h="15840"/>
          <w:pgMar w:header="0" w:footer="666" w:top="1500" w:bottom="0" w:left="560" w:right="0"/>
          <w:cols w:num="2" w:equalWidth="0">
            <w:col w:w="5232" w:space="312"/>
            <w:col w:w="6136"/>
          </w:cols>
        </w:sectPr>
      </w:pPr>
    </w:p>
    <w:p>
      <w:pPr>
        <w:pStyle w:val="BodyText"/>
        <w:rPr>
          <w:sz w:val="20"/>
        </w:rPr>
      </w:pPr>
    </w:p>
    <w:p>
      <w:pPr>
        <w:pStyle w:val="BodyText"/>
        <w:spacing w:before="4"/>
      </w:pPr>
    </w:p>
    <w:p>
      <w:pPr>
        <w:pStyle w:val="BodyText"/>
        <w:ind w:left="188"/>
        <w:rPr>
          <w:sz w:val="20"/>
        </w:rPr>
      </w:pPr>
      <w:r>
        <w:rPr>
          <w:sz w:val="20"/>
        </w:rPr>
        <w:drawing>
          <wp:inline distT="0" distB="0" distL="0" distR="0">
            <wp:extent cx="6723138" cy="3640454"/>
            <wp:effectExtent l="0" t="0" r="0" b="0"/>
            <wp:docPr id="89" name="image35.png"/>
            <wp:cNvGraphicFramePr>
              <a:graphicFrameLocks noChangeAspect="1"/>
            </wp:cNvGraphicFramePr>
            <a:graphic>
              <a:graphicData uri="http://schemas.openxmlformats.org/drawingml/2006/picture">
                <pic:pic>
                  <pic:nvPicPr>
                    <pic:cNvPr id="90" name="image35.png"/>
                    <pic:cNvPicPr/>
                  </pic:nvPicPr>
                  <pic:blipFill>
                    <a:blip r:embed="rId339" cstate="print"/>
                    <a:stretch>
                      <a:fillRect/>
                    </a:stretch>
                  </pic:blipFill>
                  <pic:spPr>
                    <a:xfrm>
                      <a:off x="0" y="0"/>
                      <a:ext cx="6723138" cy="3640454"/>
                    </a:xfrm>
                    <a:prstGeom prst="rect">
                      <a:avLst/>
                    </a:prstGeom>
                  </pic:spPr>
                </pic:pic>
              </a:graphicData>
            </a:graphic>
          </wp:inline>
        </w:drawing>
      </w:r>
      <w:r>
        <w:rPr>
          <w:sz w:val="20"/>
        </w:rPr>
      </w:r>
    </w:p>
    <w:p>
      <w:pPr>
        <w:spacing w:after="0"/>
        <w:rPr>
          <w:sz w:val="20"/>
        </w:rPr>
        <w:sectPr>
          <w:type w:val="continuous"/>
          <w:pgSz w:w="12240" w:h="15840"/>
          <w:pgMar w:header="0" w:footer="666" w:top="1500" w:bottom="0" w:left="560" w:right="0"/>
        </w:sectPr>
      </w:pPr>
    </w:p>
    <w:p>
      <w:pPr>
        <w:pStyle w:val="BodyText"/>
        <w:rPr>
          <w:sz w:val="20"/>
        </w:rPr>
      </w:pPr>
    </w:p>
    <w:p>
      <w:pPr>
        <w:pStyle w:val="BodyText"/>
        <w:spacing w:before="7"/>
        <w:rPr>
          <w:sz w:val="17"/>
        </w:rPr>
      </w:pPr>
    </w:p>
    <w:p>
      <w:pPr>
        <w:pStyle w:val="Heading1"/>
        <w:spacing w:before="100"/>
      </w:pPr>
      <w:bookmarkStart w:name="The Alexis Project" w:id="125"/>
      <w:bookmarkEnd w:id="125"/>
      <w:r>
        <w:rPr/>
      </w:r>
      <w:bookmarkStart w:name="Model Features and Elements" w:id="126"/>
      <w:bookmarkEnd w:id="126"/>
      <w:r>
        <w:rPr/>
      </w:r>
      <w:bookmarkStart w:name="Evidence-based Practice Implemented by t" w:id="127"/>
      <w:bookmarkEnd w:id="127"/>
      <w:r>
        <w:rPr/>
      </w:r>
      <w:bookmarkStart w:name="Population of Focus" w:id="128"/>
      <w:bookmarkEnd w:id="128"/>
      <w:r>
        <w:rPr/>
      </w:r>
      <w:bookmarkStart w:name="Approximate Time Period (Duration)" w:id="129"/>
      <w:bookmarkEnd w:id="129"/>
      <w:r>
        <w:rPr/>
      </w:r>
      <w:bookmarkStart w:name="Resources on the Program" w:id="130"/>
      <w:bookmarkEnd w:id="130"/>
      <w:r>
        <w:rPr/>
      </w:r>
      <w:r>
        <w:rPr>
          <w:color w:val="1C384B"/>
          <w:spacing w:val="-1"/>
        </w:rPr>
        <w:t>The</w:t>
      </w:r>
      <w:r>
        <w:rPr>
          <w:color w:val="1C384B"/>
          <w:spacing w:val="-31"/>
        </w:rPr>
        <w:t> </w:t>
      </w:r>
      <w:r>
        <w:rPr>
          <w:color w:val="1C384B"/>
          <w:spacing w:val="-1"/>
        </w:rPr>
        <w:t>Alexis</w:t>
      </w:r>
      <w:r>
        <w:rPr>
          <w:color w:val="1C384B"/>
          <w:spacing w:val="-30"/>
        </w:rPr>
        <w:t> </w:t>
      </w:r>
      <w:r>
        <w:rPr>
          <w:color w:val="1C384B"/>
        </w:rPr>
        <w:t>Project</w:t>
      </w:r>
    </w:p>
    <w:p>
      <w:pPr>
        <w:pStyle w:val="BodyText"/>
        <w:spacing w:before="40"/>
        <w:ind w:left="160"/>
        <w:rPr>
          <w:rFonts w:ascii="Arial"/>
        </w:rPr>
      </w:pPr>
      <w:r>
        <w:rPr>
          <w:rFonts w:ascii="Arial"/>
          <w:color w:val="CE372E"/>
          <w:spacing w:val="-3"/>
        </w:rPr>
        <w:t>Friends</w:t>
      </w:r>
      <w:r>
        <w:rPr>
          <w:rFonts w:ascii="Arial"/>
          <w:color w:val="CE372E"/>
          <w:spacing w:val="-4"/>
        </w:rPr>
        <w:t> </w:t>
      </w:r>
      <w:r>
        <w:rPr>
          <w:rFonts w:ascii="Arial"/>
          <w:color w:val="CE372E"/>
          <w:spacing w:val="-3"/>
        </w:rPr>
        <w:t>Community Center,</w:t>
      </w:r>
      <w:r>
        <w:rPr>
          <w:rFonts w:ascii="Arial"/>
          <w:color w:val="CE372E"/>
          <w:spacing w:val="-4"/>
        </w:rPr>
        <w:t> </w:t>
      </w:r>
      <w:r>
        <w:rPr>
          <w:rFonts w:ascii="Arial"/>
          <w:color w:val="CE372E"/>
          <w:spacing w:val="-3"/>
        </w:rPr>
        <w:t>a Division</w:t>
      </w:r>
      <w:r>
        <w:rPr>
          <w:rFonts w:ascii="Arial"/>
          <w:color w:val="CE372E"/>
          <w:spacing w:val="-4"/>
        </w:rPr>
        <w:t> </w:t>
      </w:r>
      <w:r>
        <w:rPr>
          <w:rFonts w:ascii="Arial"/>
          <w:color w:val="CE372E"/>
          <w:spacing w:val="-3"/>
        </w:rPr>
        <w:t>of Friends</w:t>
      </w:r>
      <w:r>
        <w:rPr>
          <w:rFonts w:ascii="Arial"/>
          <w:color w:val="CE372E"/>
          <w:spacing w:val="-4"/>
        </w:rPr>
        <w:t> </w:t>
      </w:r>
      <w:r>
        <w:rPr>
          <w:rFonts w:ascii="Arial"/>
          <w:color w:val="CE372E"/>
          <w:spacing w:val="-3"/>
        </w:rPr>
        <w:t>Research </w:t>
      </w:r>
      <w:r>
        <w:rPr>
          <w:rFonts w:ascii="Arial"/>
          <w:color w:val="CE372E"/>
          <w:spacing w:val="-2"/>
        </w:rPr>
        <w:t>Institute</w:t>
      </w:r>
      <w:r>
        <w:rPr>
          <w:rFonts w:ascii="Arial"/>
          <w:color w:val="CE372E"/>
          <w:spacing w:val="-4"/>
        </w:rPr>
        <w:t> </w:t>
      </w:r>
      <w:r>
        <w:rPr>
          <w:rFonts w:ascii="Arial"/>
          <w:color w:val="CE372E"/>
          <w:spacing w:val="-2"/>
        </w:rPr>
        <w:t>(Los</w:t>
      </w:r>
      <w:r>
        <w:rPr>
          <w:rFonts w:ascii="Arial"/>
          <w:color w:val="CE372E"/>
          <w:spacing w:val="-16"/>
        </w:rPr>
        <w:t> </w:t>
      </w:r>
      <w:r>
        <w:rPr>
          <w:rFonts w:ascii="Arial"/>
          <w:color w:val="CE372E"/>
          <w:spacing w:val="-2"/>
        </w:rPr>
        <w:t>Angeles</w:t>
      </w:r>
      <w:r>
        <w:rPr>
          <w:rFonts w:ascii="Arial"/>
          <w:color w:val="CE372E"/>
          <w:spacing w:val="-4"/>
        </w:rPr>
        <w:t> </w:t>
      </w:r>
      <w:r>
        <w:rPr>
          <w:rFonts w:ascii="Arial"/>
          <w:color w:val="CE372E"/>
          <w:spacing w:val="-2"/>
        </w:rPr>
        <w:t>County,</w:t>
      </w:r>
      <w:r>
        <w:rPr>
          <w:rFonts w:ascii="Arial"/>
          <w:color w:val="CE372E"/>
          <w:spacing w:val="-3"/>
        </w:rPr>
        <w:t> </w:t>
      </w:r>
      <w:r>
        <w:rPr>
          <w:rFonts w:ascii="Arial"/>
          <w:color w:val="CE372E"/>
          <w:spacing w:val="-2"/>
        </w:rPr>
        <w:t>CA)</w:t>
      </w:r>
    </w:p>
    <w:p>
      <w:pPr>
        <w:pStyle w:val="BodyText"/>
        <w:rPr>
          <w:rFonts w:ascii="Arial"/>
          <w:sz w:val="20"/>
        </w:rPr>
      </w:pPr>
    </w:p>
    <w:p>
      <w:pPr>
        <w:pStyle w:val="BodyText"/>
        <w:rPr>
          <w:rFonts w:ascii="Arial"/>
          <w:sz w:val="20"/>
        </w:rPr>
      </w:pPr>
    </w:p>
    <w:p>
      <w:pPr>
        <w:pStyle w:val="BodyText"/>
        <w:rPr>
          <w:rFonts w:ascii="Arial"/>
          <w:sz w:val="20"/>
        </w:rPr>
      </w:pPr>
    </w:p>
    <w:p>
      <w:pPr>
        <w:spacing w:after="0"/>
        <w:rPr>
          <w:rFonts w:ascii="Arial"/>
          <w:sz w:val="20"/>
        </w:rPr>
        <w:sectPr>
          <w:pgSz w:w="12240" w:h="15840"/>
          <w:pgMar w:header="0" w:footer="666" w:top="380" w:bottom="860" w:left="560" w:right="0"/>
        </w:sectPr>
      </w:pPr>
    </w:p>
    <w:p>
      <w:pPr>
        <w:pStyle w:val="BodyText"/>
        <w:rPr>
          <w:rFonts w:ascii="Arial"/>
          <w:sz w:val="21"/>
        </w:rPr>
      </w:pPr>
      <w:r>
        <w:rPr/>
        <w:pict>
          <v:rect style="position:absolute;margin-left:0pt;margin-top:116.329102pt;width:612pt;height:1pt;mso-position-horizontal-relative:page;mso-position-vertical-relative:page;z-index:-18120704" id="docshape176" filled="true" fillcolor="#1c384b" stroked="false">
            <v:fill type="solid"/>
            <w10:wrap type="none"/>
          </v:rect>
        </w:pict>
      </w:r>
    </w:p>
    <w:p>
      <w:pPr>
        <w:pStyle w:val="BodyText"/>
        <w:spacing w:line="266" w:lineRule="auto"/>
        <w:ind w:left="160"/>
      </w:pPr>
      <w:r>
        <w:rPr>
          <w:color w:val="231F20"/>
          <w:spacing w:val="-1"/>
        </w:rPr>
        <w:t>The Alexis Project </w:t>
      </w:r>
      <w:r>
        <w:rPr>
          <w:color w:val="231F20"/>
        </w:rPr>
        <w:t>was developed under the Enhancing</w:t>
      </w:r>
      <w:r>
        <w:rPr>
          <w:color w:val="231F20"/>
          <w:spacing w:val="1"/>
        </w:rPr>
        <w:t> </w:t>
      </w:r>
      <w:r>
        <w:rPr>
          <w:color w:val="231F20"/>
        </w:rPr>
        <w:t>Engagement and Retention in Quality HIV Care for</w:t>
      </w:r>
      <w:r>
        <w:rPr>
          <w:color w:val="231F20"/>
          <w:spacing w:val="1"/>
        </w:rPr>
        <w:t> </w:t>
      </w:r>
      <w:r>
        <w:rPr>
          <w:color w:val="231F20"/>
        </w:rPr>
        <w:t>Transgender Women of Color Initiative funded by the</w:t>
      </w:r>
      <w:r>
        <w:rPr>
          <w:color w:val="231F20"/>
          <w:spacing w:val="1"/>
        </w:rPr>
        <w:t> </w:t>
      </w:r>
      <w:r>
        <w:rPr>
          <w:color w:val="231F20"/>
          <w:spacing w:val="-1"/>
        </w:rPr>
        <w:t>Health Resources and Services Administration’s </w:t>
      </w:r>
      <w:r>
        <w:rPr>
          <w:color w:val="231F20"/>
        </w:rPr>
        <w:t>(HRSA)</w:t>
      </w:r>
      <w:r>
        <w:rPr>
          <w:color w:val="231F20"/>
          <w:spacing w:val="-52"/>
        </w:rPr>
        <w:t> </w:t>
      </w:r>
      <w:r>
        <w:rPr>
          <w:color w:val="231F20"/>
        </w:rPr>
        <w:t>Special</w:t>
      </w:r>
      <w:r>
        <w:rPr>
          <w:color w:val="231F20"/>
          <w:spacing w:val="-4"/>
        </w:rPr>
        <w:t> </w:t>
      </w:r>
      <w:r>
        <w:rPr>
          <w:color w:val="231F20"/>
        </w:rPr>
        <w:t>Programs</w:t>
      </w:r>
      <w:r>
        <w:rPr>
          <w:color w:val="231F20"/>
          <w:spacing w:val="-4"/>
        </w:rPr>
        <w:t> </w:t>
      </w:r>
      <w:r>
        <w:rPr>
          <w:color w:val="231F20"/>
        </w:rPr>
        <w:t>of</w:t>
      </w:r>
      <w:r>
        <w:rPr>
          <w:color w:val="231F20"/>
          <w:spacing w:val="-3"/>
        </w:rPr>
        <w:t> </w:t>
      </w:r>
      <w:r>
        <w:rPr>
          <w:color w:val="231F20"/>
        </w:rPr>
        <w:t>National</w:t>
      </w:r>
      <w:r>
        <w:rPr>
          <w:color w:val="231F20"/>
          <w:spacing w:val="-4"/>
        </w:rPr>
        <w:t> </w:t>
      </w:r>
      <w:r>
        <w:rPr>
          <w:color w:val="231F20"/>
        </w:rPr>
        <w:t>Significance</w:t>
      </w:r>
      <w:r>
        <w:rPr>
          <w:color w:val="231F20"/>
          <w:spacing w:val="-4"/>
        </w:rPr>
        <w:t> </w:t>
      </w:r>
      <w:r>
        <w:rPr>
          <w:color w:val="231F20"/>
        </w:rPr>
        <w:t>(SPNS).</w:t>
      </w:r>
    </w:p>
    <w:p>
      <w:pPr>
        <w:pStyle w:val="BodyText"/>
        <w:spacing w:line="266" w:lineRule="auto"/>
        <w:ind w:left="160" w:right="252"/>
        <w:jc w:val="both"/>
      </w:pPr>
      <w:r>
        <w:rPr>
          <w:color w:val="231F20"/>
        </w:rPr>
        <w:t>The</w:t>
      </w:r>
      <w:r>
        <w:rPr>
          <w:color w:val="231F20"/>
          <w:spacing w:val="-5"/>
        </w:rPr>
        <w:t> </w:t>
      </w:r>
      <w:r>
        <w:rPr>
          <w:color w:val="231F20"/>
        </w:rPr>
        <w:t>project</w:t>
      </w:r>
      <w:r>
        <w:rPr>
          <w:color w:val="231F20"/>
          <w:spacing w:val="-4"/>
        </w:rPr>
        <w:t> </w:t>
      </w:r>
      <w:r>
        <w:rPr>
          <w:color w:val="231F20"/>
        </w:rPr>
        <w:t>utilizes</w:t>
      </w:r>
      <w:r>
        <w:rPr>
          <w:color w:val="231F20"/>
          <w:spacing w:val="-4"/>
        </w:rPr>
        <w:t> </w:t>
      </w:r>
      <w:r>
        <w:rPr>
          <w:color w:val="231F20"/>
        </w:rPr>
        <w:t>a</w:t>
      </w:r>
      <w:r>
        <w:rPr>
          <w:color w:val="231F20"/>
          <w:spacing w:val="-4"/>
        </w:rPr>
        <w:t> </w:t>
      </w:r>
      <w:r>
        <w:rPr>
          <w:color w:val="231F20"/>
        </w:rPr>
        <w:t>multi-tiered</w:t>
      </w:r>
      <w:r>
        <w:rPr>
          <w:color w:val="231F20"/>
          <w:spacing w:val="-4"/>
        </w:rPr>
        <w:t> </w:t>
      </w:r>
      <w:r>
        <w:rPr>
          <w:color w:val="231F20"/>
        </w:rPr>
        <w:t>approach</w:t>
      </w:r>
      <w:r>
        <w:rPr>
          <w:color w:val="231F20"/>
          <w:spacing w:val="-4"/>
        </w:rPr>
        <w:t> </w:t>
      </w:r>
      <w:r>
        <w:rPr>
          <w:color w:val="231F20"/>
        </w:rPr>
        <w:t>to</w:t>
      </w:r>
      <w:r>
        <w:rPr>
          <w:color w:val="231F20"/>
          <w:spacing w:val="-5"/>
        </w:rPr>
        <w:t> </w:t>
      </w:r>
      <w:r>
        <w:rPr>
          <w:color w:val="231F20"/>
        </w:rPr>
        <w:t>identify,</w:t>
      </w:r>
      <w:r>
        <w:rPr>
          <w:color w:val="231F20"/>
          <w:spacing w:val="-52"/>
        </w:rPr>
        <w:t> </w:t>
      </w:r>
      <w:r>
        <w:rPr>
          <w:color w:val="231F20"/>
        </w:rPr>
        <w:t>engage, and retain in care transgender women of color</w:t>
      </w:r>
      <w:r>
        <w:rPr>
          <w:color w:val="231F20"/>
          <w:spacing w:val="-52"/>
        </w:rPr>
        <w:t> </w:t>
      </w:r>
      <w:r>
        <w:rPr>
          <w:color w:val="231F20"/>
        </w:rPr>
        <w:t>with</w:t>
      </w:r>
      <w:r>
        <w:rPr>
          <w:color w:val="231F20"/>
          <w:spacing w:val="-2"/>
        </w:rPr>
        <w:t> </w:t>
      </w:r>
      <w:r>
        <w:rPr>
          <w:color w:val="231F20"/>
        </w:rPr>
        <w:t>HIV.</w:t>
      </w:r>
    </w:p>
    <w:p>
      <w:pPr>
        <w:pStyle w:val="BodyText"/>
        <w:spacing w:before="174"/>
        <w:ind w:left="160"/>
      </w:pPr>
      <w:r>
        <w:rPr>
          <w:color w:val="231F20"/>
          <w:spacing w:val="-1"/>
        </w:rPr>
        <w:t>The</w:t>
      </w:r>
      <w:r>
        <w:rPr>
          <w:color w:val="231F20"/>
          <w:spacing w:val="-13"/>
        </w:rPr>
        <w:t> </w:t>
      </w:r>
      <w:r>
        <w:rPr>
          <w:color w:val="231F20"/>
          <w:spacing w:val="-1"/>
        </w:rPr>
        <w:t>Alexis Project is</w:t>
      </w:r>
      <w:r>
        <w:rPr>
          <w:color w:val="231F20"/>
        </w:rPr>
        <w:t> named</w:t>
      </w:r>
      <w:r>
        <w:rPr>
          <w:color w:val="231F20"/>
          <w:spacing w:val="1"/>
        </w:rPr>
        <w:t> </w:t>
      </w:r>
      <w:r>
        <w:rPr>
          <w:color w:val="231F20"/>
        </w:rPr>
        <w:t>after</w:t>
      </w:r>
      <w:r>
        <w:rPr>
          <w:color w:val="231F20"/>
          <w:spacing w:val="-13"/>
        </w:rPr>
        <w:t> </w:t>
      </w:r>
      <w:r>
        <w:rPr>
          <w:color w:val="231F20"/>
        </w:rPr>
        <w:t>Alexis</w:t>
      </w:r>
      <w:r>
        <w:rPr>
          <w:color w:val="231F20"/>
          <w:spacing w:val="-1"/>
        </w:rPr>
        <w:t> </w:t>
      </w:r>
      <w:r>
        <w:rPr>
          <w:color w:val="231F20"/>
        </w:rPr>
        <w:t>Rivera</w:t>
      </w:r>
    </w:p>
    <w:p>
      <w:pPr>
        <w:pStyle w:val="BodyText"/>
        <w:spacing w:line="266" w:lineRule="auto" w:before="27"/>
        <w:ind w:left="160" w:right="350"/>
      </w:pPr>
      <w:r>
        <w:rPr>
          <w:color w:val="231F20"/>
        </w:rPr>
        <w:t>who died on March 28, 2012, at the age of 34, from</w:t>
      </w:r>
      <w:r>
        <w:rPr>
          <w:color w:val="231F20"/>
          <w:spacing w:val="1"/>
        </w:rPr>
        <w:t> </w:t>
      </w:r>
      <w:r>
        <w:rPr>
          <w:color w:val="231F20"/>
        </w:rPr>
        <w:t>complications</w:t>
      </w:r>
      <w:r>
        <w:rPr>
          <w:color w:val="231F20"/>
          <w:spacing w:val="-5"/>
        </w:rPr>
        <w:t> </w:t>
      </w:r>
      <w:r>
        <w:rPr>
          <w:color w:val="231F20"/>
        </w:rPr>
        <w:t>related</w:t>
      </w:r>
      <w:r>
        <w:rPr>
          <w:color w:val="231F20"/>
          <w:spacing w:val="-4"/>
        </w:rPr>
        <w:t> </w:t>
      </w:r>
      <w:r>
        <w:rPr>
          <w:color w:val="231F20"/>
        </w:rPr>
        <w:t>to</w:t>
      </w:r>
      <w:r>
        <w:rPr>
          <w:color w:val="231F20"/>
          <w:spacing w:val="-4"/>
        </w:rPr>
        <w:t> </w:t>
      </w:r>
      <w:r>
        <w:rPr>
          <w:color w:val="231F20"/>
        </w:rPr>
        <w:t>HIV.</w:t>
      </w:r>
      <w:r>
        <w:rPr>
          <w:color w:val="231F20"/>
          <w:spacing w:val="-5"/>
        </w:rPr>
        <w:t> </w:t>
      </w:r>
      <w:r>
        <w:rPr>
          <w:color w:val="231F20"/>
        </w:rPr>
        <w:t>She</w:t>
      </w:r>
      <w:r>
        <w:rPr>
          <w:color w:val="231F20"/>
          <w:spacing w:val="-5"/>
        </w:rPr>
        <w:t> </w:t>
      </w:r>
      <w:r>
        <w:rPr>
          <w:color w:val="231F20"/>
        </w:rPr>
        <w:t>was</w:t>
      </w:r>
      <w:r>
        <w:rPr>
          <w:color w:val="231F20"/>
          <w:spacing w:val="-5"/>
        </w:rPr>
        <w:t> </w:t>
      </w:r>
      <w:r>
        <w:rPr>
          <w:color w:val="231F20"/>
        </w:rPr>
        <w:t>a</w:t>
      </w:r>
      <w:r>
        <w:rPr>
          <w:color w:val="231F20"/>
          <w:spacing w:val="-4"/>
        </w:rPr>
        <w:t> </w:t>
      </w:r>
      <w:r>
        <w:rPr>
          <w:color w:val="231F20"/>
        </w:rPr>
        <w:t>proud</w:t>
      </w:r>
      <w:r>
        <w:rPr>
          <w:color w:val="231F20"/>
          <w:spacing w:val="-5"/>
        </w:rPr>
        <w:t> </w:t>
      </w:r>
      <w:r>
        <w:rPr>
          <w:color w:val="231F20"/>
        </w:rPr>
        <w:t>Latina</w:t>
      </w:r>
      <w:r>
        <w:rPr>
          <w:color w:val="231F20"/>
          <w:spacing w:val="-52"/>
        </w:rPr>
        <w:t> </w:t>
      </w:r>
      <w:r>
        <w:rPr>
          <w:color w:val="231F20"/>
        </w:rPr>
        <w:t>transgender woman, community activist, and peer</w:t>
      </w:r>
      <w:r>
        <w:rPr>
          <w:color w:val="231F20"/>
          <w:spacing w:val="1"/>
        </w:rPr>
        <w:t> </w:t>
      </w:r>
      <w:r>
        <w:rPr>
          <w:color w:val="231F20"/>
        </w:rPr>
        <w:t>advocate.</w:t>
      </w:r>
    </w:p>
    <w:p>
      <w:pPr>
        <w:pStyle w:val="Heading6"/>
        <w:spacing w:before="176"/>
        <w:jc w:val="both"/>
      </w:pPr>
      <w:r>
        <w:rPr>
          <w:color w:val="CE384B"/>
        </w:rPr>
        <w:t>Model</w:t>
      </w:r>
      <w:r>
        <w:rPr>
          <w:color w:val="CE384B"/>
          <w:spacing w:val="-1"/>
        </w:rPr>
        <w:t> </w:t>
      </w:r>
      <w:r>
        <w:rPr>
          <w:color w:val="CE384B"/>
        </w:rPr>
        <w:t>Features and</w:t>
      </w:r>
      <w:r>
        <w:rPr>
          <w:color w:val="CE384B"/>
          <w:spacing w:val="-2"/>
        </w:rPr>
        <w:t> </w:t>
      </w:r>
      <w:r>
        <w:rPr>
          <w:color w:val="CE384B"/>
        </w:rPr>
        <w:t>Elements</w:t>
      </w:r>
    </w:p>
    <w:p>
      <w:pPr>
        <w:pStyle w:val="BodyText"/>
        <w:spacing w:line="266" w:lineRule="auto" w:before="118"/>
        <w:ind w:left="160" w:right="37"/>
      </w:pPr>
      <w:r>
        <w:rPr>
          <w:color w:val="231F20"/>
        </w:rPr>
        <w:t>The Alexis Project incorporates social network</w:t>
      </w:r>
      <w:r>
        <w:rPr>
          <w:color w:val="231F20"/>
          <w:spacing w:val="1"/>
        </w:rPr>
        <w:t> </w:t>
      </w:r>
      <w:r>
        <w:rPr>
          <w:color w:val="231F20"/>
        </w:rPr>
        <w:t>recruitment and engagement, peer health navigation, and</w:t>
      </w:r>
      <w:r>
        <w:rPr>
          <w:color w:val="231F20"/>
          <w:spacing w:val="-52"/>
        </w:rPr>
        <w:t> </w:t>
      </w:r>
      <w:r>
        <w:rPr>
          <w:color w:val="231F20"/>
        </w:rPr>
        <w:t>contingency management to promote achievement of</w:t>
      </w:r>
      <w:r>
        <w:rPr>
          <w:color w:val="231F20"/>
          <w:spacing w:val="1"/>
        </w:rPr>
        <w:t> </w:t>
      </w:r>
      <w:r>
        <w:rPr>
          <w:color w:val="231F20"/>
        </w:rPr>
        <w:t>health</w:t>
      </w:r>
      <w:r>
        <w:rPr>
          <w:color w:val="231F20"/>
          <w:spacing w:val="-3"/>
        </w:rPr>
        <w:t> </w:t>
      </w:r>
      <w:r>
        <w:rPr>
          <w:color w:val="231F20"/>
        </w:rPr>
        <w:t>outcomes</w:t>
      </w:r>
      <w:r>
        <w:rPr>
          <w:color w:val="231F20"/>
          <w:spacing w:val="-2"/>
        </w:rPr>
        <w:t> </w:t>
      </w:r>
      <w:r>
        <w:rPr>
          <w:color w:val="231F20"/>
        </w:rPr>
        <w:t>along</w:t>
      </w:r>
      <w:r>
        <w:rPr>
          <w:color w:val="231F20"/>
          <w:spacing w:val="-2"/>
        </w:rPr>
        <w:t> </w:t>
      </w:r>
      <w:r>
        <w:rPr>
          <w:color w:val="231F20"/>
        </w:rPr>
        <w:t>the</w:t>
      </w:r>
      <w:r>
        <w:rPr>
          <w:color w:val="231F20"/>
          <w:spacing w:val="-2"/>
        </w:rPr>
        <w:t> </w:t>
      </w:r>
      <w:r>
        <w:rPr>
          <w:color w:val="231F20"/>
        </w:rPr>
        <w:t>HIV</w:t>
      </w:r>
      <w:r>
        <w:rPr>
          <w:color w:val="231F20"/>
          <w:spacing w:val="-7"/>
        </w:rPr>
        <w:t> </w:t>
      </w:r>
      <w:r>
        <w:rPr>
          <w:color w:val="231F20"/>
        </w:rPr>
        <w:t>care</w:t>
      </w:r>
      <w:r>
        <w:rPr>
          <w:color w:val="231F20"/>
          <w:spacing w:val="-2"/>
        </w:rPr>
        <w:t> </w:t>
      </w:r>
      <w:r>
        <w:rPr>
          <w:color w:val="231F20"/>
        </w:rPr>
        <w:t>continuum.</w:t>
      </w:r>
      <w:r>
        <w:rPr>
          <w:color w:val="231F20"/>
          <w:spacing w:val="-6"/>
        </w:rPr>
        <w:t> </w:t>
      </w:r>
      <w:r>
        <w:rPr>
          <w:color w:val="231F20"/>
        </w:rPr>
        <w:t>Through</w:t>
      </w:r>
      <w:r>
        <w:rPr>
          <w:color w:val="231F20"/>
          <w:spacing w:val="-52"/>
        </w:rPr>
        <w:t> </w:t>
      </w:r>
      <w:r>
        <w:rPr>
          <w:color w:val="231F20"/>
          <w:spacing w:val="-1"/>
        </w:rPr>
        <w:t>social </w:t>
      </w:r>
      <w:r>
        <w:rPr>
          <w:color w:val="231F20"/>
        </w:rPr>
        <w:t>network recruitment, the Alexis Project recruits</w:t>
      </w:r>
      <w:r>
        <w:rPr>
          <w:color w:val="231F20"/>
          <w:spacing w:val="1"/>
        </w:rPr>
        <w:t> </w:t>
      </w:r>
      <w:r>
        <w:rPr>
          <w:color w:val="231F20"/>
        </w:rPr>
        <w:t>transgender</w:t>
      </w:r>
      <w:r>
        <w:rPr>
          <w:color w:val="231F20"/>
          <w:spacing w:val="-1"/>
        </w:rPr>
        <w:t> </w:t>
      </w:r>
      <w:r>
        <w:rPr>
          <w:color w:val="231F20"/>
        </w:rPr>
        <w:t>women</w:t>
      </w:r>
      <w:r>
        <w:rPr>
          <w:color w:val="231F20"/>
          <w:spacing w:val="-2"/>
        </w:rPr>
        <w:t> </w:t>
      </w:r>
      <w:r>
        <w:rPr>
          <w:color w:val="231F20"/>
        </w:rPr>
        <w:t>of</w:t>
      </w:r>
      <w:r>
        <w:rPr>
          <w:color w:val="231F20"/>
          <w:spacing w:val="-1"/>
        </w:rPr>
        <w:t> </w:t>
      </w:r>
      <w:r>
        <w:rPr>
          <w:color w:val="231F20"/>
        </w:rPr>
        <w:t>color,</w:t>
      </w:r>
      <w:r>
        <w:rPr>
          <w:color w:val="231F20"/>
          <w:spacing w:val="-1"/>
        </w:rPr>
        <w:t> </w:t>
      </w:r>
      <w:r>
        <w:rPr>
          <w:color w:val="231F20"/>
        </w:rPr>
        <w:t>who</w:t>
      </w:r>
      <w:r>
        <w:rPr>
          <w:color w:val="231F20"/>
          <w:spacing w:val="-2"/>
        </w:rPr>
        <w:t> </w:t>
      </w:r>
      <w:r>
        <w:rPr>
          <w:color w:val="231F20"/>
        </w:rPr>
        <w:t>know they</w:t>
      </w:r>
      <w:r>
        <w:rPr>
          <w:color w:val="231F20"/>
          <w:spacing w:val="-1"/>
        </w:rPr>
        <w:t> </w:t>
      </w:r>
      <w:r>
        <w:rPr>
          <w:color w:val="231F20"/>
        </w:rPr>
        <w:t>have</w:t>
      </w:r>
    </w:p>
    <w:p>
      <w:pPr>
        <w:pStyle w:val="BodyText"/>
        <w:spacing w:line="266" w:lineRule="auto"/>
        <w:ind w:left="160" w:right="278"/>
      </w:pPr>
      <w:r>
        <w:rPr>
          <w:color w:val="231F20"/>
        </w:rPr>
        <w:t>HIV but are not in care, to the combined peer health</w:t>
      </w:r>
      <w:r>
        <w:rPr>
          <w:color w:val="231F20"/>
          <w:spacing w:val="1"/>
        </w:rPr>
        <w:t> </w:t>
      </w:r>
      <w:r>
        <w:rPr>
          <w:color w:val="231F20"/>
        </w:rPr>
        <w:t>navigation</w:t>
      </w:r>
      <w:r>
        <w:rPr>
          <w:color w:val="231F20"/>
          <w:spacing w:val="-4"/>
        </w:rPr>
        <w:t> </w:t>
      </w:r>
      <w:r>
        <w:rPr>
          <w:color w:val="231F20"/>
        </w:rPr>
        <w:t>and</w:t>
      </w:r>
      <w:r>
        <w:rPr>
          <w:color w:val="231F20"/>
          <w:spacing w:val="-3"/>
        </w:rPr>
        <w:t> </w:t>
      </w:r>
      <w:r>
        <w:rPr>
          <w:color w:val="231F20"/>
        </w:rPr>
        <w:t>contingency</w:t>
      </w:r>
      <w:r>
        <w:rPr>
          <w:color w:val="231F20"/>
          <w:spacing w:val="-4"/>
        </w:rPr>
        <w:t> </w:t>
      </w:r>
      <w:r>
        <w:rPr>
          <w:color w:val="231F20"/>
        </w:rPr>
        <w:t>management</w:t>
      </w:r>
      <w:r>
        <w:rPr>
          <w:color w:val="231F20"/>
          <w:spacing w:val="-3"/>
        </w:rPr>
        <w:t> </w:t>
      </w:r>
      <w:r>
        <w:rPr>
          <w:color w:val="231F20"/>
        </w:rPr>
        <w:t>intervention.</w:t>
      </w:r>
    </w:p>
    <w:p>
      <w:pPr>
        <w:spacing w:before="182"/>
        <w:ind w:left="160" w:right="0" w:firstLine="0"/>
        <w:jc w:val="both"/>
        <w:rPr>
          <w:rFonts w:ascii="Arial"/>
          <w:b/>
          <w:sz w:val="21"/>
        </w:rPr>
      </w:pPr>
      <w:r>
        <w:rPr>
          <w:rFonts w:ascii="Arial"/>
          <w:b/>
          <w:color w:val="231F20"/>
          <w:spacing w:val="-1"/>
          <w:sz w:val="21"/>
        </w:rPr>
        <w:t>Peer</w:t>
      </w:r>
      <w:r>
        <w:rPr>
          <w:rFonts w:ascii="Arial"/>
          <w:b/>
          <w:color w:val="231F20"/>
          <w:spacing w:val="-13"/>
          <w:sz w:val="21"/>
        </w:rPr>
        <w:t> </w:t>
      </w:r>
      <w:r>
        <w:rPr>
          <w:rFonts w:ascii="Arial"/>
          <w:b/>
          <w:color w:val="231F20"/>
          <w:spacing w:val="-1"/>
          <w:sz w:val="21"/>
        </w:rPr>
        <w:t>Health</w:t>
      </w:r>
      <w:r>
        <w:rPr>
          <w:rFonts w:ascii="Arial"/>
          <w:b/>
          <w:color w:val="231F20"/>
          <w:spacing w:val="-12"/>
          <w:sz w:val="21"/>
        </w:rPr>
        <w:t> </w:t>
      </w:r>
      <w:r>
        <w:rPr>
          <w:rFonts w:ascii="Arial"/>
          <w:b/>
          <w:color w:val="231F20"/>
          <w:sz w:val="21"/>
        </w:rPr>
        <w:t>Navigation</w:t>
      </w:r>
      <w:r>
        <w:rPr>
          <w:rFonts w:ascii="Arial"/>
          <w:b/>
          <w:color w:val="231F20"/>
          <w:spacing w:val="-13"/>
          <w:sz w:val="21"/>
        </w:rPr>
        <w:t> </w:t>
      </w:r>
      <w:r>
        <w:rPr>
          <w:rFonts w:ascii="Arial"/>
          <w:b/>
          <w:color w:val="231F20"/>
          <w:sz w:val="21"/>
        </w:rPr>
        <w:t>(PHN):</w:t>
      </w:r>
    </w:p>
    <w:p>
      <w:pPr>
        <w:pStyle w:val="ListParagraph"/>
        <w:numPr>
          <w:ilvl w:val="1"/>
          <w:numId w:val="22"/>
        </w:numPr>
        <w:tabs>
          <w:tab w:pos="879" w:val="left" w:leader="none"/>
          <w:tab w:pos="880" w:val="left" w:leader="none"/>
        </w:tabs>
        <w:spacing w:line="249" w:lineRule="auto" w:before="178" w:after="0"/>
        <w:ind w:left="879" w:right="243" w:hanging="360"/>
        <w:jc w:val="left"/>
        <w:rPr>
          <w:sz w:val="22"/>
        </w:rPr>
      </w:pPr>
      <w:r>
        <w:rPr>
          <w:color w:val="010202"/>
          <w:sz w:val="22"/>
        </w:rPr>
        <w:t>Peer health navigators work with participants</w:t>
      </w:r>
      <w:r>
        <w:rPr>
          <w:color w:val="010202"/>
          <w:spacing w:val="1"/>
          <w:sz w:val="22"/>
        </w:rPr>
        <w:t> </w:t>
      </w:r>
      <w:r>
        <w:rPr>
          <w:color w:val="010202"/>
          <w:sz w:val="22"/>
        </w:rPr>
        <w:t>to</w:t>
      </w:r>
      <w:r>
        <w:rPr>
          <w:color w:val="010202"/>
          <w:spacing w:val="6"/>
          <w:sz w:val="22"/>
        </w:rPr>
        <w:t> </w:t>
      </w:r>
      <w:r>
        <w:rPr>
          <w:color w:val="010202"/>
          <w:sz w:val="22"/>
        </w:rPr>
        <w:t>develop</w:t>
      </w:r>
      <w:r>
        <w:rPr>
          <w:color w:val="010202"/>
          <w:spacing w:val="6"/>
          <w:sz w:val="22"/>
        </w:rPr>
        <w:t> </w:t>
      </w:r>
      <w:r>
        <w:rPr>
          <w:color w:val="010202"/>
          <w:sz w:val="22"/>
        </w:rPr>
        <w:t>a</w:t>
      </w:r>
      <w:r>
        <w:rPr>
          <w:color w:val="010202"/>
          <w:spacing w:val="7"/>
          <w:sz w:val="22"/>
        </w:rPr>
        <w:t> </w:t>
      </w:r>
      <w:r>
        <w:rPr>
          <w:color w:val="010202"/>
          <w:sz w:val="22"/>
        </w:rPr>
        <w:t>client-centered</w:t>
      </w:r>
      <w:r>
        <w:rPr>
          <w:color w:val="010202"/>
          <w:spacing w:val="6"/>
          <w:sz w:val="22"/>
        </w:rPr>
        <w:t> </w:t>
      </w:r>
      <w:r>
        <w:rPr>
          <w:color w:val="010202"/>
          <w:sz w:val="22"/>
        </w:rPr>
        <w:t>treatment</w:t>
      </w:r>
      <w:r>
        <w:rPr>
          <w:color w:val="010202"/>
          <w:spacing w:val="6"/>
          <w:sz w:val="22"/>
        </w:rPr>
        <w:t> </w:t>
      </w:r>
      <w:r>
        <w:rPr>
          <w:color w:val="010202"/>
          <w:sz w:val="22"/>
        </w:rPr>
        <w:t>plan</w:t>
      </w:r>
      <w:r>
        <w:rPr>
          <w:color w:val="010202"/>
          <w:spacing w:val="1"/>
          <w:sz w:val="22"/>
        </w:rPr>
        <w:t> </w:t>
      </w:r>
      <w:r>
        <w:rPr>
          <w:color w:val="010202"/>
          <w:sz w:val="22"/>
        </w:rPr>
        <w:t>and</w:t>
      </w:r>
      <w:r>
        <w:rPr>
          <w:color w:val="010202"/>
          <w:spacing w:val="-2"/>
          <w:sz w:val="22"/>
        </w:rPr>
        <w:t> </w:t>
      </w:r>
      <w:r>
        <w:rPr>
          <w:color w:val="010202"/>
          <w:sz w:val="22"/>
        </w:rPr>
        <w:t>link</w:t>
      </w:r>
      <w:r>
        <w:rPr>
          <w:color w:val="010202"/>
          <w:spacing w:val="-2"/>
          <w:sz w:val="22"/>
        </w:rPr>
        <w:t> </w:t>
      </w:r>
      <w:r>
        <w:rPr>
          <w:color w:val="010202"/>
          <w:sz w:val="22"/>
        </w:rPr>
        <w:t>them</w:t>
      </w:r>
      <w:r>
        <w:rPr>
          <w:color w:val="010202"/>
          <w:spacing w:val="-2"/>
          <w:sz w:val="22"/>
        </w:rPr>
        <w:t> </w:t>
      </w:r>
      <w:r>
        <w:rPr>
          <w:color w:val="010202"/>
          <w:sz w:val="22"/>
        </w:rPr>
        <w:t>to</w:t>
      </w:r>
      <w:r>
        <w:rPr>
          <w:color w:val="010202"/>
          <w:spacing w:val="-2"/>
          <w:sz w:val="22"/>
        </w:rPr>
        <w:t> </w:t>
      </w:r>
      <w:r>
        <w:rPr>
          <w:color w:val="010202"/>
          <w:sz w:val="22"/>
        </w:rPr>
        <w:t>HIV</w:t>
      </w:r>
      <w:r>
        <w:rPr>
          <w:color w:val="010202"/>
          <w:spacing w:val="-6"/>
          <w:sz w:val="22"/>
        </w:rPr>
        <w:t> </w:t>
      </w:r>
      <w:r>
        <w:rPr>
          <w:color w:val="010202"/>
          <w:sz w:val="22"/>
        </w:rPr>
        <w:t>care</w:t>
      </w:r>
      <w:r>
        <w:rPr>
          <w:color w:val="010202"/>
          <w:spacing w:val="-2"/>
          <w:sz w:val="22"/>
        </w:rPr>
        <w:t> </w:t>
      </w:r>
      <w:r>
        <w:rPr>
          <w:color w:val="010202"/>
          <w:sz w:val="22"/>
        </w:rPr>
        <w:t>and/or</w:t>
      </w:r>
      <w:r>
        <w:rPr>
          <w:color w:val="010202"/>
          <w:spacing w:val="-2"/>
          <w:sz w:val="22"/>
        </w:rPr>
        <w:t> </w:t>
      </w:r>
      <w:r>
        <w:rPr>
          <w:color w:val="010202"/>
          <w:sz w:val="22"/>
        </w:rPr>
        <w:t>other</w:t>
      </w:r>
      <w:r>
        <w:rPr>
          <w:color w:val="010202"/>
          <w:spacing w:val="-2"/>
          <w:sz w:val="22"/>
        </w:rPr>
        <w:t> </w:t>
      </w:r>
      <w:r>
        <w:rPr>
          <w:color w:val="010202"/>
          <w:sz w:val="22"/>
        </w:rPr>
        <w:t>needed</w:t>
      </w:r>
      <w:r>
        <w:rPr>
          <w:color w:val="010202"/>
          <w:spacing w:val="-52"/>
          <w:sz w:val="22"/>
        </w:rPr>
        <w:t> </w:t>
      </w:r>
      <w:r>
        <w:rPr>
          <w:color w:val="010202"/>
          <w:sz w:val="22"/>
        </w:rPr>
        <w:t>services (e.g., hormone therapy, mental health</w:t>
      </w:r>
      <w:r>
        <w:rPr>
          <w:color w:val="010202"/>
          <w:spacing w:val="-52"/>
          <w:sz w:val="22"/>
        </w:rPr>
        <w:t> </w:t>
      </w:r>
      <w:r>
        <w:rPr>
          <w:color w:val="010202"/>
          <w:sz w:val="22"/>
        </w:rPr>
        <w:t>counseling, substance use treatment, legal</w:t>
      </w:r>
      <w:r>
        <w:rPr>
          <w:color w:val="010202"/>
          <w:spacing w:val="1"/>
          <w:sz w:val="22"/>
        </w:rPr>
        <w:t> </w:t>
      </w:r>
      <w:r>
        <w:rPr>
          <w:color w:val="010202"/>
          <w:sz w:val="22"/>
        </w:rPr>
        <w:t>services,</w:t>
      </w:r>
      <w:r>
        <w:rPr>
          <w:color w:val="010202"/>
          <w:spacing w:val="-2"/>
          <w:sz w:val="22"/>
        </w:rPr>
        <w:t> </w:t>
      </w:r>
      <w:r>
        <w:rPr>
          <w:color w:val="010202"/>
          <w:sz w:val="22"/>
        </w:rPr>
        <w:t>transportation assistance).</w:t>
      </w:r>
    </w:p>
    <w:p>
      <w:pPr>
        <w:pStyle w:val="ListParagraph"/>
        <w:numPr>
          <w:ilvl w:val="1"/>
          <w:numId w:val="22"/>
        </w:numPr>
        <w:tabs>
          <w:tab w:pos="879" w:val="left" w:leader="none"/>
          <w:tab w:pos="880" w:val="left" w:leader="none"/>
        </w:tabs>
        <w:spacing w:line="249" w:lineRule="auto" w:before="0" w:after="0"/>
        <w:ind w:left="879" w:right="76" w:hanging="360"/>
        <w:jc w:val="left"/>
        <w:rPr>
          <w:sz w:val="22"/>
        </w:rPr>
      </w:pPr>
      <w:r>
        <w:rPr>
          <w:color w:val="010202"/>
          <w:sz w:val="22"/>
        </w:rPr>
        <w:t>Participants receive unlimited PHN sessions and</w:t>
      </w:r>
      <w:r>
        <w:rPr>
          <w:color w:val="010202"/>
          <w:spacing w:val="-53"/>
          <w:sz w:val="22"/>
        </w:rPr>
        <w:t> </w:t>
      </w:r>
      <w:r>
        <w:rPr>
          <w:color w:val="010202"/>
          <w:sz w:val="22"/>
        </w:rPr>
        <w:t>can contact peer health navigators any time.</w:t>
      </w:r>
    </w:p>
    <w:p>
      <w:pPr>
        <w:pStyle w:val="ListParagraph"/>
        <w:numPr>
          <w:ilvl w:val="1"/>
          <w:numId w:val="22"/>
        </w:numPr>
        <w:tabs>
          <w:tab w:pos="879" w:val="left" w:leader="none"/>
          <w:tab w:pos="880" w:val="left" w:leader="none"/>
        </w:tabs>
        <w:spacing w:line="254" w:lineRule="exact" w:before="0" w:after="0"/>
        <w:ind w:left="879" w:right="0" w:hanging="360"/>
        <w:jc w:val="left"/>
        <w:rPr>
          <w:sz w:val="22"/>
        </w:rPr>
      </w:pPr>
      <w:r>
        <w:rPr>
          <w:color w:val="010202"/>
          <w:sz w:val="22"/>
        </w:rPr>
        <w:t>Participants</w:t>
      </w:r>
      <w:r>
        <w:rPr>
          <w:color w:val="010202"/>
          <w:spacing w:val="-3"/>
          <w:sz w:val="22"/>
        </w:rPr>
        <w:t> </w:t>
      </w:r>
      <w:r>
        <w:rPr>
          <w:color w:val="010202"/>
          <w:sz w:val="22"/>
        </w:rPr>
        <w:t>complete</w:t>
      </w:r>
      <w:r>
        <w:rPr>
          <w:color w:val="010202"/>
          <w:spacing w:val="-2"/>
          <w:sz w:val="22"/>
        </w:rPr>
        <w:t> </w:t>
      </w:r>
      <w:r>
        <w:rPr>
          <w:color w:val="010202"/>
          <w:sz w:val="22"/>
        </w:rPr>
        <w:t>a</w:t>
      </w:r>
      <w:r>
        <w:rPr>
          <w:color w:val="010202"/>
          <w:spacing w:val="-2"/>
          <w:sz w:val="22"/>
        </w:rPr>
        <w:t> </w:t>
      </w:r>
      <w:r>
        <w:rPr>
          <w:color w:val="010202"/>
          <w:sz w:val="22"/>
        </w:rPr>
        <w:t>needs</w:t>
      </w:r>
      <w:r>
        <w:rPr>
          <w:color w:val="010202"/>
          <w:spacing w:val="-1"/>
          <w:sz w:val="22"/>
        </w:rPr>
        <w:t> </w:t>
      </w:r>
      <w:r>
        <w:rPr>
          <w:color w:val="010202"/>
          <w:sz w:val="22"/>
        </w:rPr>
        <w:t>and</w:t>
      </w:r>
      <w:r>
        <w:rPr>
          <w:color w:val="010202"/>
          <w:spacing w:val="-2"/>
          <w:sz w:val="22"/>
        </w:rPr>
        <w:t> </w:t>
      </w:r>
      <w:r>
        <w:rPr>
          <w:color w:val="010202"/>
          <w:sz w:val="22"/>
        </w:rPr>
        <w:t>barriers</w:t>
      </w:r>
    </w:p>
    <w:p>
      <w:pPr>
        <w:pStyle w:val="BodyText"/>
        <w:spacing w:line="251" w:lineRule="exact"/>
        <w:ind w:right="1949"/>
        <w:jc w:val="right"/>
      </w:pPr>
      <w:r>
        <w:rPr>
          <w:color w:val="010202"/>
        </w:rPr>
        <w:t>assessment</w:t>
      </w:r>
      <w:r>
        <w:rPr>
          <w:color w:val="010202"/>
          <w:spacing w:val="-2"/>
        </w:rPr>
        <w:t> </w:t>
      </w:r>
      <w:r>
        <w:rPr>
          <w:color w:val="010202"/>
        </w:rPr>
        <w:t>at</w:t>
      </w:r>
      <w:r>
        <w:rPr>
          <w:color w:val="010202"/>
          <w:spacing w:val="-2"/>
        </w:rPr>
        <w:t> </w:t>
      </w:r>
      <w:r>
        <w:rPr>
          <w:color w:val="010202"/>
        </w:rPr>
        <w:t>each</w:t>
      </w:r>
      <w:r>
        <w:rPr>
          <w:color w:val="010202"/>
          <w:spacing w:val="-2"/>
        </w:rPr>
        <w:t> </w:t>
      </w:r>
      <w:r>
        <w:rPr>
          <w:color w:val="010202"/>
        </w:rPr>
        <w:t>session.</w:t>
      </w:r>
    </w:p>
    <w:p>
      <w:pPr>
        <w:pStyle w:val="ListParagraph"/>
        <w:numPr>
          <w:ilvl w:val="1"/>
          <w:numId w:val="22"/>
        </w:numPr>
        <w:tabs>
          <w:tab w:pos="359" w:val="left" w:leader="none"/>
          <w:tab w:pos="360" w:val="left" w:leader="none"/>
        </w:tabs>
        <w:spacing w:line="267" w:lineRule="exact" w:before="0" w:after="0"/>
        <w:ind w:left="879" w:right="1858" w:hanging="880"/>
        <w:jc w:val="right"/>
        <w:rPr>
          <w:sz w:val="22"/>
        </w:rPr>
      </w:pPr>
      <w:r>
        <w:rPr>
          <w:color w:val="010202"/>
          <w:sz w:val="22"/>
        </w:rPr>
        <w:t>The</w:t>
      </w:r>
      <w:r>
        <w:rPr>
          <w:color w:val="010202"/>
          <w:spacing w:val="-2"/>
          <w:sz w:val="22"/>
        </w:rPr>
        <w:t> </w:t>
      </w:r>
      <w:r>
        <w:rPr>
          <w:color w:val="010202"/>
          <w:sz w:val="22"/>
        </w:rPr>
        <w:t>goals</w:t>
      </w:r>
      <w:r>
        <w:rPr>
          <w:color w:val="010202"/>
          <w:spacing w:val="-1"/>
          <w:sz w:val="22"/>
        </w:rPr>
        <w:t> </w:t>
      </w:r>
      <w:r>
        <w:rPr>
          <w:color w:val="010202"/>
          <w:sz w:val="22"/>
        </w:rPr>
        <w:t>of</w:t>
      </w:r>
      <w:r>
        <w:rPr>
          <w:color w:val="010202"/>
          <w:spacing w:val="-2"/>
          <w:sz w:val="22"/>
        </w:rPr>
        <w:t> </w:t>
      </w:r>
      <w:r>
        <w:rPr>
          <w:color w:val="010202"/>
          <w:sz w:val="22"/>
        </w:rPr>
        <w:t>sessions</w:t>
      </w:r>
      <w:r>
        <w:rPr>
          <w:color w:val="010202"/>
          <w:spacing w:val="-2"/>
          <w:sz w:val="22"/>
        </w:rPr>
        <w:t> </w:t>
      </w:r>
      <w:r>
        <w:rPr>
          <w:color w:val="010202"/>
          <w:sz w:val="22"/>
        </w:rPr>
        <w:t>are</w:t>
      </w:r>
      <w:r>
        <w:rPr>
          <w:color w:val="010202"/>
          <w:spacing w:val="-1"/>
          <w:sz w:val="22"/>
        </w:rPr>
        <w:t> </w:t>
      </w:r>
      <w:r>
        <w:rPr>
          <w:color w:val="010202"/>
          <w:sz w:val="22"/>
        </w:rPr>
        <w:t>to:</w:t>
      </w:r>
    </w:p>
    <w:p>
      <w:pPr>
        <w:pStyle w:val="ListParagraph"/>
        <w:numPr>
          <w:ilvl w:val="2"/>
          <w:numId w:val="22"/>
        </w:numPr>
        <w:tabs>
          <w:tab w:pos="359" w:val="left" w:leader="none"/>
          <w:tab w:pos="360" w:val="left" w:leader="none"/>
        </w:tabs>
        <w:spacing w:line="267" w:lineRule="exact" w:before="83" w:after="0"/>
        <w:ind w:left="1239" w:right="1859" w:hanging="1240"/>
        <w:jc w:val="right"/>
        <w:rPr>
          <w:sz w:val="22"/>
        </w:rPr>
      </w:pPr>
      <w:r>
        <w:rPr>
          <w:color w:val="010202"/>
          <w:sz w:val="22"/>
        </w:rPr>
        <w:t>Identify barriers to care,</w:t>
      </w:r>
    </w:p>
    <w:p>
      <w:pPr>
        <w:pStyle w:val="ListParagraph"/>
        <w:numPr>
          <w:ilvl w:val="2"/>
          <w:numId w:val="22"/>
        </w:numPr>
        <w:tabs>
          <w:tab w:pos="1239" w:val="left" w:leader="none"/>
          <w:tab w:pos="1240" w:val="left" w:leader="none"/>
        </w:tabs>
        <w:spacing w:line="249" w:lineRule="auto" w:before="0" w:after="0"/>
        <w:ind w:left="1239" w:right="533" w:hanging="360"/>
        <w:jc w:val="left"/>
        <w:rPr>
          <w:sz w:val="22"/>
        </w:rPr>
      </w:pPr>
      <w:r>
        <w:rPr>
          <w:color w:val="010202"/>
          <w:sz w:val="22"/>
        </w:rPr>
        <w:t>Identify and link participants to needed</w:t>
      </w:r>
      <w:r>
        <w:rPr>
          <w:color w:val="010202"/>
          <w:spacing w:val="-52"/>
          <w:sz w:val="22"/>
        </w:rPr>
        <w:t> </w:t>
      </w:r>
      <w:r>
        <w:rPr>
          <w:color w:val="010202"/>
          <w:sz w:val="22"/>
        </w:rPr>
        <w:t>services,</w:t>
      </w:r>
      <w:r>
        <w:rPr>
          <w:color w:val="010202"/>
          <w:spacing w:val="-2"/>
          <w:sz w:val="22"/>
        </w:rPr>
        <w:t> </w:t>
      </w:r>
      <w:r>
        <w:rPr>
          <w:color w:val="010202"/>
          <w:sz w:val="22"/>
        </w:rPr>
        <w:t>and</w:t>
      </w:r>
    </w:p>
    <w:p>
      <w:pPr>
        <w:pStyle w:val="ListParagraph"/>
        <w:numPr>
          <w:ilvl w:val="2"/>
          <w:numId w:val="22"/>
        </w:numPr>
        <w:tabs>
          <w:tab w:pos="1239" w:val="left" w:leader="none"/>
          <w:tab w:pos="1240" w:val="left" w:leader="none"/>
        </w:tabs>
        <w:spacing w:line="254" w:lineRule="exact" w:before="0" w:after="0"/>
        <w:ind w:left="1239" w:right="0" w:hanging="361"/>
        <w:jc w:val="left"/>
        <w:rPr>
          <w:sz w:val="22"/>
        </w:rPr>
      </w:pPr>
      <w:r>
        <w:rPr>
          <w:color w:val="010202"/>
          <w:w w:val="95"/>
          <w:sz w:val="22"/>
        </w:rPr>
        <w:t>Increase</w:t>
      </w:r>
      <w:r>
        <w:rPr>
          <w:color w:val="010202"/>
          <w:spacing w:val="33"/>
          <w:w w:val="95"/>
          <w:sz w:val="22"/>
        </w:rPr>
        <w:t> </w:t>
      </w:r>
      <w:r>
        <w:rPr>
          <w:color w:val="010202"/>
          <w:w w:val="95"/>
          <w:sz w:val="22"/>
        </w:rPr>
        <w:t>participants’</w:t>
      </w:r>
      <w:r>
        <w:rPr>
          <w:color w:val="010202"/>
          <w:spacing w:val="7"/>
          <w:w w:val="95"/>
          <w:sz w:val="22"/>
        </w:rPr>
        <w:t> </w:t>
      </w:r>
      <w:r>
        <w:rPr>
          <w:color w:val="010202"/>
          <w:w w:val="95"/>
          <w:sz w:val="22"/>
        </w:rPr>
        <w:t>self-efficacy</w:t>
      </w:r>
      <w:r>
        <w:rPr>
          <w:color w:val="010202"/>
          <w:spacing w:val="32"/>
          <w:w w:val="95"/>
          <w:sz w:val="22"/>
        </w:rPr>
        <w:t> </w:t>
      </w:r>
      <w:r>
        <w:rPr>
          <w:color w:val="010202"/>
          <w:w w:val="95"/>
          <w:sz w:val="22"/>
        </w:rPr>
        <w:t>in</w:t>
      </w:r>
      <w:r>
        <w:rPr>
          <w:color w:val="010202"/>
          <w:spacing w:val="33"/>
          <w:w w:val="95"/>
          <w:sz w:val="22"/>
        </w:rPr>
        <w:t> </w:t>
      </w:r>
      <w:r>
        <w:rPr>
          <w:color w:val="010202"/>
          <w:w w:val="95"/>
          <w:sz w:val="22"/>
        </w:rPr>
        <w:t>work-</w:t>
      </w:r>
    </w:p>
    <w:p>
      <w:pPr>
        <w:pStyle w:val="BodyText"/>
        <w:spacing w:line="249" w:lineRule="auto" w:before="7"/>
        <w:ind w:left="1239" w:right="101"/>
      </w:pPr>
      <w:r>
        <w:rPr>
          <w:color w:val="010202"/>
        </w:rPr>
        <w:t>ing</w:t>
      </w:r>
      <w:r>
        <w:rPr>
          <w:color w:val="010202"/>
          <w:spacing w:val="-1"/>
        </w:rPr>
        <w:t> </w:t>
      </w:r>
      <w:r>
        <w:rPr>
          <w:color w:val="010202"/>
        </w:rPr>
        <w:t>with</w:t>
      </w:r>
      <w:r>
        <w:rPr>
          <w:color w:val="010202"/>
          <w:spacing w:val="-2"/>
        </w:rPr>
        <w:t> </w:t>
      </w:r>
      <w:r>
        <w:rPr>
          <w:color w:val="010202"/>
        </w:rPr>
        <w:t>HIV</w:t>
      </w:r>
      <w:r>
        <w:rPr>
          <w:color w:val="010202"/>
          <w:spacing w:val="-6"/>
        </w:rPr>
        <w:t> </w:t>
      </w:r>
      <w:r>
        <w:rPr>
          <w:color w:val="010202"/>
        </w:rPr>
        <w:t>care</w:t>
      </w:r>
      <w:r>
        <w:rPr>
          <w:color w:val="010202"/>
          <w:spacing w:val="-1"/>
        </w:rPr>
        <w:t> </w:t>
      </w:r>
      <w:r>
        <w:rPr>
          <w:color w:val="010202"/>
        </w:rPr>
        <w:t>providers</w:t>
      </w:r>
      <w:r>
        <w:rPr>
          <w:color w:val="010202"/>
          <w:spacing w:val="-1"/>
        </w:rPr>
        <w:t> </w:t>
      </w:r>
      <w:r>
        <w:rPr>
          <w:color w:val="010202"/>
        </w:rPr>
        <w:t>and other</w:t>
      </w:r>
      <w:r>
        <w:rPr>
          <w:color w:val="010202"/>
          <w:spacing w:val="-1"/>
        </w:rPr>
        <w:t> </w:t>
      </w:r>
      <w:r>
        <w:rPr>
          <w:color w:val="010202"/>
        </w:rPr>
        <w:t>treat-</w:t>
      </w:r>
      <w:r>
        <w:rPr>
          <w:color w:val="010202"/>
          <w:spacing w:val="-52"/>
        </w:rPr>
        <w:t> </w:t>
      </w:r>
      <w:r>
        <w:rPr>
          <w:color w:val="010202"/>
        </w:rPr>
        <w:t>ment facilities.</w:t>
      </w:r>
    </w:p>
    <w:p>
      <w:pPr>
        <w:spacing w:line="240" w:lineRule="auto" w:before="7" w:after="0"/>
        <w:rPr>
          <w:sz w:val="25"/>
        </w:rPr>
      </w:pPr>
      <w:r>
        <w:rPr/>
        <w:br w:type="column"/>
      </w:r>
      <w:r>
        <w:rPr>
          <w:sz w:val="25"/>
        </w:rPr>
      </w:r>
    </w:p>
    <w:p>
      <w:pPr>
        <w:pStyle w:val="BodyText"/>
        <w:ind w:left="-230"/>
        <w:rPr>
          <w:sz w:val="20"/>
        </w:rPr>
      </w:pPr>
      <w:r>
        <w:rPr>
          <w:sz w:val="20"/>
        </w:rPr>
        <w:pict>
          <v:group style="width:252.05pt;height:401.6pt;mso-position-horizontal-relative:char;mso-position-vertical-relative:line" id="docshapegroup177" coordorigin="0,0" coordsize="5041,8032">
            <v:shape style="position:absolute;left:0;top:0;width:5041;height:8032" id="docshape178" coordorigin="0,0" coordsize="5041,8032" path="m4951,0l90,0,55,7,26,26,7,55,0,90,0,7942,7,7977,26,8006,55,8025,90,8032,4951,8032,4986,8025,5015,8006,5034,7977,5041,7942,5041,90,5034,55,5015,26,4986,7,4951,0xe" filled="true" fillcolor="#f7e0e0" stroked="false">
              <v:path arrowok="t"/>
              <v:fill type="solid"/>
            </v:shape>
            <v:shape style="position:absolute;left:0;top:0;width:5041;height:8032" type="#_x0000_t202" id="docshape179" filled="false" stroked="false">
              <v:textbox inset="0,0,0,0">
                <w:txbxContent>
                  <w:p>
                    <w:pPr>
                      <w:spacing w:line="211" w:lineRule="auto" w:before="147"/>
                      <w:ind w:left="180" w:right="418" w:firstLine="0"/>
                      <w:jc w:val="left"/>
                      <w:rPr>
                        <w:rFonts w:ascii="Arial Black"/>
                        <w:sz w:val="21"/>
                      </w:rPr>
                    </w:pPr>
                    <w:r>
                      <w:rPr>
                        <w:rFonts w:ascii="Arial Black"/>
                        <w:color w:val="CE384B"/>
                        <w:sz w:val="21"/>
                      </w:rPr>
                      <w:t>Evidence-based Practice Implemented</w:t>
                    </w:r>
                    <w:r>
                      <w:rPr>
                        <w:rFonts w:ascii="Arial Black"/>
                        <w:color w:val="CE384B"/>
                        <w:spacing w:val="-68"/>
                        <w:sz w:val="21"/>
                      </w:rPr>
                      <w:t> </w:t>
                    </w:r>
                    <w:r>
                      <w:rPr>
                        <w:rFonts w:ascii="Arial Black"/>
                        <w:color w:val="CE384B"/>
                        <w:sz w:val="21"/>
                      </w:rPr>
                      <w:t>by</w:t>
                    </w:r>
                    <w:r>
                      <w:rPr>
                        <w:rFonts w:ascii="Arial Black"/>
                        <w:color w:val="CE384B"/>
                        <w:spacing w:val="-1"/>
                        <w:sz w:val="21"/>
                      </w:rPr>
                      <w:t> </w:t>
                    </w:r>
                    <w:r>
                      <w:rPr>
                        <w:rFonts w:ascii="Arial Black"/>
                        <w:color w:val="CE384B"/>
                        <w:sz w:val="21"/>
                      </w:rPr>
                      <w:t>the</w:t>
                    </w:r>
                    <w:r>
                      <w:rPr>
                        <w:rFonts w:ascii="Arial Black"/>
                        <w:color w:val="CE384B"/>
                        <w:spacing w:val="-1"/>
                        <w:sz w:val="21"/>
                      </w:rPr>
                      <w:t> </w:t>
                    </w:r>
                    <w:r>
                      <w:rPr>
                        <w:rFonts w:ascii="Arial Black"/>
                        <w:color w:val="CE384B"/>
                        <w:sz w:val="21"/>
                      </w:rPr>
                      <w:t>Program</w:t>
                    </w:r>
                  </w:p>
                  <w:p>
                    <w:pPr>
                      <w:spacing w:line="259" w:lineRule="auto" w:before="125"/>
                      <w:ind w:left="180" w:right="655" w:firstLine="0"/>
                      <w:jc w:val="left"/>
                      <w:rPr>
                        <w:rFonts w:ascii="Arial"/>
                        <w:sz w:val="21"/>
                      </w:rPr>
                    </w:pPr>
                    <w:r>
                      <w:rPr>
                        <w:rFonts w:ascii="Arial"/>
                        <w:color w:val="010202"/>
                        <w:sz w:val="21"/>
                      </w:rPr>
                      <w:t>Contingency</w:t>
                    </w:r>
                    <w:r>
                      <w:rPr>
                        <w:rFonts w:ascii="Arial"/>
                        <w:color w:val="010202"/>
                        <w:spacing w:val="-5"/>
                        <w:sz w:val="21"/>
                      </w:rPr>
                      <w:t> </w:t>
                    </w:r>
                    <w:r>
                      <w:rPr>
                        <w:rFonts w:ascii="Arial"/>
                        <w:color w:val="010202"/>
                        <w:sz w:val="21"/>
                      </w:rPr>
                      <w:t>Management</w:t>
                    </w:r>
                    <w:r>
                      <w:rPr>
                        <w:rFonts w:ascii="Arial"/>
                        <w:color w:val="010202"/>
                        <w:spacing w:val="-4"/>
                        <w:sz w:val="21"/>
                      </w:rPr>
                      <w:t> </w:t>
                    </w:r>
                    <w:r>
                      <w:rPr>
                        <w:rFonts w:ascii="Arial"/>
                        <w:color w:val="010202"/>
                        <w:sz w:val="21"/>
                      </w:rPr>
                      <w:t>(CM),</w:t>
                    </w:r>
                    <w:r>
                      <w:rPr>
                        <w:rFonts w:ascii="Arial"/>
                        <w:color w:val="010202"/>
                        <w:spacing w:val="-4"/>
                        <w:sz w:val="21"/>
                      </w:rPr>
                      <w:t> </w:t>
                    </w:r>
                    <w:r>
                      <w:rPr>
                        <w:rFonts w:ascii="Arial"/>
                        <w:color w:val="010202"/>
                        <w:sz w:val="21"/>
                      </w:rPr>
                      <w:t>Peer</w:t>
                    </w:r>
                    <w:r>
                      <w:rPr>
                        <w:rFonts w:ascii="Arial"/>
                        <w:color w:val="010202"/>
                        <w:spacing w:val="-3"/>
                        <w:sz w:val="21"/>
                      </w:rPr>
                      <w:t> </w:t>
                    </w:r>
                    <w:r>
                      <w:rPr>
                        <w:rFonts w:ascii="Arial"/>
                        <w:color w:val="010202"/>
                        <w:sz w:val="21"/>
                      </w:rPr>
                      <w:t>Health</w:t>
                    </w:r>
                    <w:r>
                      <w:rPr>
                        <w:rFonts w:ascii="Arial"/>
                        <w:color w:val="010202"/>
                        <w:spacing w:val="-56"/>
                        <w:sz w:val="21"/>
                      </w:rPr>
                      <w:t> </w:t>
                    </w:r>
                    <w:r>
                      <w:rPr>
                        <w:rFonts w:ascii="Arial"/>
                        <w:color w:val="010202"/>
                        <w:sz w:val="21"/>
                      </w:rPr>
                      <w:t>Navigation</w:t>
                    </w:r>
                    <w:r>
                      <w:rPr>
                        <w:rFonts w:ascii="Arial"/>
                        <w:color w:val="010202"/>
                        <w:spacing w:val="-2"/>
                        <w:sz w:val="21"/>
                      </w:rPr>
                      <w:t> </w:t>
                    </w:r>
                    <w:r>
                      <w:rPr>
                        <w:rFonts w:ascii="Arial"/>
                        <w:color w:val="010202"/>
                        <w:sz w:val="21"/>
                      </w:rPr>
                      <w:t>(PHN)</w:t>
                    </w:r>
                  </w:p>
                  <w:p>
                    <w:pPr>
                      <w:spacing w:line="259" w:lineRule="auto" w:before="118"/>
                      <w:ind w:left="180" w:right="271" w:firstLine="0"/>
                      <w:jc w:val="left"/>
                      <w:rPr>
                        <w:rFonts w:ascii="Arial"/>
                        <w:sz w:val="21"/>
                      </w:rPr>
                    </w:pPr>
                    <w:r>
                      <w:rPr>
                        <w:rFonts w:ascii="Arial"/>
                        <w:color w:val="010202"/>
                        <w:sz w:val="21"/>
                      </w:rPr>
                      <w:t>Friends Community Center is a non-clinical</w:t>
                    </w:r>
                    <w:r>
                      <w:rPr>
                        <w:rFonts w:ascii="Arial"/>
                        <w:color w:val="010202"/>
                        <w:spacing w:val="1"/>
                        <w:sz w:val="21"/>
                      </w:rPr>
                      <w:t> </w:t>
                    </w:r>
                    <w:r>
                      <w:rPr>
                        <w:rFonts w:ascii="Arial"/>
                        <w:color w:val="010202"/>
                        <w:sz w:val="21"/>
                      </w:rPr>
                      <w:t>community research center that collaborates with</w:t>
                    </w:r>
                    <w:r>
                      <w:rPr>
                        <w:rFonts w:ascii="Arial"/>
                        <w:color w:val="010202"/>
                        <w:spacing w:val="-56"/>
                        <w:sz w:val="21"/>
                      </w:rPr>
                      <w:t> </w:t>
                    </w:r>
                    <w:r>
                      <w:rPr>
                        <w:rFonts w:ascii="Arial"/>
                        <w:color w:val="010202"/>
                        <w:sz w:val="21"/>
                      </w:rPr>
                      <w:t>two</w:t>
                    </w:r>
                    <w:r>
                      <w:rPr>
                        <w:rFonts w:ascii="Arial"/>
                        <w:color w:val="010202"/>
                        <w:spacing w:val="-2"/>
                        <w:sz w:val="21"/>
                      </w:rPr>
                      <w:t> </w:t>
                    </w:r>
                    <w:r>
                      <w:rPr>
                        <w:rFonts w:ascii="Arial"/>
                        <w:color w:val="010202"/>
                        <w:sz w:val="21"/>
                      </w:rPr>
                      <w:t>medical</w:t>
                    </w:r>
                    <w:r>
                      <w:rPr>
                        <w:rFonts w:ascii="Arial"/>
                        <w:color w:val="010202"/>
                        <w:spacing w:val="-2"/>
                        <w:sz w:val="21"/>
                      </w:rPr>
                      <w:t> </w:t>
                    </w:r>
                    <w:r>
                      <w:rPr>
                        <w:rFonts w:ascii="Arial"/>
                        <w:color w:val="010202"/>
                        <w:sz w:val="21"/>
                      </w:rPr>
                      <w:t>clinics</w:t>
                    </w:r>
                    <w:r>
                      <w:rPr>
                        <w:rFonts w:ascii="Arial"/>
                        <w:color w:val="010202"/>
                        <w:spacing w:val="-2"/>
                        <w:sz w:val="21"/>
                      </w:rPr>
                      <w:t> </w:t>
                    </w:r>
                    <w:r>
                      <w:rPr>
                        <w:rFonts w:ascii="Arial"/>
                        <w:color w:val="010202"/>
                        <w:sz w:val="21"/>
                      </w:rPr>
                      <w:t>that</w:t>
                    </w:r>
                    <w:r>
                      <w:rPr>
                        <w:rFonts w:ascii="Arial"/>
                        <w:color w:val="010202"/>
                        <w:spacing w:val="-2"/>
                        <w:sz w:val="21"/>
                      </w:rPr>
                      <w:t> </w:t>
                    </w:r>
                    <w:r>
                      <w:rPr>
                        <w:rFonts w:ascii="Arial"/>
                        <w:color w:val="010202"/>
                        <w:sz w:val="21"/>
                      </w:rPr>
                      <w:t>provide</w:t>
                    </w:r>
                    <w:r>
                      <w:rPr>
                        <w:rFonts w:ascii="Arial"/>
                        <w:color w:val="010202"/>
                        <w:spacing w:val="-3"/>
                        <w:sz w:val="21"/>
                      </w:rPr>
                      <w:t> </w:t>
                    </w:r>
                    <w:r>
                      <w:rPr>
                        <w:rFonts w:ascii="Arial"/>
                        <w:color w:val="010202"/>
                        <w:sz w:val="21"/>
                      </w:rPr>
                      <w:t>HIV</w:t>
                    </w:r>
                    <w:r>
                      <w:rPr>
                        <w:rFonts w:ascii="Arial"/>
                        <w:color w:val="010202"/>
                        <w:spacing w:val="-3"/>
                        <w:sz w:val="21"/>
                      </w:rPr>
                      <w:t> </w:t>
                    </w:r>
                    <w:r>
                      <w:rPr>
                        <w:rFonts w:ascii="Arial"/>
                        <w:color w:val="010202"/>
                        <w:sz w:val="21"/>
                      </w:rPr>
                      <w:t>primary</w:t>
                    </w:r>
                    <w:r>
                      <w:rPr>
                        <w:rFonts w:ascii="Arial"/>
                        <w:color w:val="010202"/>
                        <w:spacing w:val="-3"/>
                        <w:sz w:val="21"/>
                      </w:rPr>
                      <w:t> </w:t>
                    </w:r>
                    <w:r>
                      <w:rPr>
                        <w:rFonts w:ascii="Arial"/>
                        <w:color w:val="010202"/>
                        <w:sz w:val="21"/>
                      </w:rPr>
                      <w:t>care.</w:t>
                    </w:r>
                  </w:p>
                  <w:p>
                    <w:pPr>
                      <w:spacing w:before="118"/>
                      <w:ind w:left="180" w:right="0" w:firstLine="0"/>
                      <w:jc w:val="left"/>
                      <w:rPr>
                        <w:rFonts w:ascii="Arial"/>
                        <w:b/>
                        <w:sz w:val="21"/>
                      </w:rPr>
                    </w:pPr>
                    <w:r>
                      <w:rPr>
                        <w:rFonts w:ascii="Arial"/>
                        <w:b/>
                        <w:color w:val="CE384B"/>
                        <w:sz w:val="21"/>
                      </w:rPr>
                      <w:t>Population of Focus</w:t>
                    </w:r>
                  </w:p>
                  <w:p>
                    <w:pPr>
                      <w:spacing w:line="376" w:lineRule="auto" w:before="139"/>
                      <w:ind w:left="180" w:right="1249" w:firstLine="0"/>
                      <w:jc w:val="left"/>
                      <w:rPr>
                        <w:rFonts w:ascii="Arial"/>
                        <w:sz w:val="21"/>
                      </w:rPr>
                    </w:pPr>
                    <w:r>
                      <w:rPr>
                        <w:rFonts w:ascii="Arial"/>
                        <w:color w:val="010202"/>
                        <w:sz w:val="21"/>
                      </w:rPr>
                      <w:t>Transgender women of color with HIV</w:t>
                    </w:r>
                    <w:r>
                      <w:rPr>
                        <w:rFonts w:ascii="Arial"/>
                        <w:color w:val="010202"/>
                        <w:spacing w:val="1"/>
                        <w:sz w:val="21"/>
                      </w:rPr>
                      <w:t> </w:t>
                    </w:r>
                    <w:r>
                      <w:rPr>
                        <w:rFonts w:ascii="Arial"/>
                        <w:b/>
                        <w:color w:val="CE384B"/>
                        <w:sz w:val="21"/>
                      </w:rPr>
                      <w:t>Approximate</w:t>
                    </w:r>
                    <w:r>
                      <w:rPr>
                        <w:rFonts w:ascii="Arial"/>
                        <w:b/>
                        <w:color w:val="CE384B"/>
                        <w:spacing w:val="-6"/>
                        <w:sz w:val="21"/>
                      </w:rPr>
                      <w:t> </w:t>
                    </w:r>
                    <w:r>
                      <w:rPr>
                        <w:rFonts w:ascii="Arial"/>
                        <w:b/>
                        <w:color w:val="CE384B"/>
                        <w:sz w:val="21"/>
                      </w:rPr>
                      <w:t>Time</w:t>
                    </w:r>
                    <w:r>
                      <w:rPr>
                        <w:rFonts w:ascii="Arial"/>
                        <w:b/>
                        <w:color w:val="CE384B"/>
                        <w:spacing w:val="-4"/>
                        <w:sz w:val="21"/>
                      </w:rPr>
                      <w:t> </w:t>
                    </w:r>
                    <w:r>
                      <w:rPr>
                        <w:rFonts w:ascii="Arial"/>
                        <w:b/>
                        <w:color w:val="CE384B"/>
                        <w:sz w:val="21"/>
                      </w:rPr>
                      <w:t>Period</w:t>
                    </w:r>
                    <w:r>
                      <w:rPr>
                        <w:rFonts w:ascii="Arial"/>
                        <w:b/>
                        <w:color w:val="CE384B"/>
                        <w:spacing w:val="-4"/>
                        <w:sz w:val="21"/>
                      </w:rPr>
                      <w:t> </w:t>
                    </w:r>
                    <w:r>
                      <w:rPr>
                        <w:rFonts w:ascii="Arial"/>
                        <w:b/>
                        <w:color w:val="CE384B"/>
                        <w:sz w:val="21"/>
                      </w:rPr>
                      <w:t>(Duration)</w:t>
                    </w:r>
                    <w:r>
                      <w:rPr>
                        <w:rFonts w:ascii="Arial"/>
                        <w:b/>
                        <w:color w:val="CE384B"/>
                        <w:spacing w:val="-56"/>
                        <w:sz w:val="21"/>
                      </w:rPr>
                      <w:t> </w:t>
                    </w:r>
                    <w:r>
                      <w:rPr>
                        <w:rFonts w:ascii="Arial"/>
                        <w:color w:val="010202"/>
                        <w:sz w:val="21"/>
                      </w:rPr>
                      <w:t>18</w:t>
                    </w:r>
                    <w:r>
                      <w:rPr>
                        <w:rFonts w:ascii="Arial"/>
                        <w:color w:val="010202"/>
                        <w:spacing w:val="-2"/>
                        <w:sz w:val="21"/>
                      </w:rPr>
                      <w:t> </w:t>
                    </w:r>
                    <w:r>
                      <w:rPr>
                        <w:rFonts w:ascii="Arial"/>
                        <w:color w:val="010202"/>
                        <w:sz w:val="21"/>
                      </w:rPr>
                      <w:t>months</w:t>
                    </w:r>
                  </w:p>
                  <w:p>
                    <w:pPr>
                      <w:spacing w:before="3"/>
                      <w:ind w:left="180" w:right="0" w:firstLine="0"/>
                      <w:jc w:val="left"/>
                      <w:rPr>
                        <w:rFonts w:ascii="Arial"/>
                        <w:b/>
                        <w:sz w:val="21"/>
                      </w:rPr>
                    </w:pPr>
                    <w:r>
                      <w:rPr>
                        <w:rFonts w:ascii="Arial"/>
                        <w:b/>
                        <w:color w:val="CE384B"/>
                        <w:sz w:val="21"/>
                      </w:rPr>
                      <w:t>Resources</w:t>
                    </w:r>
                    <w:r>
                      <w:rPr>
                        <w:rFonts w:ascii="Arial"/>
                        <w:b/>
                        <w:color w:val="CE384B"/>
                        <w:spacing w:val="-3"/>
                        <w:sz w:val="21"/>
                      </w:rPr>
                      <w:t> </w:t>
                    </w:r>
                    <w:r>
                      <w:rPr>
                        <w:rFonts w:ascii="Arial"/>
                        <w:b/>
                        <w:color w:val="CE384B"/>
                        <w:sz w:val="21"/>
                      </w:rPr>
                      <w:t>on</w:t>
                    </w:r>
                    <w:r>
                      <w:rPr>
                        <w:rFonts w:ascii="Arial"/>
                        <w:b/>
                        <w:color w:val="CE384B"/>
                        <w:spacing w:val="-2"/>
                        <w:sz w:val="21"/>
                      </w:rPr>
                      <w:t> </w:t>
                    </w:r>
                    <w:r>
                      <w:rPr>
                        <w:rFonts w:ascii="Arial"/>
                        <w:b/>
                        <w:color w:val="CE384B"/>
                        <w:sz w:val="21"/>
                      </w:rPr>
                      <w:t>the</w:t>
                    </w:r>
                    <w:r>
                      <w:rPr>
                        <w:rFonts w:ascii="Arial"/>
                        <w:b/>
                        <w:color w:val="CE384B"/>
                        <w:spacing w:val="-2"/>
                        <w:sz w:val="21"/>
                      </w:rPr>
                      <w:t> </w:t>
                    </w:r>
                    <w:r>
                      <w:rPr>
                        <w:rFonts w:ascii="Arial"/>
                        <w:b/>
                        <w:color w:val="CE384B"/>
                        <w:sz w:val="21"/>
                      </w:rPr>
                      <w:t>Program</w:t>
                    </w:r>
                  </w:p>
                  <w:p>
                    <w:pPr>
                      <w:numPr>
                        <w:ilvl w:val="0"/>
                        <w:numId w:val="25"/>
                      </w:numPr>
                      <w:tabs>
                        <w:tab w:pos="539" w:val="left" w:leader="none"/>
                        <w:tab w:pos="540" w:val="left" w:leader="none"/>
                      </w:tabs>
                      <w:spacing w:before="137"/>
                      <w:ind w:left="539" w:right="0" w:hanging="360"/>
                      <w:jc w:val="left"/>
                      <w:rPr>
                        <w:rFonts w:ascii="Arial"/>
                        <w:sz w:val="21"/>
                      </w:rPr>
                    </w:pPr>
                    <w:hyperlink r:id="rId340">
                      <w:r>
                        <w:rPr>
                          <w:rFonts w:ascii="Arial"/>
                          <w:color w:val="3953A4"/>
                          <w:sz w:val="21"/>
                          <w:u w:val="single" w:color="3953A4"/>
                        </w:rPr>
                        <w:t>Program</w:t>
                      </w:r>
                      <w:r>
                        <w:rPr>
                          <w:rFonts w:ascii="Arial"/>
                          <w:color w:val="3953A4"/>
                          <w:spacing w:val="-5"/>
                          <w:sz w:val="21"/>
                          <w:u w:val="single" w:color="3953A4"/>
                        </w:rPr>
                        <w:t> </w:t>
                      </w:r>
                      <w:r>
                        <w:rPr>
                          <w:rFonts w:ascii="Arial"/>
                          <w:color w:val="3953A4"/>
                          <w:sz w:val="21"/>
                          <w:u w:val="single" w:color="3953A4"/>
                        </w:rPr>
                        <w:t>Website</w:t>
                      </w:r>
                    </w:hyperlink>
                  </w:p>
                  <w:p>
                    <w:pPr>
                      <w:numPr>
                        <w:ilvl w:val="0"/>
                        <w:numId w:val="25"/>
                      </w:numPr>
                      <w:tabs>
                        <w:tab w:pos="539" w:val="left" w:leader="none"/>
                        <w:tab w:pos="540" w:val="left" w:leader="none"/>
                      </w:tabs>
                      <w:spacing w:before="139"/>
                      <w:ind w:left="539" w:right="0" w:hanging="360"/>
                      <w:jc w:val="left"/>
                      <w:rPr>
                        <w:rFonts w:ascii="Arial"/>
                        <w:sz w:val="21"/>
                      </w:rPr>
                    </w:pPr>
                    <w:hyperlink r:id="rId217">
                      <w:r>
                        <w:rPr>
                          <w:rFonts w:ascii="Arial"/>
                          <w:color w:val="3953A4"/>
                          <w:sz w:val="21"/>
                          <w:u w:val="single" w:color="3953A4"/>
                        </w:rPr>
                        <w:t>Alexis Project Implementation Manual</w:t>
                      </w:r>
                      <w:r>
                        <w:rPr>
                          <w:rFonts w:ascii="Arial"/>
                          <w:color w:val="3953A4"/>
                          <w:spacing w:val="-2"/>
                          <w:sz w:val="21"/>
                          <w:u w:val="single" w:color="3953A4"/>
                        </w:rPr>
                        <w:t> </w:t>
                      </w:r>
                    </w:hyperlink>
                  </w:p>
                  <w:p>
                    <w:pPr>
                      <w:numPr>
                        <w:ilvl w:val="0"/>
                        <w:numId w:val="25"/>
                      </w:numPr>
                      <w:tabs>
                        <w:tab w:pos="539" w:val="left" w:leader="none"/>
                        <w:tab w:pos="540" w:val="left" w:leader="none"/>
                      </w:tabs>
                      <w:spacing w:line="259" w:lineRule="auto" w:before="139"/>
                      <w:ind w:left="539" w:right="203" w:hanging="360"/>
                      <w:jc w:val="left"/>
                      <w:rPr>
                        <w:rFonts w:ascii="Arial"/>
                        <w:sz w:val="21"/>
                      </w:rPr>
                    </w:pPr>
                    <w:hyperlink r:id="rId341">
                      <w:r>
                        <w:rPr>
                          <w:rFonts w:ascii="Arial"/>
                          <w:color w:val="3953A4"/>
                          <w:sz w:val="21"/>
                          <w:u w:val="single" w:color="3953A4"/>
                        </w:rPr>
                        <w:t>SPNS Initiative: Enhancing Engagement and</w:t>
                      </w:r>
                    </w:hyperlink>
                    <w:r>
                      <w:rPr>
                        <w:rFonts w:ascii="Arial"/>
                        <w:color w:val="3953A4"/>
                        <w:spacing w:val="1"/>
                        <w:sz w:val="21"/>
                      </w:rPr>
                      <w:t> </w:t>
                    </w:r>
                    <w:hyperlink r:id="rId341">
                      <w:r>
                        <w:rPr>
                          <w:rFonts w:ascii="Arial"/>
                          <w:color w:val="3953A4"/>
                          <w:sz w:val="21"/>
                          <w:u w:val="single" w:color="3953A4"/>
                        </w:rPr>
                        <w:t>Retention</w:t>
                      </w:r>
                      <w:r>
                        <w:rPr>
                          <w:rFonts w:ascii="Arial"/>
                          <w:color w:val="3953A4"/>
                          <w:spacing w:val="-5"/>
                          <w:sz w:val="21"/>
                          <w:u w:val="single" w:color="3953A4"/>
                        </w:rPr>
                        <w:t> </w:t>
                      </w:r>
                      <w:r>
                        <w:rPr>
                          <w:rFonts w:ascii="Arial"/>
                          <w:color w:val="3953A4"/>
                          <w:sz w:val="21"/>
                          <w:u w:val="single" w:color="3953A4"/>
                        </w:rPr>
                        <w:t>in</w:t>
                      </w:r>
                      <w:r>
                        <w:rPr>
                          <w:rFonts w:ascii="Arial"/>
                          <w:color w:val="3953A4"/>
                          <w:spacing w:val="-4"/>
                          <w:sz w:val="21"/>
                          <w:u w:val="single" w:color="3953A4"/>
                        </w:rPr>
                        <w:t> </w:t>
                      </w:r>
                      <w:r>
                        <w:rPr>
                          <w:rFonts w:ascii="Arial"/>
                          <w:color w:val="3953A4"/>
                          <w:sz w:val="21"/>
                          <w:u w:val="single" w:color="3953A4"/>
                        </w:rPr>
                        <w:t>Quality</w:t>
                      </w:r>
                      <w:r>
                        <w:rPr>
                          <w:rFonts w:ascii="Arial"/>
                          <w:color w:val="3953A4"/>
                          <w:spacing w:val="-4"/>
                          <w:sz w:val="21"/>
                          <w:u w:val="single" w:color="3953A4"/>
                        </w:rPr>
                        <w:t> </w:t>
                      </w:r>
                      <w:r>
                        <w:rPr>
                          <w:rFonts w:ascii="Arial"/>
                          <w:color w:val="3953A4"/>
                          <w:sz w:val="21"/>
                          <w:u w:val="single" w:color="3953A4"/>
                        </w:rPr>
                        <w:t>HIV</w:t>
                      </w:r>
                      <w:r>
                        <w:rPr>
                          <w:rFonts w:ascii="Arial"/>
                          <w:color w:val="3953A4"/>
                          <w:spacing w:val="-4"/>
                          <w:sz w:val="21"/>
                          <w:u w:val="single" w:color="3953A4"/>
                        </w:rPr>
                        <w:t> </w:t>
                      </w:r>
                      <w:r>
                        <w:rPr>
                          <w:rFonts w:ascii="Arial"/>
                          <w:color w:val="3953A4"/>
                          <w:sz w:val="21"/>
                          <w:u w:val="single" w:color="3953A4"/>
                        </w:rPr>
                        <w:t>Care</w:t>
                      </w:r>
                      <w:r>
                        <w:rPr>
                          <w:rFonts w:ascii="Arial"/>
                          <w:color w:val="3953A4"/>
                          <w:spacing w:val="-5"/>
                          <w:sz w:val="21"/>
                          <w:u w:val="single" w:color="3953A4"/>
                        </w:rPr>
                        <w:t> </w:t>
                      </w:r>
                      <w:r>
                        <w:rPr>
                          <w:rFonts w:ascii="Arial"/>
                          <w:color w:val="3953A4"/>
                          <w:sz w:val="21"/>
                          <w:u w:val="single" w:color="3953A4"/>
                        </w:rPr>
                        <w:t>for</w:t>
                      </w:r>
                      <w:r>
                        <w:rPr>
                          <w:rFonts w:ascii="Arial"/>
                          <w:color w:val="3953A4"/>
                          <w:spacing w:val="-7"/>
                          <w:sz w:val="21"/>
                          <w:u w:val="single" w:color="3953A4"/>
                        </w:rPr>
                        <w:t> </w:t>
                      </w:r>
                      <w:r>
                        <w:rPr>
                          <w:rFonts w:ascii="Arial"/>
                          <w:color w:val="3953A4"/>
                          <w:sz w:val="21"/>
                          <w:u w:val="single" w:color="3953A4"/>
                        </w:rPr>
                        <w:t>Transgender</w:t>
                      </w:r>
                    </w:hyperlink>
                    <w:r>
                      <w:rPr>
                        <w:rFonts w:ascii="Arial"/>
                        <w:color w:val="3953A4"/>
                        <w:spacing w:val="-56"/>
                        <w:sz w:val="21"/>
                      </w:rPr>
                      <w:t> </w:t>
                    </w:r>
                    <w:hyperlink r:id="rId341">
                      <w:r>
                        <w:rPr>
                          <w:rFonts w:ascii="Arial"/>
                          <w:color w:val="3953A4"/>
                          <w:sz w:val="21"/>
                          <w:u w:val="single" w:color="3953A4"/>
                        </w:rPr>
                        <w:t>Women</w:t>
                      </w:r>
                      <w:r>
                        <w:rPr>
                          <w:rFonts w:ascii="Arial"/>
                          <w:color w:val="3953A4"/>
                          <w:spacing w:val="-5"/>
                          <w:sz w:val="21"/>
                          <w:u w:val="single" w:color="3953A4"/>
                        </w:rPr>
                        <w:t> </w:t>
                      </w:r>
                      <w:r>
                        <w:rPr>
                          <w:rFonts w:ascii="Arial"/>
                          <w:color w:val="3953A4"/>
                          <w:sz w:val="21"/>
                          <w:u w:val="single" w:color="3953A4"/>
                        </w:rPr>
                        <w:t>of</w:t>
                      </w:r>
                      <w:r>
                        <w:rPr>
                          <w:rFonts w:ascii="Arial"/>
                          <w:color w:val="3953A4"/>
                          <w:spacing w:val="-4"/>
                          <w:sz w:val="21"/>
                          <w:u w:val="single" w:color="3953A4"/>
                        </w:rPr>
                        <w:t> </w:t>
                      </w:r>
                      <w:r>
                        <w:rPr>
                          <w:rFonts w:ascii="Arial"/>
                          <w:color w:val="3953A4"/>
                          <w:sz w:val="21"/>
                          <w:u w:val="single" w:color="3953A4"/>
                        </w:rPr>
                        <w:t>Color,</w:t>
                      </w:r>
                      <w:r>
                        <w:rPr>
                          <w:rFonts w:ascii="Arial"/>
                          <w:color w:val="3953A4"/>
                          <w:spacing w:val="-3"/>
                          <w:sz w:val="21"/>
                          <w:u w:val="single" w:color="3953A4"/>
                        </w:rPr>
                        <w:t> </w:t>
                      </w:r>
                      <w:r>
                        <w:rPr>
                          <w:rFonts w:ascii="Arial"/>
                          <w:color w:val="3953A4"/>
                          <w:sz w:val="21"/>
                          <w:u w:val="single" w:color="3953A4"/>
                        </w:rPr>
                        <w:t>2012-2017</w:t>
                      </w:r>
                      <w:r>
                        <w:rPr>
                          <w:rFonts w:ascii="Arial"/>
                          <w:color w:val="3953A4"/>
                          <w:spacing w:val="-4"/>
                          <w:sz w:val="21"/>
                          <w:u w:val="single" w:color="3953A4"/>
                        </w:rPr>
                        <w:t> </w:t>
                      </w:r>
                      <w:r>
                        <w:rPr>
                          <w:rFonts w:ascii="Arial"/>
                          <w:color w:val="3953A4"/>
                          <w:sz w:val="21"/>
                          <w:u w:val="single" w:color="3953A4"/>
                        </w:rPr>
                        <w:t>background</w:t>
                      </w:r>
                      <w:r>
                        <w:rPr>
                          <w:rFonts w:ascii="Arial"/>
                          <w:color w:val="3953A4"/>
                          <w:spacing w:val="1"/>
                          <w:sz w:val="21"/>
                          <w:u w:val="single" w:color="3953A4"/>
                        </w:rPr>
                        <w:t> </w:t>
                      </w:r>
                    </w:hyperlink>
                  </w:p>
                  <w:p>
                    <w:pPr>
                      <w:numPr>
                        <w:ilvl w:val="0"/>
                        <w:numId w:val="25"/>
                      </w:numPr>
                      <w:tabs>
                        <w:tab w:pos="539" w:val="left" w:leader="none"/>
                        <w:tab w:pos="540" w:val="left" w:leader="none"/>
                      </w:tabs>
                      <w:spacing w:line="259" w:lineRule="auto" w:before="117"/>
                      <w:ind w:left="539" w:right="202" w:hanging="360"/>
                      <w:jc w:val="left"/>
                      <w:rPr>
                        <w:rFonts w:ascii="Arial"/>
                        <w:sz w:val="21"/>
                      </w:rPr>
                    </w:pPr>
                    <w:hyperlink r:id="rId342">
                      <w:r>
                        <w:rPr>
                          <w:rFonts w:ascii="Arial"/>
                          <w:color w:val="3953A4"/>
                          <w:sz w:val="21"/>
                          <w:u w:val="single" w:color="3953A4"/>
                        </w:rPr>
                        <w:t>Reback, C.J., Kisler, K.A., &amp; Fletcher, J.B.</w:t>
                      </w:r>
                    </w:hyperlink>
                    <w:r>
                      <w:rPr>
                        <w:rFonts w:ascii="Arial"/>
                        <w:color w:val="3953A4"/>
                        <w:spacing w:val="1"/>
                        <w:sz w:val="21"/>
                      </w:rPr>
                      <w:t> </w:t>
                    </w:r>
                    <w:hyperlink r:id="rId342">
                      <w:r>
                        <w:rPr>
                          <w:rFonts w:ascii="Arial"/>
                          <w:color w:val="3953A4"/>
                          <w:sz w:val="21"/>
                          <w:u w:val="single" w:color="3953A4"/>
                        </w:rPr>
                        <w:t>(2019). A novel adaptation of peer health</w:t>
                      </w:r>
                    </w:hyperlink>
                    <w:r>
                      <w:rPr>
                        <w:rFonts w:ascii="Arial"/>
                        <w:color w:val="3953A4"/>
                        <w:spacing w:val="1"/>
                        <w:sz w:val="21"/>
                      </w:rPr>
                      <w:t> </w:t>
                    </w:r>
                    <w:hyperlink r:id="rId342">
                      <w:r>
                        <w:rPr>
                          <w:rFonts w:ascii="Arial"/>
                          <w:color w:val="3953A4"/>
                          <w:sz w:val="21"/>
                          <w:u w:val="single" w:color="3953A4"/>
                        </w:rPr>
                        <w:t>navigation and contingency management for</w:t>
                      </w:r>
                    </w:hyperlink>
                    <w:r>
                      <w:rPr>
                        <w:rFonts w:ascii="Arial"/>
                        <w:color w:val="3953A4"/>
                        <w:spacing w:val="1"/>
                        <w:sz w:val="21"/>
                      </w:rPr>
                      <w:t> </w:t>
                    </w:r>
                    <w:hyperlink r:id="rId342">
                      <w:r>
                        <w:rPr>
                          <w:rFonts w:ascii="Arial"/>
                          <w:color w:val="3953A4"/>
                          <w:sz w:val="21"/>
                          <w:u w:val="single" w:color="3953A4"/>
                        </w:rPr>
                        <w:t>advancement along the HIV care continuum</w:t>
                      </w:r>
                    </w:hyperlink>
                    <w:r>
                      <w:rPr>
                        <w:rFonts w:ascii="Arial"/>
                        <w:color w:val="3953A4"/>
                        <w:spacing w:val="1"/>
                        <w:sz w:val="21"/>
                      </w:rPr>
                      <w:t> </w:t>
                    </w:r>
                    <w:hyperlink r:id="rId342">
                      <w:r>
                        <w:rPr>
                          <w:rFonts w:ascii="Arial"/>
                          <w:color w:val="3953A4"/>
                          <w:spacing w:val="-1"/>
                          <w:sz w:val="21"/>
                          <w:u w:val="single" w:color="3953A4"/>
                        </w:rPr>
                        <w:t>among</w:t>
                      </w:r>
                      <w:r>
                        <w:rPr>
                          <w:rFonts w:ascii="Arial"/>
                          <w:color w:val="3953A4"/>
                          <w:spacing w:val="-5"/>
                          <w:sz w:val="21"/>
                          <w:u w:val="single" w:color="3953A4"/>
                        </w:rPr>
                        <w:t> </w:t>
                      </w:r>
                      <w:r>
                        <w:rPr>
                          <w:rFonts w:ascii="Arial"/>
                          <w:color w:val="3953A4"/>
                          <w:sz w:val="21"/>
                          <w:u w:val="single" w:color="3953A4"/>
                        </w:rPr>
                        <w:t>transgender</w:t>
                      </w:r>
                      <w:r>
                        <w:rPr>
                          <w:rFonts w:ascii="Arial"/>
                          <w:color w:val="3953A4"/>
                          <w:spacing w:val="-3"/>
                          <w:sz w:val="21"/>
                          <w:u w:val="single" w:color="3953A4"/>
                        </w:rPr>
                        <w:t> </w:t>
                      </w:r>
                      <w:r>
                        <w:rPr>
                          <w:rFonts w:ascii="Arial"/>
                          <w:color w:val="3953A4"/>
                          <w:sz w:val="21"/>
                          <w:u w:val="single" w:color="3953A4"/>
                        </w:rPr>
                        <w:t>women</w:t>
                      </w:r>
                      <w:r>
                        <w:rPr>
                          <w:rFonts w:ascii="Arial"/>
                          <w:color w:val="3953A4"/>
                          <w:spacing w:val="-4"/>
                          <w:sz w:val="21"/>
                          <w:u w:val="single" w:color="3953A4"/>
                        </w:rPr>
                        <w:t> </w:t>
                      </w:r>
                      <w:r>
                        <w:rPr>
                          <w:rFonts w:ascii="Arial"/>
                          <w:color w:val="3953A4"/>
                          <w:sz w:val="21"/>
                          <w:u w:val="single" w:color="3953A4"/>
                        </w:rPr>
                        <w:t>of</w:t>
                      </w:r>
                      <w:r>
                        <w:rPr>
                          <w:rFonts w:ascii="Arial"/>
                          <w:color w:val="3953A4"/>
                          <w:spacing w:val="-4"/>
                          <w:sz w:val="21"/>
                          <w:u w:val="single" w:color="3953A4"/>
                        </w:rPr>
                        <w:t> </w:t>
                      </w:r>
                      <w:r>
                        <w:rPr>
                          <w:rFonts w:ascii="Arial"/>
                          <w:color w:val="3953A4"/>
                          <w:sz w:val="21"/>
                          <w:u w:val="single" w:color="3953A4"/>
                        </w:rPr>
                        <w:t>color.</w:t>
                      </w:r>
                      <w:r>
                        <w:rPr>
                          <w:rFonts w:ascii="Arial"/>
                          <w:color w:val="3953A4"/>
                          <w:spacing w:val="-14"/>
                          <w:sz w:val="21"/>
                          <w:u w:val="single" w:color="3953A4"/>
                        </w:rPr>
                        <w:t> </w:t>
                      </w:r>
                      <w:r>
                        <w:rPr>
                          <w:rFonts w:ascii="Arial"/>
                          <w:color w:val="3953A4"/>
                          <w:sz w:val="21"/>
                          <w:u w:val="single" w:color="3953A4"/>
                        </w:rPr>
                        <w:t>AIDS</w:t>
                      </w:r>
                      <w:r>
                        <w:rPr>
                          <w:rFonts w:ascii="Arial"/>
                          <w:color w:val="3953A4"/>
                          <w:spacing w:val="-3"/>
                          <w:sz w:val="21"/>
                          <w:u w:val="single" w:color="3953A4"/>
                        </w:rPr>
                        <w:t> </w:t>
                      </w:r>
                      <w:r>
                        <w:rPr>
                          <w:rFonts w:ascii="Arial"/>
                          <w:color w:val="3953A4"/>
                          <w:sz w:val="21"/>
                          <w:u w:val="single" w:color="3953A4"/>
                        </w:rPr>
                        <w:t>and</w:t>
                      </w:r>
                    </w:hyperlink>
                    <w:r>
                      <w:rPr>
                        <w:rFonts w:ascii="Arial"/>
                        <w:color w:val="3953A4"/>
                        <w:spacing w:val="-56"/>
                        <w:sz w:val="21"/>
                      </w:rPr>
                      <w:t> </w:t>
                    </w:r>
                    <w:hyperlink r:id="rId342">
                      <w:r>
                        <w:rPr>
                          <w:rFonts w:ascii="Arial"/>
                          <w:color w:val="3953A4"/>
                          <w:spacing w:val="-1"/>
                          <w:sz w:val="21"/>
                          <w:u w:val="single" w:color="3953A4"/>
                        </w:rPr>
                        <w:t>Behavior. https://doi.org/10.1007/s10461-019-</w:t>
                      </w:r>
                    </w:hyperlink>
                    <w:r>
                      <w:rPr>
                        <w:rFonts w:ascii="Arial"/>
                        <w:color w:val="3953A4"/>
                        <w:sz w:val="21"/>
                      </w:rPr>
                      <w:t> </w:t>
                    </w:r>
                    <w:hyperlink r:id="rId342">
                      <w:r>
                        <w:rPr>
                          <w:rFonts w:ascii="Arial"/>
                          <w:color w:val="3953A4"/>
                          <w:sz w:val="21"/>
                          <w:u w:val="single" w:color="3953A4"/>
                        </w:rPr>
                        <w:t>02554-0 </w:t>
                      </w:r>
                    </w:hyperlink>
                  </w:p>
                </w:txbxContent>
              </v:textbox>
              <w10:wrap type="none"/>
            </v:shape>
          </v:group>
        </w:pict>
      </w:r>
      <w:r>
        <w:rPr>
          <w:sz w:val="20"/>
        </w:rPr>
      </w:r>
    </w:p>
    <w:p>
      <w:pPr>
        <w:pStyle w:val="ListParagraph"/>
        <w:numPr>
          <w:ilvl w:val="0"/>
          <w:numId w:val="22"/>
        </w:numPr>
        <w:tabs>
          <w:tab w:pos="519" w:val="left" w:leader="none"/>
          <w:tab w:pos="520" w:val="left" w:leader="none"/>
        </w:tabs>
        <w:spacing w:line="249" w:lineRule="auto" w:before="172" w:after="0"/>
        <w:ind w:left="519" w:right="869" w:hanging="360"/>
        <w:jc w:val="left"/>
        <w:rPr>
          <w:sz w:val="22"/>
        </w:rPr>
      </w:pPr>
      <w:r>
        <w:rPr>
          <w:color w:val="010202"/>
          <w:sz w:val="22"/>
        </w:rPr>
        <w:t>Participants receive increasingly valuable</w:t>
      </w:r>
      <w:r>
        <w:rPr>
          <w:color w:val="010202"/>
          <w:spacing w:val="1"/>
          <w:sz w:val="22"/>
        </w:rPr>
        <w:t> </w:t>
      </w:r>
      <w:r>
        <w:rPr>
          <w:color w:val="010202"/>
          <w:sz w:val="22"/>
        </w:rPr>
        <w:t>reinforcers in the form of CM reward points,</w:t>
      </w:r>
      <w:r>
        <w:rPr>
          <w:color w:val="010202"/>
          <w:spacing w:val="1"/>
          <w:sz w:val="22"/>
        </w:rPr>
        <w:t> </w:t>
      </w:r>
      <w:r>
        <w:rPr>
          <w:color w:val="010202"/>
          <w:sz w:val="22"/>
        </w:rPr>
        <w:t>which are redeemable for goods or services</w:t>
      </w:r>
      <w:r>
        <w:rPr>
          <w:color w:val="010202"/>
          <w:spacing w:val="1"/>
          <w:sz w:val="22"/>
        </w:rPr>
        <w:t> </w:t>
      </w:r>
      <w:r>
        <w:rPr>
          <w:color w:val="010202"/>
          <w:sz w:val="22"/>
        </w:rPr>
        <w:t>that</w:t>
      </w:r>
      <w:r>
        <w:rPr>
          <w:color w:val="010202"/>
          <w:spacing w:val="-5"/>
          <w:sz w:val="22"/>
        </w:rPr>
        <w:t> </w:t>
      </w:r>
      <w:r>
        <w:rPr>
          <w:color w:val="010202"/>
          <w:sz w:val="22"/>
        </w:rPr>
        <w:t>promote</w:t>
      </w:r>
      <w:r>
        <w:rPr>
          <w:color w:val="010202"/>
          <w:spacing w:val="-5"/>
          <w:sz w:val="22"/>
        </w:rPr>
        <w:t> </w:t>
      </w:r>
      <w:r>
        <w:rPr>
          <w:color w:val="010202"/>
          <w:sz w:val="22"/>
        </w:rPr>
        <w:t>a</w:t>
      </w:r>
      <w:r>
        <w:rPr>
          <w:color w:val="010202"/>
          <w:spacing w:val="-5"/>
          <w:sz w:val="22"/>
        </w:rPr>
        <w:t> </w:t>
      </w:r>
      <w:r>
        <w:rPr>
          <w:color w:val="010202"/>
          <w:sz w:val="22"/>
        </w:rPr>
        <w:t>healthy,</w:t>
      </w:r>
      <w:r>
        <w:rPr>
          <w:color w:val="010202"/>
          <w:spacing w:val="-5"/>
          <w:sz w:val="22"/>
        </w:rPr>
        <w:t> </w:t>
      </w:r>
      <w:r>
        <w:rPr>
          <w:color w:val="010202"/>
          <w:sz w:val="22"/>
        </w:rPr>
        <w:t>prosocial</w:t>
      </w:r>
      <w:r>
        <w:rPr>
          <w:color w:val="010202"/>
          <w:spacing w:val="-4"/>
          <w:sz w:val="22"/>
        </w:rPr>
        <w:t> </w:t>
      </w:r>
      <w:r>
        <w:rPr>
          <w:color w:val="010202"/>
          <w:sz w:val="22"/>
        </w:rPr>
        <w:t>lifestyle</w:t>
      </w:r>
      <w:r>
        <w:rPr>
          <w:color w:val="010202"/>
          <w:spacing w:val="-5"/>
          <w:sz w:val="22"/>
        </w:rPr>
        <w:t> </w:t>
      </w:r>
      <w:r>
        <w:rPr>
          <w:color w:val="010202"/>
          <w:sz w:val="22"/>
        </w:rPr>
        <w:t>(e.g.,</w:t>
      </w:r>
      <w:r>
        <w:rPr>
          <w:color w:val="010202"/>
          <w:spacing w:val="-52"/>
          <w:sz w:val="22"/>
        </w:rPr>
        <w:t> </w:t>
      </w:r>
      <w:r>
        <w:rPr>
          <w:color w:val="010202"/>
          <w:sz w:val="22"/>
        </w:rPr>
        <w:t>gift cards, bus tickets, payment of a utility bill,</w:t>
      </w:r>
      <w:r>
        <w:rPr>
          <w:color w:val="010202"/>
          <w:spacing w:val="-52"/>
          <w:sz w:val="22"/>
        </w:rPr>
        <w:t> </w:t>
      </w:r>
      <w:r>
        <w:rPr>
          <w:color w:val="010202"/>
          <w:sz w:val="22"/>
        </w:rPr>
        <w:t>clothing).</w:t>
      </w:r>
    </w:p>
    <w:p>
      <w:pPr>
        <w:pStyle w:val="ListParagraph"/>
        <w:numPr>
          <w:ilvl w:val="0"/>
          <w:numId w:val="22"/>
        </w:numPr>
        <w:tabs>
          <w:tab w:pos="519" w:val="left" w:leader="none"/>
          <w:tab w:pos="520" w:val="left" w:leader="none"/>
        </w:tabs>
        <w:spacing w:line="249" w:lineRule="auto" w:before="0" w:after="0"/>
        <w:ind w:left="519" w:right="949" w:hanging="360"/>
        <w:jc w:val="left"/>
        <w:rPr>
          <w:sz w:val="22"/>
        </w:rPr>
      </w:pPr>
      <w:r>
        <w:rPr>
          <w:color w:val="010202"/>
          <w:sz w:val="22"/>
        </w:rPr>
        <w:t>Increasingly valuable reinforcers serve as</w:t>
      </w:r>
      <w:r>
        <w:rPr>
          <w:color w:val="010202"/>
          <w:spacing w:val="1"/>
          <w:sz w:val="22"/>
        </w:rPr>
        <w:t> </w:t>
      </w:r>
      <w:r>
        <w:rPr>
          <w:color w:val="010202"/>
          <w:sz w:val="22"/>
        </w:rPr>
        <w:t>motivators</w:t>
      </w:r>
      <w:r>
        <w:rPr>
          <w:color w:val="010202"/>
          <w:spacing w:val="-3"/>
          <w:sz w:val="22"/>
        </w:rPr>
        <w:t> </w:t>
      </w:r>
      <w:r>
        <w:rPr>
          <w:color w:val="010202"/>
          <w:sz w:val="22"/>
        </w:rPr>
        <w:t>for</w:t>
      </w:r>
      <w:r>
        <w:rPr>
          <w:color w:val="010202"/>
          <w:spacing w:val="-3"/>
          <w:sz w:val="22"/>
        </w:rPr>
        <w:t> </w:t>
      </w:r>
      <w:r>
        <w:rPr>
          <w:color w:val="010202"/>
          <w:sz w:val="22"/>
        </w:rPr>
        <w:t>HIV</w:t>
      </w:r>
      <w:r>
        <w:rPr>
          <w:color w:val="010202"/>
          <w:spacing w:val="-7"/>
          <w:sz w:val="22"/>
        </w:rPr>
        <w:t> </w:t>
      </w:r>
      <w:r>
        <w:rPr>
          <w:color w:val="010202"/>
          <w:sz w:val="22"/>
        </w:rPr>
        <w:t>care-seeking</w:t>
      </w:r>
      <w:r>
        <w:rPr>
          <w:color w:val="010202"/>
          <w:spacing w:val="-3"/>
          <w:sz w:val="22"/>
        </w:rPr>
        <w:t> </w:t>
      </w:r>
      <w:r>
        <w:rPr>
          <w:color w:val="010202"/>
          <w:sz w:val="22"/>
        </w:rPr>
        <w:t>behavior</w:t>
      </w:r>
      <w:r>
        <w:rPr>
          <w:color w:val="010202"/>
          <w:spacing w:val="-2"/>
          <w:sz w:val="22"/>
        </w:rPr>
        <w:t> </w:t>
      </w:r>
      <w:r>
        <w:rPr>
          <w:color w:val="010202"/>
          <w:sz w:val="22"/>
        </w:rPr>
        <w:t>and</w:t>
      </w:r>
      <w:r>
        <w:rPr>
          <w:color w:val="010202"/>
          <w:spacing w:val="-52"/>
          <w:sz w:val="22"/>
        </w:rPr>
        <w:t> </w:t>
      </w:r>
      <w:r>
        <w:rPr>
          <w:color w:val="010202"/>
          <w:sz w:val="22"/>
        </w:rPr>
        <w:t>are specifically awarded to participants for</w:t>
      </w:r>
      <w:r>
        <w:rPr>
          <w:color w:val="010202"/>
          <w:spacing w:val="1"/>
          <w:sz w:val="22"/>
        </w:rPr>
        <w:t> </w:t>
      </w:r>
      <w:r>
        <w:rPr>
          <w:color w:val="010202"/>
          <w:sz w:val="22"/>
        </w:rPr>
        <w:t>attending HIV care visits and reaching and</w:t>
      </w:r>
      <w:r>
        <w:rPr>
          <w:color w:val="010202"/>
          <w:spacing w:val="1"/>
          <w:sz w:val="22"/>
        </w:rPr>
        <w:t> </w:t>
      </w:r>
      <w:r>
        <w:rPr>
          <w:color w:val="010202"/>
          <w:sz w:val="22"/>
        </w:rPr>
        <w:t>maintaining</w:t>
      </w:r>
      <w:r>
        <w:rPr>
          <w:color w:val="010202"/>
          <w:spacing w:val="-1"/>
          <w:sz w:val="22"/>
        </w:rPr>
        <w:t> </w:t>
      </w:r>
      <w:r>
        <w:rPr>
          <w:color w:val="010202"/>
          <w:sz w:val="22"/>
        </w:rPr>
        <w:t>HIV</w:t>
      </w:r>
      <w:r>
        <w:rPr>
          <w:color w:val="010202"/>
          <w:spacing w:val="-5"/>
          <w:sz w:val="22"/>
        </w:rPr>
        <w:t> </w:t>
      </w:r>
      <w:r>
        <w:rPr>
          <w:color w:val="010202"/>
          <w:sz w:val="22"/>
        </w:rPr>
        <w:t>milestones.</w:t>
      </w:r>
    </w:p>
    <w:p>
      <w:pPr>
        <w:spacing w:after="0" w:line="249" w:lineRule="auto"/>
        <w:jc w:val="left"/>
        <w:rPr>
          <w:sz w:val="22"/>
        </w:rPr>
        <w:sectPr>
          <w:type w:val="continuous"/>
          <w:pgSz w:w="12240" w:h="15840"/>
          <w:pgMar w:header="0" w:footer="666" w:top="1500" w:bottom="0" w:left="560" w:right="0"/>
          <w:cols w:num="2" w:equalWidth="0">
            <w:col w:w="5228" w:space="920"/>
            <w:col w:w="5532"/>
          </w:cols>
        </w:sectPr>
      </w:pPr>
    </w:p>
    <w:p>
      <w:pPr>
        <w:pStyle w:val="BodyText"/>
        <w:rPr>
          <w:sz w:val="20"/>
        </w:rPr>
      </w:pPr>
    </w:p>
    <w:p>
      <w:pPr>
        <w:pStyle w:val="BodyText"/>
        <w:rPr>
          <w:sz w:val="20"/>
        </w:rPr>
      </w:pPr>
    </w:p>
    <w:p>
      <w:pPr>
        <w:spacing w:after="0"/>
        <w:rPr>
          <w:sz w:val="20"/>
        </w:rPr>
        <w:sectPr>
          <w:pgSz w:w="12240" w:h="15840"/>
          <w:pgMar w:header="0" w:footer="666" w:top="380" w:bottom="860" w:left="560" w:right="0"/>
        </w:sectPr>
      </w:pPr>
    </w:p>
    <w:p>
      <w:pPr>
        <w:pStyle w:val="BodyText"/>
        <w:spacing w:before="7"/>
      </w:pPr>
    </w:p>
    <w:p>
      <w:pPr>
        <w:pStyle w:val="Heading6"/>
      </w:pPr>
      <w:bookmarkStart w:name="Findings and Outcomes" w:id="131"/>
      <w:bookmarkEnd w:id="131"/>
      <w:r>
        <w:rPr>
          <w:b w:val="0"/>
        </w:rPr>
      </w:r>
      <w:bookmarkStart w:name="Lessons Learned" w:id="132"/>
      <w:bookmarkEnd w:id="132"/>
      <w:r>
        <w:rPr>
          <w:b w:val="0"/>
        </w:rPr>
      </w:r>
      <w:r>
        <w:rPr>
          <w:color w:val="CE384B"/>
        </w:rPr>
        <w:t>Findings</w:t>
      </w:r>
      <w:r>
        <w:rPr>
          <w:color w:val="CE384B"/>
          <w:spacing w:val="-1"/>
        </w:rPr>
        <w:t> </w:t>
      </w:r>
      <w:r>
        <w:rPr>
          <w:color w:val="CE384B"/>
        </w:rPr>
        <w:t>and</w:t>
      </w:r>
      <w:r>
        <w:rPr>
          <w:color w:val="CE384B"/>
          <w:spacing w:val="-2"/>
        </w:rPr>
        <w:t> </w:t>
      </w:r>
      <w:r>
        <w:rPr>
          <w:color w:val="CE384B"/>
        </w:rPr>
        <w:t>Outcomes</w:t>
      </w:r>
    </w:p>
    <w:p>
      <w:pPr>
        <w:pStyle w:val="ListParagraph"/>
        <w:numPr>
          <w:ilvl w:val="1"/>
          <w:numId w:val="22"/>
        </w:numPr>
        <w:tabs>
          <w:tab w:pos="879" w:val="left" w:leader="none"/>
          <w:tab w:pos="880" w:val="left" w:leader="none"/>
        </w:tabs>
        <w:spacing w:line="249" w:lineRule="auto" w:before="86" w:after="0"/>
        <w:ind w:left="879" w:right="267" w:hanging="360"/>
        <w:jc w:val="left"/>
        <w:rPr>
          <w:sz w:val="22"/>
        </w:rPr>
      </w:pPr>
      <w:r>
        <w:rPr>
          <w:color w:val="010202"/>
          <w:sz w:val="22"/>
        </w:rPr>
        <w:t>Combined PHN and CM intervention was</w:t>
      </w:r>
      <w:r>
        <w:rPr>
          <w:color w:val="010202"/>
          <w:spacing w:val="1"/>
          <w:sz w:val="22"/>
        </w:rPr>
        <w:t> </w:t>
      </w:r>
      <w:r>
        <w:rPr>
          <w:color w:val="010202"/>
          <w:sz w:val="22"/>
        </w:rPr>
        <w:t>found</w:t>
      </w:r>
      <w:r>
        <w:rPr>
          <w:color w:val="010202"/>
          <w:spacing w:val="-3"/>
          <w:sz w:val="22"/>
        </w:rPr>
        <w:t> </w:t>
      </w:r>
      <w:r>
        <w:rPr>
          <w:color w:val="010202"/>
          <w:sz w:val="22"/>
        </w:rPr>
        <w:t>to</w:t>
      </w:r>
      <w:r>
        <w:rPr>
          <w:color w:val="010202"/>
          <w:spacing w:val="-3"/>
          <w:sz w:val="22"/>
        </w:rPr>
        <w:t> </w:t>
      </w:r>
      <w:r>
        <w:rPr>
          <w:color w:val="010202"/>
          <w:sz w:val="22"/>
        </w:rPr>
        <w:t>be</w:t>
      </w:r>
      <w:r>
        <w:rPr>
          <w:color w:val="010202"/>
          <w:spacing w:val="-3"/>
          <w:sz w:val="22"/>
        </w:rPr>
        <w:t> </w:t>
      </w:r>
      <w:r>
        <w:rPr>
          <w:color w:val="010202"/>
          <w:sz w:val="22"/>
        </w:rPr>
        <w:t>effective</w:t>
      </w:r>
      <w:r>
        <w:rPr>
          <w:color w:val="010202"/>
          <w:spacing w:val="-2"/>
          <w:sz w:val="22"/>
        </w:rPr>
        <w:t> </w:t>
      </w:r>
      <w:r>
        <w:rPr>
          <w:color w:val="010202"/>
          <w:sz w:val="22"/>
        </w:rPr>
        <w:t>in</w:t>
      </w:r>
      <w:r>
        <w:rPr>
          <w:color w:val="010202"/>
          <w:spacing w:val="-3"/>
          <w:sz w:val="22"/>
        </w:rPr>
        <w:t> </w:t>
      </w:r>
      <w:r>
        <w:rPr>
          <w:color w:val="010202"/>
          <w:sz w:val="22"/>
        </w:rPr>
        <w:t>linking</w:t>
      </w:r>
      <w:r>
        <w:rPr>
          <w:color w:val="010202"/>
          <w:spacing w:val="-3"/>
          <w:sz w:val="22"/>
        </w:rPr>
        <w:t> </w:t>
      </w:r>
      <w:r>
        <w:rPr>
          <w:color w:val="010202"/>
          <w:sz w:val="22"/>
        </w:rPr>
        <w:t>and</w:t>
      </w:r>
      <w:r>
        <w:rPr>
          <w:color w:val="010202"/>
          <w:spacing w:val="-3"/>
          <w:sz w:val="22"/>
        </w:rPr>
        <w:t> </w:t>
      </w:r>
      <w:r>
        <w:rPr>
          <w:color w:val="010202"/>
          <w:sz w:val="22"/>
        </w:rPr>
        <w:t>retaining</w:t>
      </w:r>
      <w:r>
        <w:rPr>
          <w:color w:val="010202"/>
          <w:spacing w:val="-52"/>
          <w:sz w:val="22"/>
        </w:rPr>
        <w:t> </w:t>
      </w:r>
      <w:r>
        <w:rPr>
          <w:color w:val="010202"/>
          <w:sz w:val="22"/>
        </w:rPr>
        <w:t>transgender</w:t>
      </w:r>
      <w:r>
        <w:rPr>
          <w:color w:val="010202"/>
          <w:spacing w:val="-1"/>
          <w:sz w:val="22"/>
        </w:rPr>
        <w:t> </w:t>
      </w:r>
      <w:r>
        <w:rPr>
          <w:color w:val="010202"/>
          <w:sz w:val="22"/>
        </w:rPr>
        <w:t>women</w:t>
      </w:r>
      <w:r>
        <w:rPr>
          <w:color w:val="010202"/>
          <w:spacing w:val="-1"/>
          <w:sz w:val="22"/>
        </w:rPr>
        <w:t> </w:t>
      </w:r>
      <w:r>
        <w:rPr>
          <w:color w:val="010202"/>
          <w:sz w:val="22"/>
        </w:rPr>
        <w:t>of</w:t>
      </w:r>
      <w:r>
        <w:rPr>
          <w:color w:val="010202"/>
          <w:spacing w:val="-1"/>
          <w:sz w:val="22"/>
        </w:rPr>
        <w:t> </w:t>
      </w:r>
      <w:r>
        <w:rPr>
          <w:color w:val="010202"/>
          <w:sz w:val="22"/>
        </w:rPr>
        <w:t>color in</w:t>
      </w:r>
      <w:r>
        <w:rPr>
          <w:color w:val="010202"/>
          <w:spacing w:val="-1"/>
          <w:sz w:val="22"/>
        </w:rPr>
        <w:t> </w:t>
      </w:r>
      <w:r>
        <w:rPr>
          <w:color w:val="010202"/>
          <w:sz w:val="22"/>
        </w:rPr>
        <w:t>HIV</w:t>
      </w:r>
      <w:r>
        <w:rPr>
          <w:color w:val="010202"/>
          <w:spacing w:val="-5"/>
          <w:sz w:val="22"/>
        </w:rPr>
        <w:t> </w:t>
      </w:r>
      <w:r>
        <w:rPr>
          <w:color w:val="010202"/>
          <w:sz w:val="22"/>
        </w:rPr>
        <w:t>care.</w:t>
      </w:r>
    </w:p>
    <w:p>
      <w:pPr>
        <w:pStyle w:val="ListParagraph"/>
        <w:numPr>
          <w:ilvl w:val="1"/>
          <w:numId w:val="22"/>
        </w:numPr>
        <w:tabs>
          <w:tab w:pos="879" w:val="left" w:leader="none"/>
          <w:tab w:pos="880" w:val="left" w:leader="none"/>
        </w:tabs>
        <w:spacing w:line="255" w:lineRule="exact" w:before="0" w:after="0"/>
        <w:ind w:left="879" w:right="0" w:hanging="361"/>
        <w:jc w:val="left"/>
        <w:rPr>
          <w:sz w:val="22"/>
        </w:rPr>
      </w:pPr>
      <w:r>
        <w:rPr>
          <w:color w:val="010202"/>
          <w:sz w:val="22"/>
        </w:rPr>
        <w:t>Average</w:t>
      </w:r>
      <w:r>
        <w:rPr>
          <w:color w:val="010202"/>
          <w:spacing w:val="-3"/>
          <w:sz w:val="22"/>
        </w:rPr>
        <w:t> </w:t>
      </w:r>
      <w:r>
        <w:rPr>
          <w:color w:val="010202"/>
          <w:sz w:val="22"/>
        </w:rPr>
        <w:t>time</w:t>
      </w:r>
      <w:r>
        <w:rPr>
          <w:color w:val="010202"/>
          <w:spacing w:val="-3"/>
          <w:sz w:val="22"/>
        </w:rPr>
        <w:t> </w:t>
      </w:r>
      <w:r>
        <w:rPr>
          <w:color w:val="010202"/>
          <w:sz w:val="22"/>
        </w:rPr>
        <w:t>from</w:t>
      </w:r>
      <w:r>
        <w:rPr>
          <w:color w:val="010202"/>
          <w:spacing w:val="-3"/>
          <w:sz w:val="22"/>
        </w:rPr>
        <w:t> </w:t>
      </w:r>
      <w:r>
        <w:rPr>
          <w:color w:val="010202"/>
          <w:sz w:val="22"/>
        </w:rPr>
        <w:t>enrollment</w:t>
      </w:r>
      <w:r>
        <w:rPr>
          <w:color w:val="010202"/>
          <w:spacing w:val="-3"/>
          <w:sz w:val="22"/>
        </w:rPr>
        <w:t> </w:t>
      </w:r>
      <w:r>
        <w:rPr>
          <w:color w:val="010202"/>
          <w:sz w:val="22"/>
        </w:rPr>
        <w:t>to</w:t>
      </w:r>
      <w:r>
        <w:rPr>
          <w:color w:val="010202"/>
          <w:spacing w:val="-3"/>
          <w:sz w:val="22"/>
        </w:rPr>
        <w:t> </w:t>
      </w:r>
      <w:r>
        <w:rPr>
          <w:color w:val="010202"/>
          <w:sz w:val="22"/>
        </w:rPr>
        <w:t>linkage</w:t>
      </w:r>
      <w:r>
        <w:rPr>
          <w:color w:val="010202"/>
          <w:spacing w:val="-3"/>
          <w:sz w:val="22"/>
        </w:rPr>
        <w:t> </w:t>
      </w:r>
      <w:r>
        <w:rPr>
          <w:color w:val="010202"/>
          <w:sz w:val="22"/>
        </w:rPr>
        <w:t>with</w:t>
      </w:r>
    </w:p>
    <w:p>
      <w:pPr>
        <w:pStyle w:val="BodyText"/>
        <w:spacing w:line="251" w:lineRule="exact" w:before="10"/>
        <w:ind w:left="879"/>
      </w:pPr>
      <w:r>
        <w:rPr>
          <w:color w:val="010202"/>
        </w:rPr>
        <w:t>HIV</w:t>
      </w:r>
      <w:r>
        <w:rPr>
          <w:color w:val="010202"/>
          <w:spacing w:val="-5"/>
        </w:rPr>
        <w:t> </w:t>
      </w:r>
      <w:r>
        <w:rPr>
          <w:color w:val="010202"/>
        </w:rPr>
        <w:t>care</w:t>
      </w:r>
      <w:r>
        <w:rPr>
          <w:color w:val="010202"/>
          <w:spacing w:val="-1"/>
        </w:rPr>
        <w:t> </w:t>
      </w:r>
      <w:r>
        <w:rPr>
          <w:color w:val="010202"/>
        </w:rPr>
        <w:t>was</w:t>
      </w:r>
      <w:r>
        <w:rPr>
          <w:color w:val="010202"/>
          <w:spacing w:val="-2"/>
        </w:rPr>
        <w:t> </w:t>
      </w:r>
      <w:r>
        <w:rPr>
          <w:color w:val="010202"/>
        </w:rPr>
        <w:t>67 days.</w:t>
      </w:r>
    </w:p>
    <w:p>
      <w:pPr>
        <w:pStyle w:val="ListParagraph"/>
        <w:numPr>
          <w:ilvl w:val="1"/>
          <w:numId w:val="22"/>
        </w:numPr>
        <w:tabs>
          <w:tab w:pos="879" w:val="left" w:leader="none"/>
          <w:tab w:pos="880" w:val="left" w:leader="none"/>
        </w:tabs>
        <w:spacing w:line="249" w:lineRule="auto" w:before="0" w:after="0"/>
        <w:ind w:left="879" w:right="104" w:hanging="360"/>
        <w:jc w:val="left"/>
        <w:rPr>
          <w:sz w:val="22"/>
        </w:rPr>
      </w:pPr>
      <w:r>
        <w:rPr>
          <w:color w:val="010202"/>
          <w:sz w:val="22"/>
        </w:rPr>
        <w:t>88 percent of participants attended at least two</w:t>
      </w:r>
      <w:r>
        <w:rPr>
          <w:color w:val="010202"/>
          <w:spacing w:val="-52"/>
          <w:sz w:val="22"/>
        </w:rPr>
        <w:t> </w:t>
      </w:r>
      <w:r>
        <w:rPr>
          <w:color w:val="010202"/>
          <w:sz w:val="22"/>
        </w:rPr>
        <w:t>PHN</w:t>
      </w:r>
      <w:r>
        <w:rPr>
          <w:color w:val="010202"/>
          <w:spacing w:val="-2"/>
          <w:sz w:val="22"/>
        </w:rPr>
        <w:t> </w:t>
      </w:r>
      <w:r>
        <w:rPr>
          <w:color w:val="010202"/>
          <w:sz w:val="22"/>
        </w:rPr>
        <w:t>sessions.</w:t>
      </w:r>
    </w:p>
    <w:p>
      <w:pPr>
        <w:pStyle w:val="ListParagraph"/>
        <w:numPr>
          <w:ilvl w:val="1"/>
          <w:numId w:val="22"/>
        </w:numPr>
        <w:tabs>
          <w:tab w:pos="879" w:val="left" w:leader="none"/>
          <w:tab w:pos="880" w:val="left" w:leader="none"/>
        </w:tabs>
        <w:spacing w:line="254" w:lineRule="exact" w:before="0" w:after="0"/>
        <w:ind w:left="879" w:right="0" w:hanging="361"/>
        <w:jc w:val="left"/>
        <w:rPr>
          <w:sz w:val="22"/>
        </w:rPr>
      </w:pPr>
      <w:r>
        <w:rPr>
          <w:color w:val="010202"/>
          <w:sz w:val="22"/>
        </w:rPr>
        <w:t>85</w:t>
      </w:r>
      <w:r>
        <w:rPr>
          <w:color w:val="010202"/>
          <w:spacing w:val="-3"/>
          <w:sz w:val="22"/>
        </w:rPr>
        <w:t> </w:t>
      </w:r>
      <w:r>
        <w:rPr>
          <w:color w:val="010202"/>
          <w:sz w:val="22"/>
        </w:rPr>
        <w:t>percent</w:t>
      </w:r>
      <w:r>
        <w:rPr>
          <w:color w:val="010202"/>
          <w:spacing w:val="-2"/>
          <w:sz w:val="22"/>
        </w:rPr>
        <w:t> </w:t>
      </w:r>
      <w:r>
        <w:rPr>
          <w:color w:val="010202"/>
          <w:sz w:val="22"/>
        </w:rPr>
        <w:t>of</w:t>
      </w:r>
      <w:r>
        <w:rPr>
          <w:color w:val="010202"/>
          <w:spacing w:val="-2"/>
          <w:sz w:val="22"/>
        </w:rPr>
        <w:t> </w:t>
      </w:r>
      <w:r>
        <w:rPr>
          <w:color w:val="010202"/>
          <w:sz w:val="22"/>
        </w:rPr>
        <w:t>participants</w:t>
      </w:r>
      <w:r>
        <w:rPr>
          <w:color w:val="010202"/>
          <w:spacing w:val="-3"/>
          <w:sz w:val="22"/>
        </w:rPr>
        <w:t> </w:t>
      </w:r>
      <w:r>
        <w:rPr>
          <w:color w:val="010202"/>
          <w:sz w:val="22"/>
        </w:rPr>
        <w:t>attended</w:t>
      </w:r>
      <w:r>
        <w:rPr>
          <w:color w:val="010202"/>
          <w:spacing w:val="-2"/>
          <w:sz w:val="22"/>
        </w:rPr>
        <w:t> </w:t>
      </w:r>
      <w:r>
        <w:rPr>
          <w:color w:val="010202"/>
          <w:sz w:val="22"/>
        </w:rPr>
        <w:t>a</w:t>
      </w:r>
      <w:r>
        <w:rPr>
          <w:color w:val="010202"/>
          <w:spacing w:val="-2"/>
          <w:sz w:val="22"/>
        </w:rPr>
        <w:t> </w:t>
      </w:r>
      <w:r>
        <w:rPr>
          <w:color w:val="010202"/>
          <w:sz w:val="22"/>
        </w:rPr>
        <w:t>first</w:t>
      </w:r>
      <w:r>
        <w:rPr>
          <w:color w:val="010202"/>
          <w:spacing w:val="-3"/>
          <w:sz w:val="22"/>
        </w:rPr>
        <w:t> </w:t>
      </w:r>
      <w:r>
        <w:rPr>
          <w:color w:val="010202"/>
          <w:sz w:val="22"/>
        </w:rPr>
        <w:t>HIV</w:t>
      </w:r>
    </w:p>
    <w:p>
      <w:pPr>
        <w:pStyle w:val="BodyText"/>
        <w:spacing w:line="249" w:lineRule="auto" w:before="8"/>
        <w:ind w:left="879" w:right="64"/>
      </w:pPr>
      <w:r>
        <w:rPr>
          <w:color w:val="010202"/>
        </w:rPr>
        <w:t>care visit, and 57 percent returned for a second</w:t>
      </w:r>
      <w:r>
        <w:rPr>
          <w:color w:val="010202"/>
          <w:spacing w:val="-52"/>
        </w:rPr>
        <w:t> </w:t>
      </w:r>
      <w:r>
        <w:rPr>
          <w:color w:val="010202"/>
        </w:rPr>
        <w:t>HIV</w:t>
      </w:r>
      <w:r>
        <w:rPr>
          <w:color w:val="010202"/>
          <w:spacing w:val="-5"/>
        </w:rPr>
        <w:t> </w:t>
      </w:r>
      <w:r>
        <w:rPr>
          <w:color w:val="010202"/>
        </w:rPr>
        <w:t>care visit.</w:t>
      </w:r>
    </w:p>
    <w:p>
      <w:pPr>
        <w:pStyle w:val="ListParagraph"/>
        <w:numPr>
          <w:ilvl w:val="1"/>
          <w:numId w:val="22"/>
        </w:numPr>
        <w:tabs>
          <w:tab w:pos="879" w:val="left" w:leader="none"/>
          <w:tab w:pos="880" w:val="left" w:leader="none"/>
        </w:tabs>
        <w:spacing w:line="256" w:lineRule="exact" w:before="0" w:after="0"/>
        <w:ind w:left="879" w:right="0" w:hanging="361"/>
        <w:jc w:val="left"/>
        <w:rPr>
          <w:sz w:val="22"/>
        </w:rPr>
      </w:pPr>
      <w:r>
        <w:rPr>
          <w:color w:val="010202"/>
          <w:sz w:val="22"/>
        </w:rPr>
        <w:t>14 percent of participants escalated through</w:t>
      </w:r>
    </w:p>
    <w:p>
      <w:pPr>
        <w:pStyle w:val="BodyText"/>
        <w:spacing w:line="249" w:lineRule="auto" w:before="11"/>
        <w:ind w:left="879" w:right="21"/>
      </w:pPr>
      <w:r>
        <w:rPr>
          <w:color w:val="010202"/>
        </w:rPr>
        <w:t>the entire CM schedule to achieve undetectable</w:t>
      </w:r>
      <w:r>
        <w:rPr>
          <w:color w:val="010202"/>
          <w:spacing w:val="-52"/>
        </w:rPr>
        <w:t> </w:t>
      </w:r>
      <w:r>
        <w:rPr>
          <w:color w:val="010202"/>
        </w:rPr>
        <w:t>status.</w:t>
      </w:r>
    </w:p>
    <w:p>
      <w:pPr>
        <w:pStyle w:val="ListParagraph"/>
        <w:numPr>
          <w:ilvl w:val="1"/>
          <w:numId w:val="22"/>
        </w:numPr>
        <w:tabs>
          <w:tab w:pos="879" w:val="left" w:leader="none"/>
          <w:tab w:pos="880" w:val="left" w:leader="none"/>
        </w:tabs>
        <w:spacing w:line="256" w:lineRule="exact" w:before="0" w:after="0"/>
        <w:ind w:left="879" w:right="0" w:hanging="361"/>
        <w:jc w:val="left"/>
        <w:rPr>
          <w:sz w:val="22"/>
        </w:rPr>
      </w:pPr>
      <w:r>
        <w:rPr>
          <w:color w:val="010202"/>
          <w:sz w:val="22"/>
        </w:rPr>
        <w:t>At</w:t>
      </w:r>
      <w:r>
        <w:rPr>
          <w:color w:val="010202"/>
          <w:spacing w:val="-2"/>
          <w:sz w:val="22"/>
        </w:rPr>
        <w:t> </w:t>
      </w:r>
      <w:r>
        <w:rPr>
          <w:color w:val="010202"/>
          <w:sz w:val="22"/>
        </w:rPr>
        <w:t>intervention completion, 85 percent of</w:t>
      </w:r>
    </w:p>
    <w:p>
      <w:pPr>
        <w:pStyle w:val="BodyText"/>
        <w:spacing w:line="249" w:lineRule="auto" w:before="10"/>
        <w:ind w:left="879" w:right="22"/>
      </w:pPr>
      <w:r>
        <w:rPr>
          <w:color w:val="010202"/>
        </w:rPr>
        <w:t>participants were linked to care, and 44 percent</w:t>
      </w:r>
      <w:r>
        <w:rPr>
          <w:color w:val="010202"/>
          <w:spacing w:val="-52"/>
        </w:rPr>
        <w:t> </w:t>
      </w:r>
      <w:r>
        <w:rPr>
          <w:color w:val="010202"/>
        </w:rPr>
        <w:t>had achieved and/or maintained viral load</w:t>
      </w:r>
      <w:r>
        <w:rPr>
          <w:color w:val="010202"/>
          <w:spacing w:val="1"/>
        </w:rPr>
        <w:t> </w:t>
      </w:r>
      <w:r>
        <w:rPr>
          <w:color w:val="010202"/>
        </w:rPr>
        <w:t>suppression.</w:t>
      </w:r>
    </w:p>
    <w:p>
      <w:pPr>
        <w:pStyle w:val="ListParagraph"/>
        <w:numPr>
          <w:ilvl w:val="1"/>
          <w:numId w:val="22"/>
        </w:numPr>
        <w:tabs>
          <w:tab w:pos="879" w:val="left" w:leader="none"/>
          <w:tab w:pos="880" w:val="left" w:leader="none"/>
        </w:tabs>
        <w:spacing w:line="249" w:lineRule="auto" w:before="0" w:after="0"/>
        <w:ind w:left="879" w:right="484" w:hanging="360"/>
        <w:jc w:val="left"/>
        <w:rPr>
          <w:sz w:val="22"/>
        </w:rPr>
      </w:pPr>
      <w:r>
        <w:rPr>
          <w:color w:val="010202"/>
          <w:sz w:val="22"/>
        </w:rPr>
        <w:t>Increased attendance at PHN sessions was</w:t>
      </w:r>
      <w:r>
        <w:rPr>
          <w:color w:val="010202"/>
          <w:spacing w:val="-52"/>
          <w:sz w:val="22"/>
        </w:rPr>
        <w:t> </w:t>
      </w:r>
      <w:r>
        <w:rPr>
          <w:color w:val="010202"/>
          <w:sz w:val="22"/>
        </w:rPr>
        <w:t>associated with increased probability of</w:t>
      </w:r>
      <w:r>
        <w:rPr>
          <w:color w:val="010202"/>
          <w:spacing w:val="1"/>
          <w:sz w:val="22"/>
        </w:rPr>
        <w:t> </w:t>
      </w:r>
      <w:r>
        <w:rPr>
          <w:color w:val="010202"/>
          <w:sz w:val="22"/>
        </w:rPr>
        <w:t>achieving behavioral and biomedical CM</w:t>
      </w:r>
      <w:r>
        <w:rPr>
          <w:color w:val="010202"/>
          <w:spacing w:val="1"/>
          <w:sz w:val="22"/>
        </w:rPr>
        <w:t> </w:t>
      </w:r>
      <w:r>
        <w:rPr>
          <w:color w:val="010202"/>
          <w:sz w:val="22"/>
        </w:rPr>
        <w:t>targets.</w:t>
      </w:r>
    </w:p>
    <w:p>
      <w:pPr>
        <w:spacing w:line="240" w:lineRule="auto" w:before="6"/>
        <w:rPr>
          <w:sz w:val="23"/>
        </w:rPr>
      </w:pPr>
      <w:r>
        <w:rPr/>
        <w:br w:type="column"/>
      </w:r>
      <w:r>
        <w:rPr>
          <w:sz w:val="23"/>
        </w:rPr>
      </w:r>
    </w:p>
    <w:p>
      <w:pPr>
        <w:pStyle w:val="Heading6"/>
        <w:spacing w:line="228" w:lineRule="auto"/>
        <w:ind w:left="1120" w:right="3888"/>
      </w:pPr>
      <w:r>
        <w:rPr>
          <w:color w:val="CE384B"/>
        </w:rPr>
        <w:t>Lessons</w:t>
      </w:r>
      <w:r>
        <w:rPr>
          <w:color w:val="CE384B"/>
          <w:spacing w:val="-59"/>
        </w:rPr>
        <w:t> </w:t>
      </w:r>
      <w:r>
        <w:rPr>
          <w:color w:val="CE384B"/>
        </w:rPr>
        <w:t>Learned</w:t>
      </w:r>
    </w:p>
    <w:p>
      <w:pPr>
        <w:pStyle w:val="ListParagraph"/>
        <w:numPr>
          <w:ilvl w:val="1"/>
          <w:numId w:val="22"/>
        </w:numPr>
        <w:tabs>
          <w:tab w:pos="880" w:val="left" w:leader="none"/>
          <w:tab w:pos="881" w:val="left" w:leader="none"/>
        </w:tabs>
        <w:spacing w:line="249" w:lineRule="auto" w:before="178" w:after="0"/>
        <w:ind w:left="880" w:right="957" w:hanging="360"/>
        <w:jc w:val="left"/>
        <w:rPr>
          <w:sz w:val="22"/>
        </w:rPr>
      </w:pPr>
      <w:r>
        <w:rPr/>
        <w:drawing>
          <wp:anchor distT="0" distB="0" distL="0" distR="0" allowOverlap="1" layoutInCell="1" locked="0" behindDoc="0" simplePos="0" relativeHeight="15772672">
            <wp:simplePos x="0" y="0"/>
            <wp:positionH relativeFrom="page">
              <wp:posOffset>4114037</wp:posOffset>
            </wp:positionH>
            <wp:positionV relativeFrom="paragraph">
              <wp:posOffset>-415647</wp:posOffset>
            </wp:positionV>
            <wp:extent cx="496061" cy="496061"/>
            <wp:effectExtent l="0" t="0" r="0" b="0"/>
            <wp:wrapNone/>
            <wp:docPr id="91" name="image33.jpeg"/>
            <wp:cNvGraphicFramePr>
              <a:graphicFrameLocks noChangeAspect="1"/>
            </wp:cNvGraphicFramePr>
            <a:graphic>
              <a:graphicData uri="http://schemas.openxmlformats.org/drawingml/2006/picture">
                <pic:pic>
                  <pic:nvPicPr>
                    <pic:cNvPr id="92" name="image33.jpeg"/>
                    <pic:cNvPicPr/>
                  </pic:nvPicPr>
                  <pic:blipFill>
                    <a:blip r:embed="rId332" cstate="print"/>
                    <a:stretch>
                      <a:fillRect/>
                    </a:stretch>
                  </pic:blipFill>
                  <pic:spPr>
                    <a:xfrm>
                      <a:off x="0" y="0"/>
                      <a:ext cx="496061" cy="496061"/>
                    </a:xfrm>
                    <a:prstGeom prst="rect">
                      <a:avLst/>
                    </a:prstGeom>
                  </pic:spPr>
                </pic:pic>
              </a:graphicData>
            </a:graphic>
          </wp:anchor>
        </w:drawing>
      </w:r>
      <w:r>
        <w:rPr>
          <w:color w:val="010202"/>
          <w:sz w:val="22"/>
        </w:rPr>
        <w:t>Program administrators should support patient</w:t>
      </w:r>
      <w:r>
        <w:rPr>
          <w:color w:val="010202"/>
          <w:spacing w:val="-53"/>
          <w:sz w:val="22"/>
        </w:rPr>
        <w:t> </w:t>
      </w:r>
      <w:r>
        <w:rPr>
          <w:color w:val="010202"/>
          <w:sz w:val="22"/>
        </w:rPr>
        <w:t>health navigators in setting boundaries to</w:t>
      </w:r>
      <w:r>
        <w:rPr>
          <w:color w:val="010202"/>
          <w:spacing w:val="1"/>
          <w:sz w:val="22"/>
        </w:rPr>
        <w:t> </w:t>
      </w:r>
      <w:r>
        <w:rPr>
          <w:color w:val="010202"/>
          <w:sz w:val="22"/>
        </w:rPr>
        <w:t>prevent burnout and vicarious trauma. Patient</w:t>
      </w:r>
      <w:r>
        <w:rPr>
          <w:color w:val="010202"/>
          <w:spacing w:val="1"/>
          <w:sz w:val="22"/>
        </w:rPr>
        <w:t> </w:t>
      </w:r>
      <w:r>
        <w:rPr>
          <w:color w:val="010202"/>
          <w:sz w:val="22"/>
        </w:rPr>
        <w:t>health navigators should receive ongoing</w:t>
      </w:r>
      <w:r>
        <w:rPr>
          <w:color w:val="010202"/>
          <w:spacing w:val="1"/>
          <w:sz w:val="22"/>
        </w:rPr>
        <w:t> </w:t>
      </w:r>
      <w:r>
        <w:rPr>
          <w:color w:val="010202"/>
          <w:sz w:val="22"/>
        </w:rPr>
        <w:t>training</w:t>
      </w:r>
      <w:r>
        <w:rPr>
          <w:color w:val="010202"/>
          <w:spacing w:val="-1"/>
          <w:sz w:val="22"/>
        </w:rPr>
        <w:t> </w:t>
      </w:r>
      <w:r>
        <w:rPr>
          <w:color w:val="010202"/>
          <w:sz w:val="22"/>
        </w:rPr>
        <w:t>and support.</w:t>
      </w:r>
    </w:p>
    <w:p>
      <w:pPr>
        <w:pStyle w:val="ListParagraph"/>
        <w:numPr>
          <w:ilvl w:val="1"/>
          <w:numId w:val="22"/>
        </w:numPr>
        <w:tabs>
          <w:tab w:pos="880" w:val="left" w:leader="none"/>
          <w:tab w:pos="881" w:val="left" w:leader="none"/>
        </w:tabs>
        <w:spacing w:line="249" w:lineRule="auto" w:before="0" w:after="0"/>
        <w:ind w:left="880" w:right="814" w:hanging="360"/>
        <w:jc w:val="left"/>
        <w:rPr>
          <w:sz w:val="22"/>
        </w:rPr>
      </w:pPr>
      <w:r>
        <w:rPr>
          <w:color w:val="010202"/>
          <w:sz w:val="22"/>
        </w:rPr>
        <w:t>Implementation teams will need to train HIV</w:t>
      </w:r>
      <w:r>
        <w:rPr>
          <w:color w:val="010202"/>
          <w:spacing w:val="1"/>
          <w:sz w:val="22"/>
        </w:rPr>
        <w:t> </w:t>
      </w:r>
      <w:r>
        <w:rPr>
          <w:color w:val="010202"/>
          <w:sz w:val="22"/>
        </w:rPr>
        <w:t>clinics on providing culturally competent health</w:t>
      </w:r>
      <w:r>
        <w:rPr>
          <w:color w:val="010202"/>
          <w:spacing w:val="-52"/>
          <w:sz w:val="22"/>
        </w:rPr>
        <w:t> </w:t>
      </w:r>
      <w:r>
        <w:rPr>
          <w:color w:val="010202"/>
          <w:sz w:val="22"/>
        </w:rPr>
        <w:t>care</w:t>
      </w:r>
      <w:r>
        <w:rPr>
          <w:color w:val="010202"/>
          <w:spacing w:val="-1"/>
          <w:sz w:val="22"/>
        </w:rPr>
        <w:t> </w:t>
      </w:r>
      <w:r>
        <w:rPr>
          <w:color w:val="010202"/>
          <w:sz w:val="22"/>
        </w:rPr>
        <w:t>to</w:t>
      </w:r>
      <w:r>
        <w:rPr>
          <w:color w:val="010202"/>
          <w:spacing w:val="-1"/>
          <w:sz w:val="22"/>
        </w:rPr>
        <w:t> </w:t>
      </w:r>
      <w:r>
        <w:rPr>
          <w:color w:val="010202"/>
          <w:sz w:val="22"/>
        </w:rPr>
        <w:t>transgender</w:t>
      </w:r>
      <w:r>
        <w:rPr>
          <w:color w:val="010202"/>
          <w:spacing w:val="-1"/>
          <w:sz w:val="22"/>
        </w:rPr>
        <w:t> </w:t>
      </w:r>
      <w:r>
        <w:rPr>
          <w:color w:val="010202"/>
          <w:sz w:val="22"/>
        </w:rPr>
        <w:t>women</w:t>
      </w:r>
      <w:r>
        <w:rPr>
          <w:color w:val="010202"/>
          <w:spacing w:val="-1"/>
          <w:sz w:val="22"/>
        </w:rPr>
        <w:t> </w:t>
      </w:r>
      <w:r>
        <w:rPr>
          <w:color w:val="010202"/>
          <w:sz w:val="22"/>
        </w:rPr>
        <w:t>of</w:t>
      </w:r>
      <w:r>
        <w:rPr>
          <w:color w:val="010202"/>
          <w:spacing w:val="-1"/>
          <w:sz w:val="22"/>
        </w:rPr>
        <w:t> </w:t>
      </w:r>
      <w:r>
        <w:rPr>
          <w:color w:val="010202"/>
          <w:sz w:val="22"/>
        </w:rPr>
        <w:t>color.</w:t>
      </w:r>
    </w:p>
    <w:p>
      <w:pPr>
        <w:pStyle w:val="ListParagraph"/>
        <w:numPr>
          <w:ilvl w:val="1"/>
          <w:numId w:val="22"/>
        </w:numPr>
        <w:tabs>
          <w:tab w:pos="880" w:val="left" w:leader="none"/>
          <w:tab w:pos="881" w:val="left" w:leader="none"/>
        </w:tabs>
        <w:spacing w:line="255" w:lineRule="exact" w:before="0" w:after="0"/>
        <w:ind w:left="880" w:right="0" w:hanging="361"/>
        <w:jc w:val="left"/>
        <w:rPr>
          <w:sz w:val="22"/>
        </w:rPr>
      </w:pPr>
      <w:r>
        <w:rPr>
          <w:color w:val="010202"/>
          <w:sz w:val="22"/>
        </w:rPr>
        <w:t>Programs</w:t>
      </w:r>
      <w:r>
        <w:rPr>
          <w:color w:val="010202"/>
          <w:spacing w:val="-3"/>
          <w:sz w:val="22"/>
        </w:rPr>
        <w:t> </w:t>
      </w:r>
      <w:r>
        <w:rPr>
          <w:color w:val="010202"/>
          <w:sz w:val="22"/>
        </w:rPr>
        <w:t>can</w:t>
      </w:r>
      <w:r>
        <w:rPr>
          <w:color w:val="010202"/>
          <w:spacing w:val="-1"/>
          <w:sz w:val="22"/>
        </w:rPr>
        <w:t> </w:t>
      </w:r>
      <w:r>
        <w:rPr>
          <w:color w:val="010202"/>
          <w:sz w:val="22"/>
        </w:rPr>
        <w:t>promote</w:t>
      </w:r>
      <w:r>
        <w:rPr>
          <w:color w:val="010202"/>
          <w:spacing w:val="-1"/>
          <w:sz w:val="22"/>
        </w:rPr>
        <w:t> </w:t>
      </w:r>
      <w:r>
        <w:rPr>
          <w:color w:val="010202"/>
          <w:sz w:val="22"/>
        </w:rPr>
        <w:t>retention</w:t>
      </w:r>
      <w:r>
        <w:rPr>
          <w:color w:val="010202"/>
          <w:spacing w:val="-1"/>
          <w:sz w:val="22"/>
        </w:rPr>
        <w:t> </w:t>
      </w:r>
      <w:r>
        <w:rPr>
          <w:color w:val="010202"/>
          <w:sz w:val="22"/>
        </w:rPr>
        <w:t>in</w:t>
      </w:r>
      <w:r>
        <w:rPr>
          <w:color w:val="010202"/>
          <w:spacing w:val="-2"/>
          <w:sz w:val="22"/>
        </w:rPr>
        <w:t> </w:t>
      </w:r>
      <w:r>
        <w:rPr>
          <w:color w:val="010202"/>
          <w:sz w:val="22"/>
        </w:rPr>
        <w:t>HIV</w:t>
      </w:r>
      <w:r>
        <w:rPr>
          <w:color w:val="010202"/>
          <w:spacing w:val="-6"/>
          <w:sz w:val="22"/>
        </w:rPr>
        <w:t> </w:t>
      </w:r>
      <w:r>
        <w:rPr>
          <w:color w:val="010202"/>
          <w:sz w:val="22"/>
        </w:rPr>
        <w:t>care</w:t>
      </w:r>
    </w:p>
    <w:p>
      <w:pPr>
        <w:pStyle w:val="BodyText"/>
        <w:spacing w:line="249" w:lineRule="auto"/>
        <w:ind w:left="880" w:right="695"/>
      </w:pPr>
      <w:r>
        <w:rPr>
          <w:color w:val="010202"/>
        </w:rPr>
        <w:t>by providing unlimited PHN sessions, linking</w:t>
      </w:r>
      <w:r>
        <w:rPr>
          <w:color w:val="010202"/>
          <w:spacing w:val="1"/>
        </w:rPr>
        <w:t> </w:t>
      </w:r>
      <w:r>
        <w:rPr>
          <w:color w:val="010202"/>
        </w:rPr>
        <w:t>participants to other needed services, and</w:t>
      </w:r>
      <w:r>
        <w:rPr>
          <w:color w:val="010202"/>
          <w:spacing w:val="1"/>
        </w:rPr>
        <w:t> </w:t>
      </w:r>
      <w:r>
        <w:rPr>
          <w:color w:val="010202"/>
        </w:rPr>
        <w:t>providing an increasingly valuable reward</w:t>
      </w:r>
      <w:r>
        <w:rPr>
          <w:color w:val="010202"/>
          <w:spacing w:val="1"/>
        </w:rPr>
        <w:t> </w:t>
      </w:r>
      <w:r>
        <w:rPr>
          <w:color w:val="010202"/>
        </w:rPr>
        <w:t>schedule based on advancement through the HIV</w:t>
      </w:r>
      <w:r>
        <w:rPr>
          <w:color w:val="010202"/>
          <w:spacing w:val="-53"/>
        </w:rPr>
        <w:t> </w:t>
      </w:r>
      <w:r>
        <w:rPr>
          <w:color w:val="010202"/>
        </w:rPr>
        <w:t>care continuum.</w:t>
      </w:r>
    </w:p>
    <w:p>
      <w:pPr>
        <w:pStyle w:val="ListParagraph"/>
        <w:numPr>
          <w:ilvl w:val="1"/>
          <w:numId w:val="22"/>
        </w:numPr>
        <w:tabs>
          <w:tab w:pos="880" w:val="left" w:leader="none"/>
          <w:tab w:pos="881" w:val="left" w:leader="none"/>
        </w:tabs>
        <w:spacing w:line="249" w:lineRule="auto" w:before="0" w:after="0"/>
        <w:ind w:left="880" w:right="797" w:hanging="360"/>
        <w:jc w:val="left"/>
        <w:rPr>
          <w:sz w:val="22"/>
        </w:rPr>
      </w:pPr>
      <w:r>
        <w:rPr>
          <w:color w:val="010202"/>
          <w:sz w:val="22"/>
        </w:rPr>
        <w:t>PHN can be time consuming; for some</w:t>
      </w:r>
      <w:r>
        <w:rPr>
          <w:color w:val="010202"/>
          <w:spacing w:val="1"/>
          <w:sz w:val="22"/>
        </w:rPr>
        <w:t> </w:t>
      </w:r>
      <w:r>
        <w:rPr>
          <w:color w:val="010202"/>
          <w:sz w:val="22"/>
        </w:rPr>
        <w:t>participants, it may take multiple PHN sessions</w:t>
      </w:r>
      <w:r>
        <w:rPr>
          <w:color w:val="010202"/>
          <w:spacing w:val="1"/>
          <w:sz w:val="22"/>
        </w:rPr>
        <w:t> </w:t>
      </w:r>
      <w:r>
        <w:rPr>
          <w:color w:val="010202"/>
          <w:sz w:val="22"/>
        </w:rPr>
        <w:t>to feel ready to make a behavioral change. PHN</w:t>
      </w:r>
      <w:r>
        <w:rPr>
          <w:color w:val="010202"/>
          <w:spacing w:val="-52"/>
          <w:sz w:val="22"/>
        </w:rPr>
        <w:t> </w:t>
      </w:r>
      <w:r>
        <w:rPr>
          <w:color w:val="010202"/>
          <w:sz w:val="22"/>
        </w:rPr>
        <w:t>should adopt a client-centered approach and</w:t>
      </w:r>
      <w:r>
        <w:rPr>
          <w:color w:val="010202"/>
          <w:spacing w:val="1"/>
          <w:sz w:val="22"/>
        </w:rPr>
        <w:t> </w:t>
      </w:r>
      <w:r>
        <w:rPr>
          <w:color w:val="010202"/>
          <w:sz w:val="22"/>
        </w:rPr>
        <w:t>build relationships first to develop a trusting</w:t>
      </w:r>
      <w:r>
        <w:rPr>
          <w:color w:val="010202"/>
          <w:spacing w:val="1"/>
          <w:sz w:val="22"/>
        </w:rPr>
        <w:t> </w:t>
      </w:r>
      <w:r>
        <w:rPr>
          <w:color w:val="010202"/>
          <w:sz w:val="22"/>
        </w:rPr>
        <w:t>partnership that facilitates lasting change for the</w:t>
      </w:r>
      <w:r>
        <w:rPr>
          <w:color w:val="010202"/>
          <w:spacing w:val="-52"/>
          <w:sz w:val="22"/>
        </w:rPr>
        <w:t> </w:t>
      </w:r>
      <w:r>
        <w:rPr>
          <w:color w:val="010202"/>
          <w:sz w:val="22"/>
        </w:rPr>
        <w:t>client.</w:t>
      </w:r>
    </w:p>
    <w:p>
      <w:pPr>
        <w:spacing w:after="0" w:line="249" w:lineRule="auto"/>
        <w:jc w:val="left"/>
        <w:rPr>
          <w:sz w:val="22"/>
        </w:rPr>
        <w:sectPr>
          <w:type w:val="continuous"/>
          <w:pgSz w:w="12240" w:h="15840"/>
          <w:pgMar w:header="0" w:footer="666" w:top="1500" w:bottom="0" w:left="560" w:right="0"/>
          <w:cols w:num="2" w:equalWidth="0">
            <w:col w:w="5087" w:space="672"/>
            <w:col w:w="5921"/>
          </w:cols>
        </w:sectPr>
      </w:pPr>
    </w:p>
    <w:p>
      <w:pPr>
        <w:pStyle w:val="BodyText"/>
        <w:spacing w:before="10"/>
        <w:rPr>
          <w:sz w:val="26"/>
        </w:rPr>
      </w:pPr>
    </w:p>
    <w:p>
      <w:pPr>
        <w:pStyle w:val="BodyText"/>
        <w:ind w:left="160"/>
        <w:rPr>
          <w:sz w:val="20"/>
        </w:rPr>
      </w:pPr>
      <w:r>
        <w:rPr>
          <w:sz w:val="20"/>
        </w:rPr>
        <w:drawing>
          <wp:inline distT="0" distB="0" distL="0" distR="0">
            <wp:extent cx="6727632" cy="4251864"/>
            <wp:effectExtent l="0" t="0" r="0" b="0"/>
            <wp:docPr id="93" name="image36.png"/>
            <wp:cNvGraphicFramePr>
              <a:graphicFrameLocks noChangeAspect="1"/>
            </wp:cNvGraphicFramePr>
            <a:graphic>
              <a:graphicData uri="http://schemas.openxmlformats.org/drawingml/2006/picture">
                <pic:pic>
                  <pic:nvPicPr>
                    <pic:cNvPr id="94" name="image36.png"/>
                    <pic:cNvPicPr/>
                  </pic:nvPicPr>
                  <pic:blipFill>
                    <a:blip r:embed="rId343" cstate="print"/>
                    <a:stretch>
                      <a:fillRect/>
                    </a:stretch>
                  </pic:blipFill>
                  <pic:spPr>
                    <a:xfrm>
                      <a:off x="0" y="0"/>
                      <a:ext cx="6727632" cy="4251864"/>
                    </a:xfrm>
                    <a:prstGeom prst="rect">
                      <a:avLst/>
                    </a:prstGeom>
                  </pic:spPr>
                </pic:pic>
              </a:graphicData>
            </a:graphic>
          </wp:inline>
        </w:drawing>
      </w:r>
      <w:r>
        <w:rPr>
          <w:sz w:val="20"/>
        </w:rPr>
      </w:r>
    </w:p>
    <w:p>
      <w:pPr>
        <w:spacing w:after="0"/>
        <w:rPr>
          <w:sz w:val="20"/>
        </w:rPr>
        <w:sectPr>
          <w:type w:val="continuous"/>
          <w:pgSz w:w="12240" w:h="15840"/>
          <w:pgMar w:header="0" w:footer="666" w:top="1500" w:bottom="0" w:left="560" w:right="0"/>
        </w:sectPr>
      </w:pPr>
    </w:p>
    <w:p>
      <w:pPr>
        <w:pStyle w:val="BodyText"/>
        <w:rPr>
          <w:sz w:val="20"/>
        </w:rPr>
      </w:pPr>
    </w:p>
    <w:p>
      <w:pPr>
        <w:pStyle w:val="BodyText"/>
        <w:rPr>
          <w:sz w:val="20"/>
        </w:rPr>
      </w:pPr>
    </w:p>
    <w:p>
      <w:pPr>
        <w:pStyle w:val="BodyText"/>
        <w:spacing w:before="4"/>
        <w:rPr>
          <w:sz w:val="20"/>
        </w:rPr>
      </w:pPr>
    </w:p>
    <w:p>
      <w:pPr>
        <w:pStyle w:val="Heading4"/>
        <w:ind w:left="937"/>
      </w:pPr>
      <w:r>
        <w:rPr/>
        <w:pict>
          <v:shape style="position:absolute;margin-left:36pt;margin-top:-.382751pt;width:541.450pt;height:479.55pt;mso-position-horizontal-relative:page;mso-position-vertical-relative:paragraph;z-index:-18119680" id="docshape180" coordorigin="720,-8" coordsize="10829,9591" path="m11459,-8l810,-8,775,-1,746,19,727,47,720,82,720,9493,727,9528,746,9556,775,9576,810,9583,11459,9583,11494,9576,11522,9556,11542,9528,11549,9493,11549,82,11542,47,11522,19,11494,-1,11459,-8xe" filled="true" fillcolor="#f7e0e0" stroked="false">
            <v:path arrowok="t"/>
            <v:fill type="solid"/>
            <w10:wrap type="none"/>
          </v:shape>
        </w:pict>
      </w:r>
      <w:bookmarkStart w:name="Coordination of Mental Health and HIV Ca" w:id="133"/>
      <w:bookmarkEnd w:id="133"/>
      <w:r>
        <w:rPr/>
      </w:r>
      <w:r>
        <w:rPr>
          <w:color w:val="CE384B"/>
        </w:rPr>
        <w:t>Coordination</w:t>
      </w:r>
      <w:r>
        <w:rPr>
          <w:color w:val="CE384B"/>
          <w:spacing w:val="-2"/>
        </w:rPr>
        <w:t> </w:t>
      </w:r>
      <w:r>
        <w:rPr>
          <w:color w:val="CE384B"/>
        </w:rPr>
        <w:t>of</w:t>
      </w:r>
      <w:r>
        <w:rPr>
          <w:color w:val="CE384B"/>
          <w:spacing w:val="13"/>
        </w:rPr>
        <w:t> </w:t>
      </w:r>
      <w:r>
        <w:rPr>
          <w:color w:val="CE384B"/>
        </w:rPr>
        <w:t>Mental</w:t>
      </w:r>
      <w:r>
        <w:rPr>
          <w:color w:val="CE384B"/>
          <w:spacing w:val="-1"/>
        </w:rPr>
        <w:t> </w:t>
      </w:r>
      <w:r>
        <w:rPr>
          <w:color w:val="CE384B"/>
        </w:rPr>
        <w:t>Health</w:t>
      </w:r>
      <w:r>
        <w:rPr>
          <w:color w:val="CE384B"/>
          <w:spacing w:val="-2"/>
        </w:rPr>
        <w:t> </w:t>
      </w:r>
      <w:r>
        <w:rPr>
          <w:color w:val="CE384B"/>
        </w:rPr>
        <w:t>and</w:t>
      </w:r>
      <w:r>
        <w:rPr>
          <w:color w:val="CE384B"/>
          <w:spacing w:val="-1"/>
        </w:rPr>
        <w:t> </w:t>
      </w:r>
      <w:r>
        <w:rPr>
          <w:color w:val="CE384B"/>
        </w:rPr>
        <w:t>HIV</w:t>
      </w:r>
      <w:r>
        <w:rPr>
          <w:color w:val="CE384B"/>
          <w:spacing w:val="-1"/>
        </w:rPr>
        <w:t> </w:t>
      </w:r>
      <w:r>
        <w:rPr>
          <w:color w:val="CE384B"/>
        </w:rPr>
        <w:t>Care</w:t>
      </w:r>
      <w:r>
        <w:rPr>
          <w:color w:val="CE384B"/>
          <w:spacing w:val="-1"/>
        </w:rPr>
        <w:t> </w:t>
      </w:r>
      <w:r>
        <w:rPr>
          <w:color w:val="CE384B"/>
        </w:rPr>
        <w:t>in</w:t>
      </w:r>
      <w:r>
        <w:rPr>
          <w:color w:val="CE384B"/>
          <w:spacing w:val="-2"/>
        </w:rPr>
        <w:t> </w:t>
      </w:r>
      <w:r>
        <w:rPr>
          <w:color w:val="CE384B"/>
        </w:rPr>
        <w:t>a</w:t>
      </w:r>
      <w:r>
        <w:rPr>
          <w:color w:val="CE384B"/>
          <w:spacing w:val="-1"/>
        </w:rPr>
        <w:t> </w:t>
      </w:r>
      <w:r>
        <w:rPr>
          <w:color w:val="CE384B"/>
        </w:rPr>
        <w:t>Mental</w:t>
      </w:r>
      <w:r>
        <w:rPr>
          <w:color w:val="CE384B"/>
          <w:spacing w:val="-1"/>
        </w:rPr>
        <w:t> </w:t>
      </w:r>
      <w:r>
        <w:rPr>
          <w:color w:val="CE384B"/>
        </w:rPr>
        <w:t>Health</w:t>
      </w:r>
      <w:r>
        <w:rPr>
          <w:color w:val="CE384B"/>
          <w:spacing w:val="-1"/>
        </w:rPr>
        <w:t> </w:t>
      </w:r>
      <w:r>
        <w:rPr>
          <w:color w:val="CE384B"/>
        </w:rPr>
        <w:t>Setting</w:t>
      </w:r>
    </w:p>
    <w:p>
      <w:pPr>
        <w:spacing w:line="259" w:lineRule="auto" w:before="109"/>
        <w:ind w:left="340" w:right="939" w:firstLine="0"/>
        <w:jc w:val="left"/>
        <w:rPr>
          <w:rFonts w:ascii="Arial" w:hAnsi="Arial"/>
          <w:sz w:val="12"/>
        </w:rPr>
      </w:pPr>
      <w:r>
        <w:rPr>
          <w:rFonts w:ascii="Arial" w:hAnsi="Arial"/>
          <w:color w:val="010202"/>
          <w:sz w:val="21"/>
        </w:rPr>
        <w:t>Each of the case examples in this chapter illustrates how organizations have implemented one or more</w:t>
      </w:r>
      <w:r>
        <w:rPr>
          <w:rFonts w:ascii="Arial" w:hAnsi="Arial"/>
          <w:color w:val="010202"/>
          <w:spacing w:val="1"/>
          <w:sz w:val="21"/>
        </w:rPr>
        <w:t> </w:t>
      </w:r>
      <w:r>
        <w:rPr>
          <w:rFonts w:ascii="Arial" w:hAnsi="Arial"/>
          <w:color w:val="010202"/>
          <w:sz w:val="21"/>
        </w:rPr>
        <w:t>evidence-based practices in a clinical or community setting. While none of these examples highlights a program</w:t>
      </w:r>
      <w:r>
        <w:rPr>
          <w:rFonts w:ascii="Arial" w:hAnsi="Arial"/>
          <w:color w:val="010202"/>
          <w:spacing w:val="-56"/>
          <w:sz w:val="21"/>
        </w:rPr>
        <w:t> </w:t>
      </w:r>
      <w:r>
        <w:rPr>
          <w:rFonts w:ascii="Arial" w:hAnsi="Arial"/>
          <w:color w:val="010202"/>
          <w:sz w:val="21"/>
        </w:rPr>
        <w:t>that is primarily focused on mental health, it is critical that programs primarily serving people with mental illness</w:t>
      </w:r>
      <w:r>
        <w:rPr>
          <w:rFonts w:ascii="Arial" w:hAnsi="Arial"/>
          <w:color w:val="010202"/>
          <w:spacing w:val="1"/>
          <w:sz w:val="21"/>
        </w:rPr>
        <w:t> </w:t>
      </w:r>
      <w:r>
        <w:rPr>
          <w:rFonts w:ascii="Arial" w:hAnsi="Arial"/>
          <w:color w:val="010202"/>
          <w:sz w:val="21"/>
        </w:rPr>
        <w:t>assess</w:t>
      </w:r>
      <w:r>
        <w:rPr>
          <w:rFonts w:ascii="Arial" w:hAnsi="Arial"/>
          <w:color w:val="010202"/>
          <w:spacing w:val="-5"/>
          <w:sz w:val="21"/>
        </w:rPr>
        <w:t> </w:t>
      </w:r>
      <w:r>
        <w:rPr>
          <w:rFonts w:ascii="Arial" w:hAnsi="Arial"/>
          <w:color w:val="010202"/>
          <w:sz w:val="21"/>
        </w:rPr>
        <w:t>their</w:t>
      </w:r>
      <w:r>
        <w:rPr>
          <w:rFonts w:ascii="Arial" w:hAnsi="Arial"/>
          <w:color w:val="010202"/>
          <w:spacing w:val="-3"/>
          <w:sz w:val="21"/>
        </w:rPr>
        <w:t> </w:t>
      </w:r>
      <w:r>
        <w:rPr>
          <w:rFonts w:ascii="Arial" w:hAnsi="Arial"/>
          <w:color w:val="010202"/>
          <w:sz w:val="21"/>
        </w:rPr>
        <w:t>clients</w:t>
      </w:r>
      <w:r>
        <w:rPr>
          <w:rFonts w:ascii="Arial" w:hAnsi="Arial"/>
          <w:color w:val="010202"/>
          <w:spacing w:val="-3"/>
          <w:sz w:val="21"/>
        </w:rPr>
        <w:t> </w:t>
      </w:r>
      <w:r>
        <w:rPr>
          <w:rFonts w:ascii="Arial" w:hAnsi="Arial"/>
          <w:color w:val="010202"/>
          <w:sz w:val="21"/>
        </w:rPr>
        <w:t>for</w:t>
      </w:r>
      <w:r>
        <w:rPr>
          <w:rFonts w:ascii="Arial" w:hAnsi="Arial"/>
          <w:color w:val="010202"/>
          <w:spacing w:val="-3"/>
          <w:sz w:val="21"/>
        </w:rPr>
        <w:t> </w:t>
      </w:r>
      <w:r>
        <w:rPr>
          <w:rFonts w:ascii="Arial" w:hAnsi="Arial"/>
          <w:color w:val="010202"/>
          <w:sz w:val="21"/>
        </w:rPr>
        <w:t>HIV</w:t>
      </w:r>
      <w:r>
        <w:rPr>
          <w:rFonts w:ascii="Arial" w:hAnsi="Arial"/>
          <w:color w:val="010202"/>
          <w:spacing w:val="-4"/>
          <w:sz w:val="21"/>
        </w:rPr>
        <w:t> </w:t>
      </w:r>
      <w:r>
        <w:rPr>
          <w:rFonts w:ascii="Arial" w:hAnsi="Arial"/>
          <w:color w:val="010202"/>
          <w:sz w:val="21"/>
        </w:rPr>
        <w:t>risk,</w:t>
      </w:r>
      <w:r>
        <w:rPr>
          <w:rFonts w:ascii="Arial" w:hAnsi="Arial"/>
          <w:color w:val="010202"/>
          <w:spacing w:val="-3"/>
          <w:sz w:val="21"/>
        </w:rPr>
        <w:t> </w:t>
      </w:r>
      <w:r>
        <w:rPr>
          <w:rFonts w:ascii="Arial" w:hAnsi="Arial"/>
          <w:color w:val="010202"/>
          <w:sz w:val="21"/>
        </w:rPr>
        <w:t>conduct</w:t>
      </w:r>
      <w:r>
        <w:rPr>
          <w:rFonts w:ascii="Arial" w:hAnsi="Arial"/>
          <w:color w:val="010202"/>
          <w:spacing w:val="-3"/>
          <w:sz w:val="21"/>
        </w:rPr>
        <w:t> </w:t>
      </w:r>
      <w:r>
        <w:rPr>
          <w:rFonts w:ascii="Arial" w:hAnsi="Arial"/>
          <w:color w:val="010202"/>
          <w:sz w:val="21"/>
        </w:rPr>
        <w:t>HIV</w:t>
      </w:r>
      <w:r>
        <w:rPr>
          <w:rFonts w:ascii="Arial" w:hAnsi="Arial"/>
          <w:color w:val="010202"/>
          <w:spacing w:val="-4"/>
          <w:sz w:val="21"/>
        </w:rPr>
        <w:t> </w:t>
      </w:r>
      <w:r>
        <w:rPr>
          <w:rFonts w:ascii="Arial" w:hAnsi="Arial"/>
          <w:color w:val="010202"/>
          <w:sz w:val="21"/>
        </w:rPr>
        <w:t>testing,</w:t>
      </w:r>
      <w:r>
        <w:rPr>
          <w:rFonts w:ascii="Arial" w:hAnsi="Arial"/>
          <w:color w:val="010202"/>
          <w:spacing w:val="-3"/>
          <w:sz w:val="21"/>
        </w:rPr>
        <w:t> </w:t>
      </w:r>
      <w:r>
        <w:rPr>
          <w:rFonts w:ascii="Arial" w:hAnsi="Arial"/>
          <w:color w:val="010202"/>
          <w:sz w:val="21"/>
        </w:rPr>
        <w:t>and</w:t>
      </w:r>
      <w:r>
        <w:rPr>
          <w:rFonts w:ascii="Arial" w:hAnsi="Arial"/>
          <w:color w:val="010202"/>
          <w:spacing w:val="-4"/>
          <w:sz w:val="21"/>
        </w:rPr>
        <w:t> </w:t>
      </w:r>
      <w:r>
        <w:rPr>
          <w:rFonts w:ascii="Arial" w:hAnsi="Arial"/>
          <w:color w:val="010202"/>
          <w:sz w:val="21"/>
        </w:rPr>
        <w:t>provide</w:t>
      </w:r>
      <w:r>
        <w:rPr>
          <w:rFonts w:ascii="Arial" w:hAnsi="Arial"/>
          <w:color w:val="010202"/>
          <w:spacing w:val="-4"/>
          <w:sz w:val="21"/>
        </w:rPr>
        <w:t> </w:t>
      </w:r>
      <w:r>
        <w:rPr>
          <w:rFonts w:ascii="Arial" w:hAnsi="Arial"/>
          <w:color w:val="010202"/>
          <w:sz w:val="21"/>
        </w:rPr>
        <w:t>appropriate</w:t>
      </w:r>
      <w:r>
        <w:rPr>
          <w:rFonts w:ascii="Arial" w:hAnsi="Arial"/>
          <w:color w:val="010202"/>
          <w:spacing w:val="-4"/>
          <w:sz w:val="21"/>
        </w:rPr>
        <w:t> </w:t>
      </w:r>
      <w:r>
        <w:rPr>
          <w:rFonts w:ascii="Arial" w:hAnsi="Arial"/>
          <w:color w:val="010202"/>
          <w:sz w:val="21"/>
        </w:rPr>
        <w:t>and</w:t>
      </w:r>
      <w:r>
        <w:rPr>
          <w:rFonts w:ascii="Arial" w:hAnsi="Arial"/>
          <w:color w:val="010202"/>
          <w:spacing w:val="-4"/>
          <w:sz w:val="21"/>
        </w:rPr>
        <w:t> </w:t>
      </w:r>
      <w:r>
        <w:rPr>
          <w:rFonts w:ascii="Arial" w:hAnsi="Arial"/>
          <w:color w:val="010202"/>
          <w:sz w:val="21"/>
        </w:rPr>
        <w:t>integrated</w:t>
      </w:r>
      <w:r>
        <w:rPr>
          <w:rFonts w:ascii="Arial" w:hAnsi="Arial"/>
          <w:color w:val="010202"/>
          <w:spacing w:val="-4"/>
          <w:sz w:val="21"/>
        </w:rPr>
        <w:t> </w:t>
      </w:r>
      <w:r>
        <w:rPr>
          <w:rFonts w:ascii="Arial" w:hAnsi="Arial"/>
          <w:color w:val="010202"/>
          <w:sz w:val="21"/>
        </w:rPr>
        <w:t>HIV</w:t>
      </w:r>
      <w:r>
        <w:rPr>
          <w:rFonts w:ascii="Arial" w:hAnsi="Arial"/>
          <w:color w:val="010202"/>
          <w:spacing w:val="-4"/>
          <w:sz w:val="21"/>
        </w:rPr>
        <w:t> </w:t>
      </w:r>
      <w:r>
        <w:rPr>
          <w:rFonts w:ascii="Arial" w:hAnsi="Arial"/>
          <w:color w:val="010202"/>
          <w:sz w:val="21"/>
        </w:rPr>
        <w:t>prevention</w:t>
      </w:r>
      <w:r>
        <w:rPr>
          <w:rFonts w:ascii="Arial" w:hAnsi="Arial"/>
          <w:color w:val="010202"/>
          <w:spacing w:val="-4"/>
          <w:sz w:val="21"/>
        </w:rPr>
        <w:t> </w:t>
      </w:r>
      <w:r>
        <w:rPr>
          <w:rFonts w:ascii="Arial" w:hAnsi="Arial"/>
          <w:color w:val="010202"/>
          <w:sz w:val="21"/>
        </w:rPr>
        <w:t>and</w:t>
      </w:r>
      <w:r>
        <w:rPr>
          <w:rFonts w:ascii="Arial" w:hAnsi="Arial"/>
          <w:color w:val="010202"/>
          <w:spacing w:val="1"/>
          <w:sz w:val="21"/>
        </w:rPr>
        <w:t> </w:t>
      </w:r>
      <w:r>
        <w:rPr>
          <w:rFonts w:ascii="Arial" w:hAnsi="Arial"/>
          <w:color w:val="010202"/>
          <w:sz w:val="21"/>
        </w:rPr>
        <w:t>treatment</w:t>
      </w:r>
      <w:r>
        <w:rPr>
          <w:rFonts w:ascii="Arial" w:hAnsi="Arial"/>
          <w:color w:val="010202"/>
          <w:spacing w:val="-1"/>
          <w:sz w:val="21"/>
        </w:rPr>
        <w:t> </w:t>
      </w:r>
      <w:r>
        <w:rPr>
          <w:rFonts w:ascii="Arial" w:hAnsi="Arial"/>
          <w:color w:val="010202"/>
          <w:sz w:val="21"/>
        </w:rPr>
        <w:t>services and</w:t>
      </w:r>
      <w:r>
        <w:rPr>
          <w:rFonts w:ascii="Arial" w:hAnsi="Arial"/>
          <w:color w:val="010202"/>
          <w:spacing w:val="-2"/>
          <w:sz w:val="21"/>
        </w:rPr>
        <w:t> </w:t>
      </w:r>
      <w:r>
        <w:rPr>
          <w:rFonts w:ascii="Arial" w:hAnsi="Arial"/>
          <w:color w:val="010202"/>
          <w:sz w:val="21"/>
        </w:rPr>
        <w:t>mental health</w:t>
      </w:r>
      <w:r>
        <w:rPr>
          <w:rFonts w:ascii="Arial" w:hAnsi="Arial"/>
          <w:color w:val="010202"/>
          <w:spacing w:val="-2"/>
          <w:sz w:val="21"/>
        </w:rPr>
        <w:t> </w:t>
      </w:r>
      <w:r>
        <w:rPr>
          <w:rFonts w:ascii="Arial" w:hAnsi="Arial"/>
          <w:color w:val="010202"/>
          <w:sz w:val="21"/>
        </w:rPr>
        <w:t>treatment to</w:t>
      </w:r>
      <w:r>
        <w:rPr>
          <w:rFonts w:ascii="Arial" w:hAnsi="Arial"/>
          <w:color w:val="010202"/>
          <w:spacing w:val="-1"/>
          <w:sz w:val="21"/>
        </w:rPr>
        <w:t> </w:t>
      </w:r>
      <w:r>
        <w:rPr>
          <w:rFonts w:ascii="Arial" w:hAnsi="Arial"/>
          <w:color w:val="010202"/>
          <w:sz w:val="21"/>
        </w:rPr>
        <w:t>address</w:t>
      </w:r>
      <w:r>
        <w:rPr>
          <w:rFonts w:ascii="Arial" w:hAnsi="Arial"/>
          <w:color w:val="010202"/>
          <w:spacing w:val="-1"/>
          <w:sz w:val="21"/>
        </w:rPr>
        <w:t> </w:t>
      </w:r>
      <w:r>
        <w:rPr>
          <w:rFonts w:ascii="Arial" w:hAnsi="Arial"/>
          <w:color w:val="010202"/>
          <w:sz w:val="21"/>
        </w:rPr>
        <w:t>their</w:t>
      </w:r>
      <w:r>
        <w:rPr>
          <w:rFonts w:ascii="Arial" w:hAnsi="Arial"/>
          <w:color w:val="010202"/>
          <w:spacing w:val="-1"/>
          <w:sz w:val="21"/>
        </w:rPr>
        <w:t> </w:t>
      </w:r>
      <w:r>
        <w:rPr>
          <w:rFonts w:ascii="Arial" w:hAnsi="Arial"/>
          <w:color w:val="010202"/>
          <w:sz w:val="21"/>
        </w:rPr>
        <w:t>client’s complex</w:t>
      </w:r>
      <w:r>
        <w:rPr>
          <w:rFonts w:ascii="Arial" w:hAnsi="Arial"/>
          <w:color w:val="010202"/>
          <w:spacing w:val="-1"/>
          <w:sz w:val="21"/>
        </w:rPr>
        <w:t> </w:t>
      </w:r>
      <w:r>
        <w:rPr>
          <w:rFonts w:ascii="Arial" w:hAnsi="Arial"/>
          <w:color w:val="010202"/>
          <w:sz w:val="21"/>
        </w:rPr>
        <w:t>needs.</w:t>
      </w:r>
      <w:r>
        <w:rPr>
          <w:rFonts w:ascii="Arial" w:hAnsi="Arial"/>
          <w:color w:val="010202"/>
          <w:position w:val="7"/>
          <w:sz w:val="12"/>
        </w:rPr>
        <w:t>3</w:t>
      </w:r>
    </w:p>
    <w:p>
      <w:pPr>
        <w:spacing w:line="259" w:lineRule="auto" w:before="176"/>
        <w:ind w:left="340" w:right="1014" w:firstLine="0"/>
        <w:jc w:val="left"/>
        <w:rPr>
          <w:rFonts w:ascii="Arial" w:hAnsi="Arial"/>
          <w:sz w:val="21"/>
        </w:rPr>
      </w:pPr>
      <w:r>
        <w:rPr>
          <w:rFonts w:ascii="Arial" w:hAnsi="Arial"/>
          <w:color w:val="010202"/>
          <w:sz w:val="21"/>
        </w:rPr>
        <w:t>When first working with a potential client, mental health providers can conduct an intake and/or mental health</w:t>
      </w:r>
      <w:r>
        <w:rPr>
          <w:rFonts w:ascii="Arial" w:hAnsi="Arial"/>
          <w:color w:val="010202"/>
          <w:spacing w:val="1"/>
          <w:sz w:val="21"/>
        </w:rPr>
        <w:t> </w:t>
      </w:r>
      <w:r>
        <w:rPr>
          <w:rFonts w:ascii="Arial" w:hAnsi="Arial"/>
          <w:color w:val="010202"/>
          <w:sz w:val="21"/>
        </w:rPr>
        <w:t>assessment</w:t>
      </w:r>
      <w:r>
        <w:rPr>
          <w:rFonts w:ascii="Arial" w:hAnsi="Arial"/>
          <w:color w:val="010202"/>
          <w:spacing w:val="-5"/>
          <w:sz w:val="21"/>
        </w:rPr>
        <w:t> </w:t>
      </w:r>
      <w:r>
        <w:rPr>
          <w:rFonts w:ascii="Arial" w:hAnsi="Arial"/>
          <w:color w:val="010202"/>
          <w:sz w:val="21"/>
        </w:rPr>
        <w:t>using</w:t>
      </w:r>
      <w:r>
        <w:rPr>
          <w:rFonts w:ascii="Arial" w:hAnsi="Arial"/>
          <w:color w:val="010202"/>
          <w:spacing w:val="-4"/>
          <w:sz w:val="21"/>
        </w:rPr>
        <w:t> </w:t>
      </w:r>
      <w:r>
        <w:rPr>
          <w:rFonts w:ascii="Arial" w:hAnsi="Arial"/>
          <w:color w:val="010202"/>
          <w:sz w:val="21"/>
        </w:rPr>
        <w:t>screening</w:t>
      </w:r>
      <w:r>
        <w:rPr>
          <w:rFonts w:ascii="Arial" w:hAnsi="Arial"/>
          <w:color w:val="010202"/>
          <w:spacing w:val="-3"/>
          <w:sz w:val="21"/>
        </w:rPr>
        <w:t> </w:t>
      </w:r>
      <w:r>
        <w:rPr>
          <w:rFonts w:ascii="Arial" w:hAnsi="Arial"/>
          <w:color w:val="010202"/>
          <w:sz w:val="21"/>
        </w:rPr>
        <w:t>tools</w:t>
      </w:r>
      <w:r>
        <w:rPr>
          <w:rFonts w:ascii="Arial" w:hAnsi="Arial"/>
          <w:color w:val="010202"/>
          <w:spacing w:val="-4"/>
          <w:sz w:val="21"/>
        </w:rPr>
        <w:t> </w:t>
      </w:r>
      <w:r>
        <w:rPr>
          <w:rFonts w:ascii="Arial" w:hAnsi="Arial"/>
          <w:color w:val="010202"/>
          <w:sz w:val="21"/>
        </w:rPr>
        <w:t>such</w:t>
      </w:r>
      <w:r>
        <w:rPr>
          <w:rFonts w:ascii="Arial" w:hAnsi="Arial"/>
          <w:color w:val="010202"/>
          <w:spacing w:val="-3"/>
          <w:sz w:val="21"/>
        </w:rPr>
        <w:t> </w:t>
      </w:r>
      <w:r>
        <w:rPr>
          <w:rFonts w:ascii="Arial" w:hAnsi="Arial"/>
          <w:color w:val="010202"/>
          <w:sz w:val="21"/>
        </w:rPr>
        <w:t>as</w:t>
      </w:r>
      <w:r>
        <w:rPr>
          <w:rFonts w:ascii="Arial" w:hAnsi="Arial"/>
          <w:color w:val="010202"/>
          <w:spacing w:val="-4"/>
          <w:sz w:val="21"/>
        </w:rPr>
        <w:t> </w:t>
      </w:r>
      <w:r>
        <w:rPr>
          <w:rFonts w:ascii="Arial" w:hAnsi="Arial"/>
          <w:color w:val="010202"/>
          <w:sz w:val="21"/>
        </w:rPr>
        <w:t>the</w:t>
      </w:r>
      <w:r>
        <w:rPr>
          <w:rFonts w:ascii="Arial" w:hAnsi="Arial"/>
          <w:color w:val="010202"/>
          <w:spacing w:val="-3"/>
          <w:sz w:val="21"/>
        </w:rPr>
        <w:t> </w:t>
      </w:r>
      <w:r>
        <w:rPr>
          <w:rFonts w:ascii="Arial" w:hAnsi="Arial"/>
          <w:color w:val="010202"/>
          <w:sz w:val="21"/>
        </w:rPr>
        <w:t>brief</w:t>
      </w:r>
      <w:r>
        <w:rPr>
          <w:rFonts w:ascii="Arial" w:hAnsi="Arial"/>
          <w:color w:val="010202"/>
          <w:spacing w:val="-5"/>
          <w:sz w:val="21"/>
        </w:rPr>
        <w:t> </w:t>
      </w:r>
      <w:r>
        <w:rPr>
          <w:rFonts w:ascii="Arial" w:hAnsi="Arial"/>
          <w:color w:val="010202"/>
          <w:sz w:val="21"/>
        </w:rPr>
        <w:t>measure</w:t>
      </w:r>
      <w:r>
        <w:rPr>
          <w:rFonts w:ascii="Arial" w:hAnsi="Arial"/>
          <w:color w:val="010202"/>
          <w:spacing w:val="-3"/>
          <w:sz w:val="21"/>
        </w:rPr>
        <w:t> </w:t>
      </w:r>
      <w:r>
        <w:rPr>
          <w:rFonts w:ascii="Arial" w:hAnsi="Arial"/>
          <w:color w:val="010202"/>
          <w:sz w:val="21"/>
        </w:rPr>
        <w:t>for</w:t>
      </w:r>
      <w:r>
        <w:rPr>
          <w:rFonts w:ascii="Arial" w:hAnsi="Arial"/>
          <w:color w:val="010202"/>
          <w:spacing w:val="-3"/>
          <w:sz w:val="21"/>
        </w:rPr>
        <w:t> </w:t>
      </w:r>
      <w:r>
        <w:rPr>
          <w:rFonts w:ascii="Arial" w:hAnsi="Arial"/>
          <w:color w:val="010202"/>
          <w:sz w:val="21"/>
        </w:rPr>
        <w:t>assessing</w:t>
      </w:r>
      <w:r>
        <w:rPr>
          <w:rFonts w:ascii="Arial" w:hAnsi="Arial"/>
          <w:color w:val="010202"/>
          <w:spacing w:val="-5"/>
          <w:sz w:val="21"/>
        </w:rPr>
        <w:t> </w:t>
      </w:r>
      <w:r>
        <w:rPr>
          <w:rFonts w:ascii="Arial" w:hAnsi="Arial"/>
          <w:color w:val="010202"/>
          <w:sz w:val="21"/>
        </w:rPr>
        <w:t>generalized</w:t>
      </w:r>
      <w:r>
        <w:rPr>
          <w:rFonts w:ascii="Arial" w:hAnsi="Arial"/>
          <w:color w:val="010202"/>
          <w:spacing w:val="-4"/>
          <w:sz w:val="21"/>
        </w:rPr>
        <w:t> </w:t>
      </w:r>
      <w:r>
        <w:rPr>
          <w:rFonts w:ascii="Arial" w:hAnsi="Arial"/>
          <w:color w:val="010202"/>
          <w:sz w:val="21"/>
        </w:rPr>
        <w:t>anxiety</w:t>
      </w:r>
      <w:r>
        <w:rPr>
          <w:rFonts w:ascii="Arial" w:hAnsi="Arial"/>
          <w:color w:val="010202"/>
          <w:spacing w:val="-4"/>
          <w:sz w:val="21"/>
        </w:rPr>
        <w:t> </w:t>
      </w:r>
      <w:r>
        <w:rPr>
          <w:rFonts w:ascii="Arial" w:hAnsi="Arial"/>
          <w:color w:val="010202"/>
          <w:sz w:val="21"/>
        </w:rPr>
        <w:t>disorder</w:t>
      </w:r>
      <w:r>
        <w:rPr>
          <w:rFonts w:ascii="Arial" w:hAnsi="Arial"/>
          <w:color w:val="010202"/>
          <w:spacing w:val="-4"/>
          <w:sz w:val="21"/>
        </w:rPr>
        <w:t> </w:t>
      </w:r>
      <w:r>
        <w:rPr>
          <w:rFonts w:ascii="Arial" w:hAnsi="Arial"/>
          <w:color w:val="010202"/>
          <w:sz w:val="21"/>
        </w:rPr>
        <w:t>(GAD-</w:t>
      </w:r>
      <w:r>
        <w:rPr>
          <w:rFonts w:ascii="Arial" w:hAnsi="Arial"/>
          <w:color w:val="010202"/>
          <w:spacing w:val="-56"/>
          <w:sz w:val="21"/>
        </w:rPr>
        <w:t> </w:t>
      </w:r>
      <w:r>
        <w:rPr>
          <w:rFonts w:ascii="Arial" w:hAnsi="Arial"/>
          <w:color w:val="010202"/>
          <w:sz w:val="21"/>
        </w:rPr>
        <w:t>7)</w:t>
      </w:r>
      <w:r>
        <w:rPr>
          <w:rFonts w:ascii="Arial" w:hAnsi="Arial"/>
          <w:color w:val="010202"/>
          <w:position w:val="7"/>
          <w:sz w:val="12"/>
        </w:rPr>
        <w:t>4</w:t>
      </w:r>
      <w:r>
        <w:rPr>
          <w:rFonts w:ascii="Arial" w:hAnsi="Arial"/>
          <w:color w:val="010202"/>
          <w:spacing w:val="1"/>
          <w:position w:val="7"/>
          <w:sz w:val="12"/>
        </w:rPr>
        <w:t> </w:t>
      </w:r>
      <w:r>
        <w:rPr>
          <w:rFonts w:ascii="Arial" w:hAnsi="Arial"/>
          <w:color w:val="010202"/>
          <w:sz w:val="21"/>
        </w:rPr>
        <w:t>or the major depressive disorder module of the Patient Health Questionnaire (PHQ-9).</w:t>
      </w:r>
      <w:r>
        <w:rPr>
          <w:rFonts w:ascii="Arial" w:hAnsi="Arial"/>
          <w:color w:val="010202"/>
          <w:position w:val="7"/>
          <w:sz w:val="12"/>
        </w:rPr>
        <w:t>5</w:t>
      </w:r>
      <w:r>
        <w:rPr>
          <w:rFonts w:ascii="Arial" w:hAnsi="Arial"/>
          <w:color w:val="010202"/>
          <w:spacing w:val="1"/>
          <w:position w:val="7"/>
          <w:sz w:val="12"/>
        </w:rPr>
        <w:t> </w:t>
      </w:r>
      <w:r>
        <w:rPr>
          <w:rFonts w:ascii="Arial" w:hAnsi="Arial"/>
          <w:color w:val="010202"/>
          <w:sz w:val="21"/>
        </w:rPr>
        <w:t>During this intake</w:t>
      </w:r>
      <w:r>
        <w:rPr>
          <w:rFonts w:ascii="Arial" w:hAnsi="Arial"/>
          <w:color w:val="010202"/>
          <w:spacing w:val="1"/>
          <w:sz w:val="21"/>
        </w:rPr>
        <w:t> </w:t>
      </w:r>
      <w:r>
        <w:rPr>
          <w:rFonts w:ascii="Arial" w:hAnsi="Arial"/>
          <w:color w:val="010202"/>
          <w:sz w:val="21"/>
        </w:rPr>
        <w:t>and screening, a mental health provider has an opportunity to discuss a client’s overall health and wellbeing,</w:t>
      </w:r>
      <w:r>
        <w:rPr>
          <w:rFonts w:ascii="Arial" w:hAnsi="Arial"/>
          <w:color w:val="010202"/>
          <w:spacing w:val="1"/>
          <w:sz w:val="21"/>
        </w:rPr>
        <w:t> </w:t>
      </w:r>
      <w:r>
        <w:rPr>
          <w:rFonts w:ascii="Arial" w:hAnsi="Arial"/>
          <w:color w:val="010202"/>
          <w:sz w:val="21"/>
        </w:rPr>
        <w:t>including</w:t>
      </w:r>
      <w:r>
        <w:rPr>
          <w:rFonts w:ascii="Arial" w:hAnsi="Arial"/>
          <w:color w:val="010202"/>
          <w:spacing w:val="-2"/>
          <w:sz w:val="21"/>
        </w:rPr>
        <w:t> </w:t>
      </w:r>
      <w:r>
        <w:rPr>
          <w:rFonts w:ascii="Arial" w:hAnsi="Arial"/>
          <w:color w:val="010202"/>
          <w:sz w:val="21"/>
        </w:rPr>
        <w:t>co-occurring medical conditions</w:t>
      </w:r>
      <w:r>
        <w:rPr>
          <w:rFonts w:ascii="Arial" w:hAnsi="Arial"/>
          <w:color w:val="010202"/>
          <w:spacing w:val="-1"/>
          <w:sz w:val="21"/>
        </w:rPr>
        <w:t> </w:t>
      </w:r>
      <w:r>
        <w:rPr>
          <w:rFonts w:ascii="Arial" w:hAnsi="Arial"/>
          <w:color w:val="010202"/>
          <w:sz w:val="21"/>
        </w:rPr>
        <w:t>such as</w:t>
      </w:r>
      <w:r>
        <w:rPr>
          <w:rFonts w:ascii="Arial" w:hAnsi="Arial"/>
          <w:color w:val="010202"/>
          <w:spacing w:val="-1"/>
          <w:sz w:val="21"/>
        </w:rPr>
        <w:t> </w:t>
      </w:r>
      <w:r>
        <w:rPr>
          <w:rFonts w:ascii="Arial" w:hAnsi="Arial"/>
          <w:color w:val="010202"/>
          <w:sz w:val="21"/>
        </w:rPr>
        <w:t>HIV.</w:t>
      </w:r>
    </w:p>
    <w:p>
      <w:pPr>
        <w:pStyle w:val="ListParagraph"/>
        <w:numPr>
          <w:ilvl w:val="0"/>
          <w:numId w:val="26"/>
        </w:numPr>
        <w:tabs>
          <w:tab w:pos="699" w:val="left" w:leader="none"/>
          <w:tab w:pos="700" w:val="left" w:leader="none"/>
        </w:tabs>
        <w:spacing w:line="240" w:lineRule="auto" w:before="161" w:after="0"/>
        <w:ind w:left="699" w:right="0" w:hanging="360"/>
        <w:jc w:val="left"/>
        <w:rPr>
          <w:rFonts w:ascii="Arial" w:hAnsi="Arial"/>
          <w:sz w:val="21"/>
        </w:rPr>
      </w:pPr>
      <w:r>
        <w:rPr>
          <w:rFonts w:ascii="Arial" w:hAnsi="Arial"/>
          <w:color w:val="010202"/>
          <w:sz w:val="21"/>
        </w:rPr>
        <w:t>If</w:t>
      </w:r>
      <w:r>
        <w:rPr>
          <w:rFonts w:ascii="Arial" w:hAnsi="Arial"/>
          <w:color w:val="010202"/>
          <w:spacing w:val="-2"/>
          <w:sz w:val="21"/>
        </w:rPr>
        <w:t> </w:t>
      </w:r>
      <w:r>
        <w:rPr>
          <w:rFonts w:ascii="Arial" w:hAnsi="Arial"/>
          <w:color w:val="010202"/>
          <w:sz w:val="21"/>
        </w:rPr>
        <w:t>a</w:t>
      </w:r>
      <w:r>
        <w:rPr>
          <w:rFonts w:ascii="Arial" w:hAnsi="Arial"/>
          <w:color w:val="010202"/>
          <w:spacing w:val="-2"/>
          <w:sz w:val="21"/>
        </w:rPr>
        <w:t> </w:t>
      </w:r>
      <w:r>
        <w:rPr>
          <w:rFonts w:ascii="Arial" w:hAnsi="Arial"/>
          <w:color w:val="010202"/>
          <w:sz w:val="21"/>
        </w:rPr>
        <w:t>client</w:t>
      </w:r>
      <w:r>
        <w:rPr>
          <w:rFonts w:ascii="Arial" w:hAnsi="Arial"/>
          <w:color w:val="010202"/>
          <w:spacing w:val="-1"/>
          <w:sz w:val="21"/>
        </w:rPr>
        <w:t> </w:t>
      </w:r>
      <w:r>
        <w:rPr>
          <w:rFonts w:ascii="Arial" w:hAnsi="Arial"/>
          <w:color w:val="010202"/>
          <w:sz w:val="21"/>
        </w:rPr>
        <w:t>has</w:t>
      </w:r>
      <w:r>
        <w:rPr>
          <w:rFonts w:ascii="Arial" w:hAnsi="Arial"/>
          <w:color w:val="010202"/>
          <w:spacing w:val="-2"/>
          <w:sz w:val="21"/>
        </w:rPr>
        <w:t> </w:t>
      </w:r>
      <w:r>
        <w:rPr>
          <w:rFonts w:ascii="Arial" w:hAnsi="Arial"/>
          <w:color w:val="010202"/>
          <w:sz w:val="21"/>
        </w:rPr>
        <w:t>not</w:t>
      </w:r>
      <w:r>
        <w:rPr>
          <w:rFonts w:ascii="Arial" w:hAnsi="Arial"/>
          <w:color w:val="010202"/>
          <w:spacing w:val="-3"/>
          <w:sz w:val="21"/>
        </w:rPr>
        <w:t> </w:t>
      </w:r>
      <w:r>
        <w:rPr>
          <w:rFonts w:ascii="Arial" w:hAnsi="Arial"/>
          <w:color w:val="010202"/>
          <w:sz w:val="21"/>
        </w:rPr>
        <w:t>had</w:t>
      </w:r>
      <w:r>
        <w:rPr>
          <w:rFonts w:ascii="Arial" w:hAnsi="Arial"/>
          <w:color w:val="010202"/>
          <w:spacing w:val="-2"/>
          <w:sz w:val="21"/>
        </w:rPr>
        <w:t> </w:t>
      </w:r>
      <w:r>
        <w:rPr>
          <w:rFonts w:ascii="Arial" w:hAnsi="Arial"/>
          <w:color w:val="010202"/>
          <w:sz w:val="21"/>
        </w:rPr>
        <w:t>a</w:t>
      </w:r>
      <w:r>
        <w:rPr>
          <w:rFonts w:ascii="Arial" w:hAnsi="Arial"/>
          <w:color w:val="010202"/>
          <w:spacing w:val="-2"/>
          <w:sz w:val="21"/>
        </w:rPr>
        <w:t> </w:t>
      </w:r>
      <w:r>
        <w:rPr>
          <w:rFonts w:ascii="Arial" w:hAnsi="Arial"/>
          <w:color w:val="010202"/>
          <w:sz w:val="21"/>
        </w:rPr>
        <w:t>recent</w:t>
      </w:r>
      <w:r>
        <w:rPr>
          <w:rFonts w:ascii="Arial" w:hAnsi="Arial"/>
          <w:color w:val="010202"/>
          <w:spacing w:val="-1"/>
          <w:sz w:val="21"/>
        </w:rPr>
        <w:t> </w:t>
      </w:r>
      <w:r>
        <w:rPr>
          <w:rFonts w:ascii="Arial" w:hAnsi="Arial"/>
          <w:color w:val="010202"/>
          <w:sz w:val="21"/>
        </w:rPr>
        <w:t>HIV</w:t>
      </w:r>
      <w:r>
        <w:rPr>
          <w:rFonts w:ascii="Arial" w:hAnsi="Arial"/>
          <w:color w:val="010202"/>
          <w:spacing w:val="-3"/>
          <w:sz w:val="21"/>
        </w:rPr>
        <w:t> </w:t>
      </w:r>
      <w:r>
        <w:rPr>
          <w:rFonts w:ascii="Arial" w:hAnsi="Arial"/>
          <w:color w:val="010202"/>
          <w:sz w:val="21"/>
        </w:rPr>
        <w:t>test,</w:t>
      </w:r>
      <w:r>
        <w:rPr>
          <w:rFonts w:ascii="Arial" w:hAnsi="Arial"/>
          <w:color w:val="010202"/>
          <w:spacing w:val="-1"/>
          <w:sz w:val="21"/>
        </w:rPr>
        <w:t> </w:t>
      </w:r>
      <w:r>
        <w:rPr>
          <w:rFonts w:ascii="Arial" w:hAnsi="Arial"/>
          <w:color w:val="010202"/>
          <w:sz w:val="21"/>
        </w:rPr>
        <w:t>mental</w:t>
      </w:r>
      <w:r>
        <w:rPr>
          <w:rFonts w:ascii="Arial" w:hAnsi="Arial"/>
          <w:color w:val="010202"/>
          <w:spacing w:val="-1"/>
          <w:sz w:val="21"/>
        </w:rPr>
        <w:t> </w:t>
      </w:r>
      <w:r>
        <w:rPr>
          <w:rFonts w:ascii="Arial" w:hAnsi="Arial"/>
          <w:color w:val="010202"/>
          <w:sz w:val="21"/>
        </w:rPr>
        <w:t>health</w:t>
      </w:r>
      <w:r>
        <w:rPr>
          <w:rFonts w:ascii="Arial" w:hAnsi="Arial"/>
          <w:color w:val="010202"/>
          <w:spacing w:val="-2"/>
          <w:sz w:val="21"/>
        </w:rPr>
        <w:t> </w:t>
      </w:r>
      <w:r>
        <w:rPr>
          <w:rFonts w:ascii="Arial" w:hAnsi="Arial"/>
          <w:color w:val="010202"/>
          <w:sz w:val="21"/>
        </w:rPr>
        <w:t>providers</w:t>
      </w:r>
      <w:r>
        <w:rPr>
          <w:rFonts w:ascii="Arial" w:hAnsi="Arial"/>
          <w:color w:val="010202"/>
          <w:spacing w:val="-3"/>
          <w:sz w:val="21"/>
        </w:rPr>
        <w:t> </w:t>
      </w:r>
      <w:r>
        <w:rPr>
          <w:rFonts w:ascii="Arial" w:hAnsi="Arial"/>
          <w:color w:val="010202"/>
          <w:sz w:val="21"/>
        </w:rPr>
        <w:t>can</w:t>
      </w:r>
      <w:r>
        <w:rPr>
          <w:rFonts w:ascii="Arial" w:hAnsi="Arial"/>
          <w:color w:val="010202"/>
          <w:spacing w:val="-1"/>
          <w:sz w:val="21"/>
        </w:rPr>
        <w:t> </w:t>
      </w:r>
      <w:r>
        <w:rPr>
          <w:rFonts w:ascii="Arial" w:hAnsi="Arial"/>
          <w:color w:val="010202"/>
          <w:sz w:val="21"/>
        </w:rPr>
        <w:t>supply</w:t>
      </w:r>
      <w:r>
        <w:rPr>
          <w:rFonts w:ascii="Arial" w:hAnsi="Arial"/>
          <w:color w:val="010202"/>
          <w:spacing w:val="-1"/>
          <w:sz w:val="21"/>
        </w:rPr>
        <w:t> </w:t>
      </w:r>
      <w:r>
        <w:rPr>
          <w:rFonts w:ascii="Arial" w:hAnsi="Arial"/>
          <w:color w:val="010202"/>
          <w:sz w:val="21"/>
        </w:rPr>
        <w:t>a</w:t>
      </w:r>
      <w:r>
        <w:rPr>
          <w:rFonts w:ascii="Arial" w:hAnsi="Arial"/>
          <w:color w:val="010202"/>
          <w:spacing w:val="-2"/>
          <w:sz w:val="21"/>
        </w:rPr>
        <w:t> </w:t>
      </w:r>
      <w:r>
        <w:rPr>
          <w:rFonts w:ascii="Arial" w:hAnsi="Arial"/>
          <w:color w:val="010202"/>
          <w:sz w:val="21"/>
        </w:rPr>
        <w:t>self-administered</w:t>
      </w:r>
      <w:r>
        <w:rPr>
          <w:rFonts w:ascii="Arial" w:hAnsi="Arial"/>
          <w:color w:val="010202"/>
          <w:spacing w:val="-2"/>
          <w:sz w:val="21"/>
        </w:rPr>
        <w:t> </w:t>
      </w:r>
      <w:r>
        <w:rPr>
          <w:rFonts w:ascii="Arial" w:hAnsi="Arial"/>
          <w:color w:val="010202"/>
          <w:sz w:val="21"/>
        </w:rPr>
        <w:t>oral</w:t>
      </w:r>
      <w:r>
        <w:rPr>
          <w:rFonts w:ascii="Arial" w:hAnsi="Arial"/>
          <w:color w:val="010202"/>
          <w:spacing w:val="-2"/>
          <w:sz w:val="21"/>
        </w:rPr>
        <w:t> </w:t>
      </w:r>
      <w:r>
        <w:rPr>
          <w:rFonts w:ascii="Arial" w:hAnsi="Arial"/>
          <w:color w:val="010202"/>
          <w:sz w:val="21"/>
        </w:rPr>
        <w:t>fluids</w:t>
      </w:r>
    </w:p>
    <w:p>
      <w:pPr>
        <w:spacing w:before="17"/>
        <w:ind w:left="699" w:right="0" w:firstLine="0"/>
        <w:jc w:val="left"/>
        <w:rPr>
          <w:rFonts w:ascii="Arial"/>
          <w:sz w:val="21"/>
        </w:rPr>
      </w:pPr>
      <w:r>
        <w:rPr>
          <w:rFonts w:ascii="Arial"/>
          <w:color w:val="010202"/>
          <w:sz w:val="21"/>
        </w:rPr>
        <w:t>test</w:t>
      </w:r>
      <w:r>
        <w:rPr>
          <w:rFonts w:ascii="Arial"/>
          <w:color w:val="010202"/>
          <w:spacing w:val="-2"/>
          <w:sz w:val="21"/>
        </w:rPr>
        <w:t> </w:t>
      </w:r>
      <w:r>
        <w:rPr>
          <w:rFonts w:ascii="Arial"/>
          <w:color w:val="010202"/>
          <w:sz w:val="21"/>
        </w:rPr>
        <w:t>which</w:t>
      </w:r>
      <w:r>
        <w:rPr>
          <w:rFonts w:ascii="Arial"/>
          <w:color w:val="010202"/>
          <w:spacing w:val="-3"/>
          <w:sz w:val="21"/>
        </w:rPr>
        <w:t> </w:t>
      </w:r>
      <w:r>
        <w:rPr>
          <w:rFonts w:ascii="Arial"/>
          <w:color w:val="010202"/>
          <w:sz w:val="21"/>
        </w:rPr>
        <w:t>can</w:t>
      </w:r>
      <w:r>
        <w:rPr>
          <w:rFonts w:ascii="Arial"/>
          <w:color w:val="010202"/>
          <w:spacing w:val="-2"/>
          <w:sz w:val="21"/>
        </w:rPr>
        <w:t> </w:t>
      </w:r>
      <w:r>
        <w:rPr>
          <w:rFonts w:ascii="Arial"/>
          <w:color w:val="010202"/>
          <w:sz w:val="21"/>
        </w:rPr>
        <w:t>provide</w:t>
      </w:r>
      <w:r>
        <w:rPr>
          <w:rFonts w:ascii="Arial"/>
          <w:color w:val="010202"/>
          <w:spacing w:val="-3"/>
          <w:sz w:val="21"/>
        </w:rPr>
        <w:t> </w:t>
      </w:r>
      <w:r>
        <w:rPr>
          <w:rFonts w:ascii="Arial"/>
          <w:color w:val="010202"/>
          <w:sz w:val="21"/>
        </w:rPr>
        <w:t>results</w:t>
      </w:r>
      <w:r>
        <w:rPr>
          <w:rFonts w:ascii="Arial"/>
          <w:color w:val="010202"/>
          <w:spacing w:val="-2"/>
          <w:sz w:val="21"/>
        </w:rPr>
        <w:t> </w:t>
      </w:r>
      <w:r>
        <w:rPr>
          <w:rFonts w:ascii="Arial"/>
          <w:color w:val="010202"/>
          <w:sz w:val="21"/>
        </w:rPr>
        <w:t>within</w:t>
      </w:r>
      <w:r>
        <w:rPr>
          <w:rFonts w:ascii="Arial"/>
          <w:color w:val="010202"/>
          <w:spacing w:val="-3"/>
          <w:sz w:val="21"/>
        </w:rPr>
        <w:t> </w:t>
      </w:r>
      <w:r>
        <w:rPr>
          <w:rFonts w:ascii="Arial"/>
          <w:color w:val="010202"/>
          <w:sz w:val="21"/>
        </w:rPr>
        <w:t>20</w:t>
      </w:r>
      <w:r>
        <w:rPr>
          <w:rFonts w:ascii="Arial"/>
          <w:color w:val="010202"/>
          <w:spacing w:val="-3"/>
          <w:sz w:val="21"/>
        </w:rPr>
        <w:t> </w:t>
      </w:r>
      <w:r>
        <w:rPr>
          <w:rFonts w:ascii="Arial"/>
          <w:color w:val="010202"/>
          <w:sz w:val="21"/>
        </w:rPr>
        <w:t>minutes.</w:t>
      </w:r>
    </w:p>
    <w:p>
      <w:pPr>
        <w:pStyle w:val="ListParagraph"/>
        <w:numPr>
          <w:ilvl w:val="1"/>
          <w:numId w:val="26"/>
        </w:numPr>
        <w:tabs>
          <w:tab w:pos="1059" w:val="left" w:leader="none"/>
          <w:tab w:pos="1060" w:val="left" w:leader="none"/>
        </w:tabs>
        <w:spacing w:line="256" w:lineRule="auto" w:before="125" w:after="0"/>
        <w:ind w:left="1059" w:right="1468" w:hanging="360"/>
        <w:jc w:val="left"/>
        <w:rPr>
          <w:rFonts w:ascii="Arial" w:hAnsi="Arial"/>
          <w:sz w:val="21"/>
        </w:rPr>
      </w:pPr>
      <w:r>
        <w:rPr>
          <w:rFonts w:ascii="Arial" w:hAnsi="Arial"/>
          <w:color w:val="010202"/>
          <w:sz w:val="21"/>
        </w:rPr>
        <w:t>If a client does not have HIV, a mental health provider can provide PrEP education, and support</w:t>
      </w:r>
      <w:r>
        <w:rPr>
          <w:rFonts w:ascii="Arial" w:hAnsi="Arial"/>
          <w:color w:val="010202"/>
          <w:spacing w:val="1"/>
          <w:sz w:val="21"/>
        </w:rPr>
        <w:t> </w:t>
      </w:r>
      <w:r>
        <w:rPr>
          <w:rFonts w:ascii="Arial" w:hAnsi="Arial"/>
          <w:color w:val="010202"/>
          <w:sz w:val="21"/>
        </w:rPr>
        <w:t>PrEP</w:t>
      </w:r>
      <w:r>
        <w:rPr>
          <w:rFonts w:ascii="Arial" w:hAnsi="Arial"/>
          <w:color w:val="010202"/>
          <w:spacing w:val="-8"/>
          <w:sz w:val="21"/>
        </w:rPr>
        <w:t> </w:t>
      </w:r>
      <w:r>
        <w:rPr>
          <w:rFonts w:ascii="Arial" w:hAnsi="Arial"/>
          <w:color w:val="010202"/>
          <w:sz w:val="21"/>
        </w:rPr>
        <w:t>uptake</w:t>
      </w:r>
      <w:r>
        <w:rPr>
          <w:rFonts w:ascii="Arial" w:hAnsi="Arial"/>
          <w:color w:val="010202"/>
          <w:spacing w:val="-4"/>
          <w:sz w:val="21"/>
        </w:rPr>
        <w:t> </w:t>
      </w:r>
      <w:r>
        <w:rPr>
          <w:rFonts w:ascii="Arial" w:hAnsi="Arial"/>
          <w:color w:val="010202"/>
          <w:sz w:val="21"/>
        </w:rPr>
        <w:t>and</w:t>
      </w:r>
      <w:r>
        <w:rPr>
          <w:rFonts w:ascii="Arial" w:hAnsi="Arial"/>
          <w:color w:val="010202"/>
          <w:spacing w:val="-5"/>
          <w:sz w:val="21"/>
        </w:rPr>
        <w:t> </w:t>
      </w:r>
      <w:r>
        <w:rPr>
          <w:rFonts w:ascii="Arial" w:hAnsi="Arial"/>
          <w:color w:val="010202"/>
          <w:sz w:val="21"/>
        </w:rPr>
        <w:t>adherence</w:t>
      </w:r>
      <w:r>
        <w:rPr>
          <w:rFonts w:ascii="Arial" w:hAnsi="Arial"/>
          <w:color w:val="010202"/>
          <w:spacing w:val="-4"/>
          <w:sz w:val="21"/>
        </w:rPr>
        <w:t> </w:t>
      </w:r>
      <w:r>
        <w:rPr>
          <w:rFonts w:ascii="Arial" w:hAnsi="Arial"/>
          <w:color w:val="010202"/>
          <w:sz w:val="21"/>
        </w:rPr>
        <w:t>(as</w:t>
      </w:r>
      <w:r>
        <w:rPr>
          <w:rFonts w:ascii="Arial" w:hAnsi="Arial"/>
          <w:color w:val="010202"/>
          <w:spacing w:val="-4"/>
          <w:sz w:val="21"/>
        </w:rPr>
        <w:t> </w:t>
      </w:r>
      <w:r>
        <w:rPr>
          <w:rFonts w:ascii="Arial" w:hAnsi="Arial"/>
          <w:color w:val="010202"/>
          <w:sz w:val="21"/>
        </w:rPr>
        <w:t>described</w:t>
      </w:r>
      <w:r>
        <w:rPr>
          <w:rFonts w:ascii="Arial" w:hAnsi="Arial"/>
          <w:color w:val="010202"/>
          <w:spacing w:val="-4"/>
          <w:sz w:val="21"/>
        </w:rPr>
        <w:t> </w:t>
      </w:r>
      <w:r>
        <w:rPr>
          <w:rFonts w:ascii="Arial" w:hAnsi="Arial"/>
          <w:color w:val="010202"/>
          <w:sz w:val="21"/>
        </w:rPr>
        <w:t>in</w:t>
      </w:r>
      <w:r>
        <w:rPr>
          <w:rFonts w:ascii="Arial" w:hAnsi="Arial"/>
          <w:color w:val="010202"/>
          <w:spacing w:val="-5"/>
          <w:sz w:val="21"/>
        </w:rPr>
        <w:t> </w:t>
      </w:r>
      <w:r>
        <w:rPr>
          <w:rFonts w:ascii="Arial" w:hAnsi="Arial"/>
          <w:color w:val="010202"/>
          <w:sz w:val="21"/>
        </w:rPr>
        <w:t>Chapter</w:t>
      </w:r>
      <w:r>
        <w:rPr>
          <w:rFonts w:ascii="Arial" w:hAnsi="Arial"/>
          <w:color w:val="010202"/>
          <w:spacing w:val="-4"/>
          <w:sz w:val="21"/>
        </w:rPr>
        <w:t> </w:t>
      </w:r>
      <w:r>
        <w:rPr>
          <w:rFonts w:ascii="Arial" w:hAnsi="Arial"/>
          <w:color w:val="010202"/>
          <w:sz w:val="21"/>
        </w:rPr>
        <w:t>2);</w:t>
      </w:r>
      <w:r>
        <w:rPr>
          <w:rFonts w:ascii="Arial" w:hAnsi="Arial"/>
          <w:color w:val="010202"/>
          <w:spacing w:val="-5"/>
          <w:sz w:val="21"/>
        </w:rPr>
        <w:t> </w:t>
      </w:r>
      <w:r>
        <w:rPr>
          <w:rFonts w:ascii="Arial" w:hAnsi="Arial"/>
          <w:color w:val="010202"/>
          <w:sz w:val="21"/>
        </w:rPr>
        <w:t>PrEP</w:t>
      </w:r>
      <w:r>
        <w:rPr>
          <w:rFonts w:ascii="Arial" w:hAnsi="Arial"/>
          <w:color w:val="010202"/>
          <w:spacing w:val="-7"/>
          <w:sz w:val="21"/>
        </w:rPr>
        <w:t> </w:t>
      </w:r>
      <w:r>
        <w:rPr>
          <w:rFonts w:ascii="Arial" w:hAnsi="Arial"/>
          <w:color w:val="010202"/>
          <w:sz w:val="21"/>
        </w:rPr>
        <w:t>is</w:t>
      </w:r>
      <w:r>
        <w:rPr>
          <w:rFonts w:ascii="Arial" w:hAnsi="Arial"/>
          <w:color w:val="010202"/>
          <w:spacing w:val="-5"/>
          <w:sz w:val="21"/>
        </w:rPr>
        <w:t> </w:t>
      </w:r>
      <w:r>
        <w:rPr>
          <w:rFonts w:ascii="Arial" w:hAnsi="Arial"/>
          <w:color w:val="010202"/>
          <w:sz w:val="21"/>
        </w:rPr>
        <w:t>highly</w:t>
      </w:r>
      <w:r>
        <w:rPr>
          <w:rFonts w:ascii="Arial" w:hAnsi="Arial"/>
          <w:color w:val="010202"/>
          <w:spacing w:val="-4"/>
          <w:sz w:val="21"/>
        </w:rPr>
        <w:t> </w:t>
      </w:r>
      <w:r>
        <w:rPr>
          <w:rFonts w:ascii="Arial" w:hAnsi="Arial"/>
          <w:color w:val="010202"/>
          <w:sz w:val="21"/>
        </w:rPr>
        <w:t>effective</w:t>
      </w:r>
      <w:r>
        <w:rPr>
          <w:rFonts w:ascii="Arial" w:hAnsi="Arial"/>
          <w:color w:val="010202"/>
          <w:spacing w:val="-4"/>
          <w:sz w:val="21"/>
        </w:rPr>
        <w:t> </w:t>
      </w:r>
      <w:r>
        <w:rPr>
          <w:rFonts w:ascii="Arial" w:hAnsi="Arial"/>
          <w:color w:val="010202"/>
          <w:sz w:val="21"/>
        </w:rPr>
        <w:t>in</w:t>
      </w:r>
      <w:r>
        <w:rPr>
          <w:rFonts w:ascii="Arial" w:hAnsi="Arial"/>
          <w:color w:val="010202"/>
          <w:spacing w:val="-4"/>
          <w:sz w:val="21"/>
        </w:rPr>
        <w:t> </w:t>
      </w:r>
      <w:r>
        <w:rPr>
          <w:rFonts w:ascii="Arial" w:hAnsi="Arial"/>
          <w:color w:val="010202"/>
          <w:sz w:val="21"/>
        </w:rPr>
        <w:t>preventing</w:t>
      </w:r>
      <w:r>
        <w:rPr>
          <w:rFonts w:ascii="Arial" w:hAnsi="Arial"/>
          <w:color w:val="010202"/>
          <w:spacing w:val="-5"/>
          <w:sz w:val="21"/>
        </w:rPr>
        <w:t> </w:t>
      </w:r>
      <w:r>
        <w:rPr>
          <w:rFonts w:ascii="Arial" w:hAnsi="Arial"/>
          <w:color w:val="010202"/>
          <w:sz w:val="21"/>
        </w:rPr>
        <w:t>HIV</w:t>
      </w:r>
      <w:r>
        <w:rPr>
          <w:rFonts w:ascii="Arial" w:hAnsi="Arial"/>
          <w:color w:val="010202"/>
          <w:spacing w:val="1"/>
          <w:sz w:val="21"/>
        </w:rPr>
        <w:t> </w:t>
      </w:r>
      <w:r>
        <w:rPr>
          <w:rFonts w:ascii="Arial" w:hAnsi="Arial"/>
          <w:color w:val="010202"/>
          <w:sz w:val="21"/>
        </w:rPr>
        <w:t>transmission</w:t>
      </w:r>
      <w:r>
        <w:rPr>
          <w:rFonts w:ascii="Arial" w:hAnsi="Arial"/>
          <w:color w:val="010202"/>
          <w:spacing w:val="-1"/>
          <w:sz w:val="21"/>
        </w:rPr>
        <w:t> </w:t>
      </w:r>
      <w:r>
        <w:rPr>
          <w:rFonts w:ascii="Arial" w:hAnsi="Arial"/>
          <w:color w:val="010202"/>
          <w:sz w:val="21"/>
        </w:rPr>
        <w:t>from condomless sex and</w:t>
      </w:r>
      <w:r>
        <w:rPr>
          <w:rFonts w:ascii="Arial" w:hAnsi="Arial"/>
          <w:color w:val="010202"/>
          <w:spacing w:val="-2"/>
          <w:sz w:val="21"/>
        </w:rPr>
        <w:t> </w:t>
      </w:r>
      <w:r>
        <w:rPr>
          <w:rFonts w:ascii="Arial" w:hAnsi="Arial"/>
          <w:color w:val="010202"/>
          <w:sz w:val="21"/>
        </w:rPr>
        <w:t>injection</w:t>
      </w:r>
      <w:r>
        <w:rPr>
          <w:rFonts w:ascii="Arial" w:hAnsi="Arial"/>
          <w:color w:val="010202"/>
          <w:spacing w:val="-1"/>
          <w:sz w:val="21"/>
        </w:rPr>
        <w:t> </w:t>
      </w:r>
      <w:r>
        <w:rPr>
          <w:rFonts w:ascii="Arial" w:hAnsi="Arial"/>
          <w:color w:val="010202"/>
          <w:sz w:val="21"/>
        </w:rPr>
        <w:t>drug</w:t>
      </w:r>
      <w:r>
        <w:rPr>
          <w:rFonts w:ascii="Arial" w:hAnsi="Arial"/>
          <w:color w:val="010202"/>
          <w:spacing w:val="-1"/>
          <w:sz w:val="21"/>
        </w:rPr>
        <w:t> </w:t>
      </w:r>
      <w:r>
        <w:rPr>
          <w:rFonts w:ascii="Arial" w:hAnsi="Arial"/>
          <w:color w:val="010202"/>
          <w:sz w:val="21"/>
        </w:rPr>
        <w:t>use.</w:t>
      </w:r>
    </w:p>
    <w:p>
      <w:pPr>
        <w:pStyle w:val="ListParagraph"/>
        <w:numPr>
          <w:ilvl w:val="1"/>
          <w:numId w:val="26"/>
        </w:numPr>
        <w:tabs>
          <w:tab w:pos="1059" w:val="left" w:leader="none"/>
          <w:tab w:pos="1060" w:val="left" w:leader="none"/>
        </w:tabs>
        <w:spacing w:line="256" w:lineRule="auto" w:before="108" w:after="0"/>
        <w:ind w:left="1059" w:right="1102" w:hanging="360"/>
        <w:jc w:val="left"/>
        <w:rPr>
          <w:rFonts w:ascii="Arial" w:hAnsi="Arial"/>
          <w:sz w:val="21"/>
        </w:rPr>
      </w:pPr>
      <w:r>
        <w:rPr>
          <w:rFonts w:ascii="Arial" w:hAnsi="Arial"/>
          <w:color w:val="010202"/>
          <w:sz w:val="21"/>
        </w:rPr>
        <w:t>If</w:t>
      </w:r>
      <w:r>
        <w:rPr>
          <w:rFonts w:ascii="Arial" w:hAnsi="Arial"/>
          <w:color w:val="010202"/>
          <w:spacing w:val="-3"/>
          <w:sz w:val="21"/>
        </w:rPr>
        <w:t> </w:t>
      </w:r>
      <w:r>
        <w:rPr>
          <w:rFonts w:ascii="Arial" w:hAnsi="Arial"/>
          <w:color w:val="010202"/>
          <w:sz w:val="21"/>
        </w:rPr>
        <w:t>a</w:t>
      </w:r>
      <w:r>
        <w:rPr>
          <w:rFonts w:ascii="Arial" w:hAnsi="Arial"/>
          <w:color w:val="010202"/>
          <w:spacing w:val="-4"/>
          <w:sz w:val="21"/>
        </w:rPr>
        <w:t> </w:t>
      </w:r>
      <w:r>
        <w:rPr>
          <w:rFonts w:ascii="Arial" w:hAnsi="Arial"/>
          <w:color w:val="010202"/>
          <w:sz w:val="21"/>
        </w:rPr>
        <w:t>client</w:t>
      </w:r>
      <w:r>
        <w:rPr>
          <w:rFonts w:ascii="Arial" w:hAnsi="Arial"/>
          <w:color w:val="010202"/>
          <w:spacing w:val="-3"/>
          <w:sz w:val="21"/>
        </w:rPr>
        <w:t> </w:t>
      </w:r>
      <w:r>
        <w:rPr>
          <w:rFonts w:ascii="Arial" w:hAnsi="Arial"/>
          <w:color w:val="010202"/>
          <w:sz w:val="21"/>
        </w:rPr>
        <w:t>has</w:t>
      </w:r>
      <w:r>
        <w:rPr>
          <w:rFonts w:ascii="Arial" w:hAnsi="Arial"/>
          <w:color w:val="010202"/>
          <w:spacing w:val="-4"/>
          <w:sz w:val="21"/>
        </w:rPr>
        <w:t> </w:t>
      </w:r>
      <w:r>
        <w:rPr>
          <w:rFonts w:ascii="Arial" w:hAnsi="Arial"/>
          <w:color w:val="010202"/>
          <w:sz w:val="21"/>
        </w:rPr>
        <w:t>HIV,</w:t>
      </w:r>
      <w:r>
        <w:rPr>
          <w:rFonts w:ascii="Arial" w:hAnsi="Arial"/>
          <w:color w:val="010202"/>
          <w:spacing w:val="-3"/>
          <w:sz w:val="21"/>
        </w:rPr>
        <w:t> </w:t>
      </w:r>
      <w:r>
        <w:rPr>
          <w:rFonts w:ascii="Arial" w:hAnsi="Arial"/>
          <w:color w:val="010202"/>
          <w:sz w:val="21"/>
        </w:rPr>
        <w:t>a</w:t>
      </w:r>
      <w:r>
        <w:rPr>
          <w:rFonts w:ascii="Arial" w:hAnsi="Arial"/>
          <w:color w:val="010202"/>
          <w:spacing w:val="-3"/>
          <w:sz w:val="21"/>
        </w:rPr>
        <w:t> </w:t>
      </w:r>
      <w:r>
        <w:rPr>
          <w:rFonts w:ascii="Arial" w:hAnsi="Arial"/>
          <w:color w:val="010202"/>
          <w:sz w:val="21"/>
        </w:rPr>
        <w:t>mental</w:t>
      </w:r>
      <w:r>
        <w:rPr>
          <w:rFonts w:ascii="Arial" w:hAnsi="Arial"/>
          <w:color w:val="010202"/>
          <w:spacing w:val="-3"/>
          <w:sz w:val="21"/>
        </w:rPr>
        <w:t> </w:t>
      </w:r>
      <w:r>
        <w:rPr>
          <w:rFonts w:ascii="Arial" w:hAnsi="Arial"/>
          <w:color w:val="010202"/>
          <w:sz w:val="21"/>
        </w:rPr>
        <w:t>health</w:t>
      </w:r>
      <w:r>
        <w:rPr>
          <w:rFonts w:ascii="Arial" w:hAnsi="Arial"/>
          <w:color w:val="010202"/>
          <w:spacing w:val="-4"/>
          <w:sz w:val="21"/>
        </w:rPr>
        <w:t> </w:t>
      </w:r>
      <w:r>
        <w:rPr>
          <w:rFonts w:ascii="Arial" w:hAnsi="Arial"/>
          <w:color w:val="010202"/>
          <w:sz w:val="21"/>
        </w:rPr>
        <w:t>provider</w:t>
      </w:r>
      <w:r>
        <w:rPr>
          <w:rFonts w:ascii="Arial" w:hAnsi="Arial"/>
          <w:color w:val="010202"/>
          <w:spacing w:val="-4"/>
          <w:sz w:val="21"/>
        </w:rPr>
        <w:t> </w:t>
      </w:r>
      <w:r>
        <w:rPr>
          <w:rFonts w:ascii="Arial" w:hAnsi="Arial"/>
          <w:color w:val="010202"/>
          <w:sz w:val="21"/>
        </w:rPr>
        <w:t>can</w:t>
      </w:r>
      <w:r>
        <w:rPr>
          <w:rFonts w:ascii="Arial" w:hAnsi="Arial"/>
          <w:color w:val="010202"/>
          <w:spacing w:val="-3"/>
          <w:sz w:val="21"/>
        </w:rPr>
        <w:t> </w:t>
      </w:r>
      <w:r>
        <w:rPr>
          <w:rFonts w:ascii="Arial" w:hAnsi="Arial"/>
          <w:color w:val="010202"/>
          <w:sz w:val="21"/>
        </w:rPr>
        <w:t>link</w:t>
      </w:r>
      <w:r>
        <w:rPr>
          <w:rFonts w:ascii="Arial" w:hAnsi="Arial"/>
          <w:color w:val="010202"/>
          <w:spacing w:val="-4"/>
          <w:sz w:val="21"/>
        </w:rPr>
        <w:t> </w:t>
      </w:r>
      <w:r>
        <w:rPr>
          <w:rFonts w:ascii="Arial" w:hAnsi="Arial"/>
          <w:color w:val="010202"/>
          <w:sz w:val="21"/>
        </w:rPr>
        <w:t>a</w:t>
      </w:r>
      <w:r>
        <w:rPr>
          <w:rFonts w:ascii="Arial" w:hAnsi="Arial"/>
          <w:color w:val="010202"/>
          <w:spacing w:val="-3"/>
          <w:sz w:val="21"/>
        </w:rPr>
        <w:t> </w:t>
      </w:r>
      <w:r>
        <w:rPr>
          <w:rFonts w:ascii="Arial" w:hAnsi="Arial"/>
          <w:color w:val="010202"/>
          <w:sz w:val="21"/>
        </w:rPr>
        <w:t>client</w:t>
      </w:r>
      <w:r>
        <w:rPr>
          <w:rFonts w:ascii="Arial" w:hAnsi="Arial"/>
          <w:color w:val="010202"/>
          <w:spacing w:val="-3"/>
          <w:sz w:val="21"/>
        </w:rPr>
        <w:t> </w:t>
      </w:r>
      <w:r>
        <w:rPr>
          <w:rFonts w:ascii="Arial" w:hAnsi="Arial"/>
          <w:color w:val="010202"/>
          <w:sz w:val="21"/>
        </w:rPr>
        <w:t>to</w:t>
      </w:r>
      <w:r>
        <w:rPr>
          <w:rFonts w:ascii="Arial" w:hAnsi="Arial"/>
          <w:color w:val="010202"/>
          <w:spacing w:val="-3"/>
          <w:sz w:val="21"/>
        </w:rPr>
        <w:t> </w:t>
      </w:r>
      <w:r>
        <w:rPr>
          <w:rFonts w:ascii="Arial" w:hAnsi="Arial"/>
          <w:color w:val="010202"/>
          <w:sz w:val="21"/>
        </w:rPr>
        <w:t>HIV</w:t>
      </w:r>
      <w:r>
        <w:rPr>
          <w:rFonts w:ascii="Arial" w:hAnsi="Arial"/>
          <w:color w:val="010202"/>
          <w:spacing w:val="-4"/>
          <w:sz w:val="21"/>
        </w:rPr>
        <w:t> </w:t>
      </w:r>
      <w:r>
        <w:rPr>
          <w:rFonts w:ascii="Arial" w:hAnsi="Arial"/>
          <w:color w:val="010202"/>
          <w:sz w:val="21"/>
        </w:rPr>
        <w:t>primary</w:t>
      </w:r>
      <w:r>
        <w:rPr>
          <w:rFonts w:ascii="Arial" w:hAnsi="Arial"/>
          <w:color w:val="010202"/>
          <w:spacing w:val="-4"/>
          <w:sz w:val="21"/>
        </w:rPr>
        <w:t> </w:t>
      </w:r>
      <w:r>
        <w:rPr>
          <w:rFonts w:ascii="Arial" w:hAnsi="Arial"/>
          <w:color w:val="010202"/>
          <w:sz w:val="21"/>
        </w:rPr>
        <w:t>care</w:t>
      </w:r>
      <w:r>
        <w:rPr>
          <w:rFonts w:ascii="Arial" w:hAnsi="Arial"/>
          <w:color w:val="010202"/>
          <w:spacing w:val="-2"/>
          <w:sz w:val="21"/>
        </w:rPr>
        <w:t> </w:t>
      </w:r>
      <w:r>
        <w:rPr>
          <w:rFonts w:ascii="Arial" w:hAnsi="Arial"/>
          <w:color w:val="010202"/>
          <w:sz w:val="21"/>
        </w:rPr>
        <w:t>treatment,</w:t>
      </w:r>
      <w:r>
        <w:rPr>
          <w:rFonts w:ascii="Arial" w:hAnsi="Arial"/>
          <w:color w:val="010202"/>
          <w:spacing w:val="-3"/>
          <w:sz w:val="21"/>
        </w:rPr>
        <w:t> </w:t>
      </w:r>
      <w:r>
        <w:rPr>
          <w:rFonts w:ascii="Arial" w:hAnsi="Arial"/>
          <w:color w:val="010202"/>
          <w:sz w:val="21"/>
        </w:rPr>
        <w:t>and</w:t>
      </w:r>
      <w:r>
        <w:rPr>
          <w:rFonts w:ascii="Arial" w:hAnsi="Arial"/>
          <w:color w:val="010202"/>
          <w:spacing w:val="-4"/>
          <w:sz w:val="21"/>
        </w:rPr>
        <w:t> </w:t>
      </w:r>
      <w:r>
        <w:rPr>
          <w:rFonts w:ascii="Arial" w:hAnsi="Arial"/>
          <w:color w:val="010202"/>
          <w:sz w:val="21"/>
        </w:rPr>
        <w:t>provide</w:t>
      </w:r>
      <w:r>
        <w:rPr>
          <w:rFonts w:ascii="Arial" w:hAnsi="Arial"/>
          <w:color w:val="010202"/>
          <w:spacing w:val="-55"/>
          <w:sz w:val="21"/>
        </w:rPr>
        <w:t> </w:t>
      </w:r>
      <w:r>
        <w:rPr>
          <w:rFonts w:ascii="Arial" w:hAnsi="Arial"/>
          <w:color w:val="010202"/>
          <w:sz w:val="21"/>
        </w:rPr>
        <w:t>the counseling necessary to support client mental health and ART uptake and adherence (including</w:t>
      </w:r>
      <w:r>
        <w:rPr>
          <w:rFonts w:ascii="Arial" w:hAnsi="Arial"/>
          <w:color w:val="010202"/>
          <w:spacing w:val="1"/>
          <w:sz w:val="21"/>
        </w:rPr>
        <w:t> </w:t>
      </w:r>
      <w:r>
        <w:rPr>
          <w:rFonts w:ascii="Arial" w:hAnsi="Arial"/>
          <w:color w:val="010202"/>
          <w:sz w:val="21"/>
        </w:rPr>
        <w:t>Cognitive</w:t>
      </w:r>
      <w:r>
        <w:rPr>
          <w:rFonts w:ascii="Arial" w:hAnsi="Arial"/>
          <w:color w:val="010202"/>
          <w:spacing w:val="-2"/>
          <w:sz w:val="21"/>
        </w:rPr>
        <w:t> </w:t>
      </w:r>
      <w:r>
        <w:rPr>
          <w:rFonts w:ascii="Arial" w:hAnsi="Arial"/>
          <w:color w:val="010202"/>
          <w:sz w:val="21"/>
        </w:rPr>
        <w:t>Behavioral</w:t>
      </w:r>
      <w:r>
        <w:rPr>
          <w:rFonts w:ascii="Arial" w:hAnsi="Arial"/>
          <w:color w:val="010202"/>
          <w:spacing w:val="-5"/>
          <w:sz w:val="21"/>
        </w:rPr>
        <w:t> </w:t>
      </w:r>
      <w:r>
        <w:rPr>
          <w:rFonts w:ascii="Arial" w:hAnsi="Arial"/>
          <w:color w:val="010202"/>
          <w:sz w:val="21"/>
        </w:rPr>
        <w:t>Therapy, as</w:t>
      </w:r>
      <w:r>
        <w:rPr>
          <w:rFonts w:ascii="Arial" w:hAnsi="Arial"/>
          <w:color w:val="010202"/>
          <w:spacing w:val="-2"/>
          <w:sz w:val="21"/>
        </w:rPr>
        <w:t> </w:t>
      </w:r>
      <w:r>
        <w:rPr>
          <w:rFonts w:ascii="Arial" w:hAnsi="Arial"/>
          <w:color w:val="010202"/>
          <w:sz w:val="21"/>
        </w:rPr>
        <w:t>described</w:t>
      </w:r>
      <w:r>
        <w:rPr>
          <w:rFonts w:ascii="Arial" w:hAnsi="Arial"/>
          <w:color w:val="010202"/>
          <w:spacing w:val="-1"/>
          <w:sz w:val="21"/>
        </w:rPr>
        <w:t> </w:t>
      </w:r>
      <w:r>
        <w:rPr>
          <w:rFonts w:ascii="Arial" w:hAnsi="Arial"/>
          <w:color w:val="010202"/>
          <w:sz w:val="21"/>
        </w:rPr>
        <w:t>in</w:t>
      </w:r>
      <w:r>
        <w:rPr>
          <w:rFonts w:ascii="Arial" w:hAnsi="Arial"/>
          <w:color w:val="010202"/>
          <w:spacing w:val="-2"/>
          <w:sz w:val="21"/>
        </w:rPr>
        <w:t> </w:t>
      </w:r>
      <w:r>
        <w:rPr>
          <w:rFonts w:ascii="Arial" w:hAnsi="Arial"/>
          <w:color w:val="010202"/>
          <w:sz w:val="21"/>
        </w:rPr>
        <w:t>Chapter</w:t>
      </w:r>
      <w:r>
        <w:rPr>
          <w:rFonts w:ascii="Arial" w:hAnsi="Arial"/>
          <w:color w:val="010202"/>
          <w:spacing w:val="-1"/>
          <w:sz w:val="21"/>
        </w:rPr>
        <w:t> </w:t>
      </w:r>
      <w:r>
        <w:rPr>
          <w:rFonts w:ascii="Arial" w:hAnsi="Arial"/>
          <w:color w:val="010202"/>
          <w:sz w:val="21"/>
        </w:rPr>
        <w:t>2).</w:t>
      </w:r>
    </w:p>
    <w:p>
      <w:pPr>
        <w:pStyle w:val="ListParagraph"/>
        <w:numPr>
          <w:ilvl w:val="0"/>
          <w:numId w:val="26"/>
        </w:numPr>
        <w:tabs>
          <w:tab w:pos="699" w:val="left" w:leader="none"/>
          <w:tab w:pos="700" w:val="left" w:leader="none"/>
        </w:tabs>
        <w:spacing w:line="256" w:lineRule="auto" w:before="108" w:after="0"/>
        <w:ind w:left="699" w:right="936" w:hanging="360"/>
        <w:jc w:val="left"/>
        <w:rPr>
          <w:rFonts w:ascii="Arial" w:hAnsi="Arial"/>
          <w:sz w:val="21"/>
        </w:rPr>
      </w:pPr>
      <w:r>
        <w:rPr>
          <w:rFonts w:ascii="Arial" w:hAnsi="Arial"/>
          <w:color w:val="010202"/>
          <w:sz w:val="21"/>
        </w:rPr>
        <w:t>For</w:t>
      </w:r>
      <w:r>
        <w:rPr>
          <w:rFonts w:ascii="Arial" w:hAnsi="Arial"/>
          <w:color w:val="010202"/>
          <w:spacing w:val="-3"/>
          <w:sz w:val="21"/>
        </w:rPr>
        <w:t> </w:t>
      </w:r>
      <w:r>
        <w:rPr>
          <w:rFonts w:ascii="Arial" w:hAnsi="Arial"/>
          <w:color w:val="010202"/>
          <w:sz w:val="21"/>
        </w:rPr>
        <w:t>clients</w:t>
      </w:r>
      <w:r>
        <w:rPr>
          <w:rFonts w:ascii="Arial" w:hAnsi="Arial"/>
          <w:color w:val="010202"/>
          <w:spacing w:val="-2"/>
          <w:sz w:val="21"/>
        </w:rPr>
        <w:t> </w:t>
      </w:r>
      <w:r>
        <w:rPr>
          <w:rFonts w:ascii="Arial" w:hAnsi="Arial"/>
          <w:color w:val="010202"/>
          <w:sz w:val="21"/>
        </w:rPr>
        <w:t>at</w:t>
      </w:r>
      <w:r>
        <w:rPr>
          <w:rFonts w:ascii="Arial" w:hAnsi="Arial"/>
          <w:color w:val="010202"/>
          <w:spacing w:val="-3"/>
          <w:sz w:val="21"/>
        </w:rPr>
        <w:t> </w:t>
      </w:r>
      <w:r>
        <w:rPr>
          <w:rFonts w:ascii="Arial" w:hAnsi="Arial"/>
          <w:color w:val="010202"/>
          <w:sz w:val="21"/>
        </w:rPr>
        <w:t>risk</w:t>
      </w:r>
      <w:r>
        <w:rPr>
          <w:rFonts w:ascii="Arial" w:hAnsi="Arial"/>
          <w:color w:val="010202"/>
          <w:spacing w:val="-2"/>
          <w:sz w:val="21"/>
        </w:rPr>
        <w:t> </w:t>
      </w:r>
      <w:r>
        <w:rPr>
          <w:rFonts w:ascii="Arial" w:hAnsi="Arial"/>
          <w:color w:val="010202"/>
          <w:sz w:val="21"/>
        </w:rPr>
        <w:t>for</w:t>
      </w:r>
      <w:r>
        <w:rPr>
          <w:rFonts w:ascii="Arial" w:hAnsi="Arial"/>
          <w:color w:val="010202"/>
          <w:spacing w:val="-3"/>
          <w:sz w:val="21"/>
        </w:rPr>
        <w:t> </w:t>
      </w:r>
      <w:r>
        <w:rPr>
          <w:rFonts w:ascii="Arial" w:hAnsi="Arial"/>
          <w:color w:val="010202"/>
          <w:sz w:val="21"/>
        </w:rPr>
        <w:t>or</w:t>
      </w:r>
      <w:r>
        <w:rPr>
          <w:rFonts w:ascii="Arial" w:hAnsi="Arial"/>
          <w:color w:val="010202"/>
          <w:spacing w:val="-3"/>
          <w:sz w:val="21"/>
        </w:rPr>
        <w:t> </w:t>
      </w:r>
      <w:r>
        <w:rPr>
          <w:rFonts w:ascii="Arial" w:hAnsi="Arial"/>
          <w:color w:val="010202"/>
          <w:sz w:val="21"/>
        </w:rPr>
        <w:t>with</w:t>
      </w:r>
      <w:r>
        <w:rPr>
          <w:rFonts w:ascii="Arial" w:hAnsi="Arial"/>
          <w:color w:val="010202"/>
          <w:spacing w:val="-3"/>
          <w:sz w:val="21"/>
        </w:rPr>
        <w:t> </w:t>
      </w:r>
      <w:r>
        <w:rPr>
          <w:rFonts w:ascii="Arial" w:hAnsi="Arial"/>
          <w:color w:val="010202"/>
          <w:sz w:val="21"/>
        </w:rPr>
        <w:t>HIV,</w:t>
      </w:r>
      <w:r>
        <w:rPr>
          <w:rFonts w:ascii="Arial" w:hAnsi="Arial"/>
          <w:color w:val="010202"/>
          <w:spacing w:val="-2"/>
          <w:sz w:val="21"/>
        </w:rPr>
        <w:t> </w:t>
      </w:r>
      <w:r>
        <w:rPr>
          <w:rFonts w:ascii="Arial" w:hAnsi="Arial"/>
          <w:color w:val="010202"/>
          <w:sz w:val="21"/>
        </w:rPr>
        <w:t>mental</w:t>
      </w:r>
      <w:r>
        <w:rPr>
          <w:rFonts w:ascii="Arial" w:hAnsi="Arial"/>
          <w:color w:val="010202"/>
          <w:spacing w:val="-2"/>
          <w:sz w:val="21"/>
        </w:rPr>
        <w:t> </w:t>
      </w:r>
      <w:r>
        <w:rPr>
          <w:rFonts w:ascii="Arial" w:hAnsi="Arial"/>
          <w:color w:val="010202"/>
          <w:sz w:val="21"/>
        </w:rPr>
        <w:t>health</w:t>
      </w:r>
      <w:r>
        <w:rPr>
          <w:rFonts w:ascii="Arial" w:hAnsi="Arial"/>
          <w:color w:val="010202"/>
          <w:spacing w:val="-3"/>
          <w:sz w:val="21"/>
        </w:rPr>
        <w:t> </w:t>
      </w:r>
      <w:r>
        <w:rPr>
          <w:rFonts w:ascii="Arial" w:hAnsi="Arial"/>
          <w:color w:val="010202"/>
          <w:sz w:val="21"/>
        </w:rPr>
        <w:t>providers</w:t>
      </w:r>
      <w:r>
        <w:rPr>
          <w:rFonts w:ascii="Arial" w:hAnsi="Arial"/>
          <w:color w:val="010202"/>
          <w:spacing w:val="-4"/>
          <w:sz w:val="21"/>
        </w:rPr>
        <w:t> </w:t>
      </w:r>
      <w:r>
        <w:rPr>
          <w:rFonts w:ascii="Arial" w:hAnsi="Arial"/>
          <w:color w:val="010202"/>
          <w:sz w:val="21"/>
        </w:rPr>
        <w:t>can</w:t>
      </w:r>
      <w:r>
        <w:rPr>
          <w:rFonts w:ascii="Arial" w:hAnsi="Arial"/>
          <w:color w:val="010202"/>
          <w:spacing w:val="-2"/>
          <w:sz w:val="21"/>
        </w:rPr>
        <w:t> </w:t>
      </w:r>
      <w:r>
        <w:rPr>
          <w:rFonts w:ascii="Arial" w:hAnsi="Arial"/>
          <w:color w:val="010202"/>
          <w:sz w:val="21"/>
        </w:rPr>
        <w:t>also</w:t>
      </w:r>
      <w:r>
        <w:rPr>
          <w:rFonts w:ascii="Arial" w:hAnsi="Arial"/>
          <w:color w:val="010202"/>
          <w:spacing w:val="-3"/>
          <w:sz w:val="21"/>
        </w:rPr>
        <w:t> </w:t>
      </w:r>
      <w:r>
        <w:rPr>
          <w:rFonts w:ascii="Arial" w:hAnsi="Arial"/>
          <w:color w:val="010202"/>
          <w:sz w:val="21"/>
        </w:rPr>
        <w:t>connect</w:t>
      </w:r>
      <w:r>
        <w:rPr>
          <w:rFonts w:ascii="Arial" w:hAnsi="Arial"/>
          <w:color w:val="010202"/>
          <w:spacing w:val="-2"/>
          <w:sz w:val="21"/>
        </w:rPr>
        <w:t> </w:t>
      </w:r>
      <w:r>
        <w:rPr>
          <w:rFonts w:ascii="Arial" w:hAnsi="Arial"/>
          <w:color w:val="010202"/>
          <w:sz w:val="21"/>
        </w:rPr>
        <w:t>the</w:t>
      </w:r>
      <w:r>
        <w:rPr>
          <w:rFonts w:ascii="Arial" w:hAnsi="Arial"/>
          <w:color w:val="010202"/>
          <w:spacing w:val="-2"/>
          <w:sz w:val="21"/>
        </w:rPr>
        <w:t> </w:t>
      </w:r>
      <w:r>
        <w:rPr>
          <w:rFonts w:ascii="Arial" w:hAnsi="Arial"/>
          <w:color w:val="010202"/>
          <w:sz w:val="21"/>
        </w:rPr>
        <w:t>client</w:t>
      </w:r>
      <w:r>
        <w:rPr>
          <w:rFonts w:ascii="Arial" w:hAnsi="Arial"/>
          <w:color w:val="010202"/>
          <w:spacing w:val="-3"/>
          <w:sz w:val="21"/>
        </w:rPr>
        <w:t> </w:t>
      </w:r>
      <w:r>
        <w:rPr>
          <w:rFonts w:ascii="Arial" w:hAnsi="Arial"/>
          <w:color w:val="010202"/>
          <w:sz w:val="21"/>
        </w:rPr>
        <w:t>to</w:t>
      </w:r>
      <w:r>
        <w:rPr>
          <w:rFonts w:ascii="Arial" w:hAnsi="Arial"/>
          <w:color w:val="010202"/>
          <w:spacing w:val="-2"/>
          <w:sz w:val="21"/>
        </w:rPr>
        <w:t> </w:t>
      </w:r>
      <w:r>
        <w:rPr>
          <w:rFonts w:ascii="Arial" w:hAnsi="Arial"/>
          <w:color w:val="010202"/>
          <w:sz w:val="21"/>
        </w:rPr>
        <w:t>case</w:t>
      </w:r>
      <w:r>
        <w:rPr>
          <w:rFonts w:ascii="Arial" w:hAnsi="Arial"/>
          <w:color w:val="010202"/>
          <w:spacing w:val="-2"/>
          <w:sz w:val="21"/>
        </w:rPr>
        <w:t> </w:t>
      </w:r>
      <w:r>
        <w:rPr>
          <w:rFonts w:ascii="Arial" w:hAnsi="Arial"/>
          <w:color w:val="010202"/>
          <w:sz w:val="21"/>
        </w:rPr>
        <w:t>management</w:t>
      </w:r>
      <w:r>
        <w:rPr>
          <w:rFonts w:ascii="Arial" w:hAnsi="Arial"/>
          <w:color w:val="010202"/>
          <w:spacing w:val="-2"/>
          <w:sz w:val="21"/>
        </w:rPr>
        <w:t> </w:t>
      </w:r>
      <w:r>
        <w:rPr>
          <w:rFonts w:ascii="Arial" w:hAnsi="Arial"/>
          <w:color w:val="010202"/>
          <w:sz w:val="21"/>
        </w:rPr>
        <w:t>to</w:t>
      </w:r>
      <w:r>
        <w:rPr>
          <w:rFonts w:ascii="Arial" w:hAnsi="Arial"/>
          <w:color w:val="010202"/>
          <w:spacing w:val="-56"/>
          <w:sz w:val="21"/>
        </w:rPr>
        <w:t> </w:t>
      </w:r>
      <w:r>
        <w:rPr>
          <w:rFonts w:ascii="Arial" w:hAnsi="Arial"/>
          <w:color w:val="010202"/>
          <w:sz w:val="21"/>
        </w:rPr>
        <w:t>address a client’s unmet ancillary needs (e.g., housing, employment, transportation), which will help reduce</w:t>
      </w:r>
      <w:r>
        <w:rPr>
          <w:rFonts w:ascii="Arial" w:hAnsi="Arial"/>
          <w:color w:val="010202"/>
          <w:spacing w:val="1"/>
          <w:sz w:val="21"/>
        </w:rPr>
        <w:t> </w:t>
      </w:r>
      <w:r>
        <w:rPr>
          <w:rFonts w:ascii="Arial" w:hAnsi="Arial"/>
          <w:color w:val="010202"/>
          <w:sz w:val="21"/>
        </w:rPr>
        <w:t>barriers</w:t>
      </w:r>
      <w:r>
        <w:rPr>
          <w:rFonts w:ascii="Arial" w:hAnsi="Arial"/>
          <w:color w:val="010202"/>
          <w:spacing w:val="-2"/>
          <w:sz w:val="21"/>
        </w:rPr>
        <w:t> </w:t>
      </w:r>
      <w:r>
        <w:rPr>
          <w:rFonts w:ascii="Arial" w:hAnsi="Arial"/>
          <w:color w:val="010202"/>
          <w:sz w:val="21"/>
        </w:rPr>
        <w:t>to PrEP</w:t>
      </w:r>
      <w:r>
        <w:rPr>
          <w:rFonts w:ascii="Arial" w:hAnsi="Arial"/>
          <w:color w:val="010202"/>
          <w:spacing w:val="-4"/>
          <w:sz w:val="21"/>
        </w:rPr>
        <w:t> </w:t>
      </w:r>
      <w:r>
        <w:rPr>
          <w:rFonts w:ascii="Arial" w:hAnsi="Arial"/>
          <w:color w:val="010202"/>
          <w:sz w:val="21"/>
        </w:rPr>
        <w:t>and</w:t>
      </w:r>
      <w:r>
        <w:rPr>
          <w:rFonts w:ascii="Arial" w:hAnsi="Arial"/>
          <w:color w:val="010202"/>
          <w:spacing w:val="-12"/>
          <w:sz w:val="21"/>
        </w:rPr>
        <w:t> </w:t>
      </w:r>
      <w:r>
        <w:rPr>
          <w:rFonts w:ascii="Arial" w:hAnsi="Arial"/>
          <w:color w:val="010202"/>
          <w:sz w:val="21"/>
        </w:rPr>
        <w:t>ART</w:t>
      </w:r>
      <w:r>
        <w:rPr>
          <w:rFonts w:ascii="Arial" w:hAnsi="Arial"/>
          <w:color w:val="010202"/>
          <w:spacing w:val="-4"/>
          <w:sz w:val="21"/>
        </w:rPr>
        <w:t> </w:t>
      </w:r>
      <w:r>
        <w:rPr>
          <w:rFonts w:ascii="Arial" w:hAnsi="Arial"/>
          <w:color w:val="010202"/>
          <w:sz w:val="21"/>
        </w:rPr>
        <w:t>adherence.</w:t>
      </w:r>
    </w:p>
    <w:p>
      <w:pPr>
        <w:spacing w:line="259" w:lineRule="auto" w:before="182"/>
        <w:ind w:left="339" w:right="957" w:firstLine="0"/>
        <w:jc w:val="left"/>
        <w:rPr>
          <w:rFonts w:ascii="Arial"/>
          <w:sz w:val="12"/>
        </w:rPr>
      </w:pPr>
      <w:r>
        <w:rPr>
          <w:rFonts w:ascii="Arial"/>
          <w:color w:val="010202"/>
          <w:sz w:val="21"/>
        </w:rPr>
        <w:t>Integrated behavioral health and infectious disease care can facilitate rapid screening, testing, and treatment,</w:t>
      </w:r>
      <w:r>
        <w:rPr>
          <w:rFonts w:ascii="Arial"/>
          <w:color w:val="010202"/>
          <w:spacing w:val="1"/>
          <w:sz w:val="21"/>
        </w:rPr>
        <w:t> </w:t>
      </w:r>
      <w:r>
        <w:rPr>
          <w:rFonts w:ascii="Arial"/>
          <w:color w:val="010202"/>
          <w:sz w:val="21"/>
        </w:rPr>
        <w:t>and improve health outcomes for people experiencing mental disorders and HIV. One example of effective</w:t>
      </w:r>
      <w:r>
        <w:rPr>
          <w:rFonts w:ascii="Arial"/>
          <w:color w:val="010202"/>
          <w:spacing w:val="1"/>
          <w:sz w:val="21"/>
        </w:rPr>
        <w:t> </w:t>
      </w:r>
      <w:r>
        <w:rPr>
          <w:rFonts w:ascii="Arial"/>
          <w:color w:val="010202"/>
          <w:sz w:val="21"/>
        </w:rPr>
        <w:t>mental health and HIV service integration is an infectious disease psychiatric consultation service embedded</w:t>
      </w:r>
      <w:r>
        <w:rPr>
          <w:rFonts w:ascii="Arial"/>
          <w:color w:val="010202"/>
          <w:spacing w:val="1"/>
          <w:sz w:val="21"/>
        </w:rPr>
        <w:t> </w:t>
      </w:r>
      <w:r>
        <w:rPr>
          <w:rFonts w:ascii="Arial"/>
          <w:color w:val="010202"/>
          <w:sz w:val="21"/>
        </w:rPr>
        <w:t>within the infectious disease outpatient department in a Boston hospital. Participants were offered a</w:t>
      </w:r>
      <w:r>
        <w:rPr>
          <w:rFonts w:ascii="Arial"/>
          <w:color w:val="010202"/>
          <w:spacing w:val="1"/>
          <w:sz w:val="21"/>
        </w:rPr>
        <w:t> </w:t>
      </w:r>
      <w:r>
        <w:rPr>
          <w:rFonts w:ascii="Arial"/>
          <w:color w:val="010202"/>
          <w:sz w:val="21"/>
        </w:rPr>
        <w:t>comprehensive</w:t>
      </w:r>
      <w:r>
        <w:rPr>
          <w:rFonts w:ascii="Arial"/>
          <w:color w:val="010202"/>
          <w:spacing w:val="-5"/>
          <w:sz w:val="21"/>
        </w:rPr>
        <w:t> </w:t>
      </w:r>
      <w:r>
        <w:rPr>
          <w:rFonts w:ascii="Arial"/>
          <w:color w:val="010202"/>
          <w:sz w:val="21"/>
        </w:rPr>
        <w:t>approach</w:t>
      </w:r>
      <w:r>
        <w:rPr>
          <w:rFonts w:ascii="Arial"/>
          <w:color w:val="010202"/>
          <w:spacing w:val="-6"/>
          <w:sz w:val="21"/>
        </w:rPr>
        <w:t> </w:t>
      </w:r>
      <w:r>
        <w:rPr>
          <w:rFonts w:ascii="Arial"/>
          <w:color w:val="010202"/>
          <w:sz w:val="21"/>
        </w:rPr>
        <w:t>to</w:t>
      </w:r>
      <w:r>
        <w:rPr>
          <w:rFonts w:ascii="Arial"/>
          <w:color w:val="010202"/>
          <w:spacing w:val="-5"/>
          <w:sz w:val="21"/>
        </w:rPr>
        <w:t> </w:t>
      </w:r>
      <w:r>
        <w:rPr>
          <w:rFonts w:ascii="Arial"/>
          <w:color w:val="010202"/>
          <w:sz w:val="21"/>
        </w:rPr>
        <w:t>depression</w:t>
      </w:r>
      <w:r>
        <w:rPr>
          <w:rFonts w:ascii="Arial"/>
          <w:color w:val="010202"/>
          <w:spacing w:val="-5"/>
          <w:sz w:val="21"/>
        </w:rPr>
        <w:t> </w:t>
      </w:r>
      <w:r>
        <w:rPr>
          <w:rFonts w:ascii="Arial"/>
          <w:color w:val="010202"/>
          <w:sz w:val="21"/>
        </w:rPr>
        <w:t>care</w:t>
      </w:r>
      <w:r>
        <w:rPr>
          <w:rFonts w:ascii="Arial"/>
          <w:color w:val="010202"/>
          <w:spacing w:val="-5"/>
          <w:sz w:val="21"/>
        </w:rPr>
        <w:t> </w:t>
      </w:r>
      <w:r>
        <w:rPr>
          <w:rFonts w:ascii="Arial"/>
          <w:color w:val="010202"/>
          <w:sz w:val="21"/>
        </w:rPr>
        <w:t>that</w:t>
      </w:r>
      <w:r>
        <w:rPr>
          <w:rFonts w:ascii="Arial"/>
          <w:color w:val="010202"/>
          <w:spacing w:val="-5"/>
          <w:sz w:val="21"/>
        </w:rPr>
        <w:t> </w:t>
      </w:r>
      <w:r>
        <w:rPr>
          <w:rFonts w:ascii="Arial"/>
          <w:color w:val="010202"/>
          <w:sz w:val="21"/>
        </w:rPr>
        <w:t>included</w:t>
      </w:r>
      <w:r>
        <w:rPr>
          <w:rFonts w:ascii="Arial"/>
          <w:color w:val="010202"/>
          <w:spacing w:val="-6"/>
          <w:sz w:val="21"/>
        </w:rPr>
        <w:t> </w:t>
      </w:r>
      <w:r>
        <w:rPr>
          <w:rFonts w:ascii="Arial"/>
          <w:color w:val="010202"/>
          <w:sz w:val="21"/>
        </w:rPr>
        <w:t>pharmacologic</w:t>
      </w:r>
      <w:r>
        <w:rPr>
          <w:rFonts w:ascii="Arial"/>
          <w:color w:val="010202"/>
          <w:spacing w:val="-5"/>
          <w:sz w:val="21"/>
        </w:rPr>
        <w:t> </w:t>
      </w:r>
      <w:r>
        <w:rPr>
          <w:rFonts w:ascii="Arial"/>
          <w:color w:val="010202"/>
          <w:sz w:val="21"/>
        </w:rPr>
        <w:t>and</w:t>
      </w:r>
      <w:r>
        <w:rPr>
          <w:rFonts w:ascii="Arial"/>
          <w:color w:val="010202"/>
          <w:spacing w:val="-6"/>
          <w:sz w:val="21"/>
        </w:rPr>
        <w:t> </w:t>
      </w:r>
      <w:r>
        <w:rPr>
          <w:rFonts w:ascii="Arial"/>
          <w:color w:val="010202"/>
          <w:sz w:val="21"/>
        </w:rPr>
        <w:t>ancillary</w:t>
      </w:r>
      <w:r>
        <w:rPr>
          <w:rFonts w:ascii="Arial"/>
          <w:color w:val="010202"/>
          <w:spacing w:val="-6"/>
          <w:sz w:val="21"/>
        </w:rPr>
        <w:t> </w:t>
      </w:r>
      <w:r>
        <w:rPr>
          <w:rFonts w:ascii="Arial"/>
          <w:color w:val="010202"/>
          <w:sz w:val="21"/>
        </w:rPr>
        <w:t>psychological</w:t>
      </w:r>
      <w:r>
        <w:rPr>
          <w:rFonts w:ascii="Arial"/>
          <w:color w:val="010202"/>
          <w:spacing w:val="-5"/>
          <w:sz w:val="21"/>
        </w:rPr>
        <w:t> </w:t>
      </w:r>
      <w:r>
        <w:rPr>
          <w:rFonts w:ascii="Arial"/>
          <w:color w:val="010202"/>
          <w:sz w:val="21"/>
        </w:rPr>
        <w:t>therapies.</w:t>
      </w:r>
      <w:r>
        <w:rPr>
          <w:rFonts w:ascii="Arial"/>
          <w:color w:val="010202"/>
          <w:spacing w:val="1"/>
          <w:sz w:val="21"/>
        </w:rPr>
        <w:t> </w:t>
      </w:r>
      <w:r>
        <w:rPr>
          <w:rFonts w:ascii="Arial"/>
          <w:color w:val="010202"/>
          <w:sz w:val="21"/>
        </w:rPr>
        <w:t>When psychiatric consultation services were offered and linked to primary care, participants experienced</w:t>
      </w:r>
      <w:r>
        <w:rPr>
          <w:rFonts w:ascii="Arial"/>
          <w:color w:val="010202"/>
          <w:spacing w:val="1"/>
          <w:sz w:val="21"/>
        </w:rPr>
        <w:t> </w:t>
      </w:r>
      <w:r>
        <w:rPr>
          <w:rFonts w:ascii="Arial"/>
          <w:color w:val="010202"/>
          <w:sz w:val="21"/>
        </w:rPr>
        <w:t>benefits to both their mental health and HIV-related health outcomes. Participants had a statistically significant</w:t>
      </w:r>
      <w:r>
        <w:rPr>
          <w:rFonts w:ascii="Arial"/>
          <w:color w:val="010202"/>
          <w:spacing w:val="1"/>
          <w:sz w:val="21"/>
        </w:rPr>
        <w:t> </w:t>
      </w:r>
      <w:r>
        <w:rPr>
          <w:rFonts w:ascii="Arial"/>
          <w:color w:val="010202"/>
          <w:sz w:val="21"/>
        </w:rPr>
        <w:t>reduction in depression and viral load, and statistically significant increase in CD4 count. Additionally, a greater</w:t>
      </w:r>
      <w:r>
        <w:rPr>
          <w:rFonts w:ascii="Arial"/>
          <w:color w:val="010202"/>
          <w:spacing w:val="1"/>
          <w:sz w:val="21"/>
        </w:rPr>
        <w:t> </w:t>
      </w:r>
      <w:r>
        <w:rPr>
          <w:rFonts w:ascii="Arial"/>
          <w:color w:val="010202"/>
          <w:sz w:val="21"/>
        </w:rPr>
        <w:t>number</w:t>
      </w:r>
      <w:r>
        <w:rPr>
          <w:rFonts w:ascii="Arial"/>
          <w:color w:val="010202"/>
          <w:spacing w:val="-3"/>
          <w:sz w:val="21"/>
        </w:rPr>
        <w:t> </w:t>
      </w:r>
      <w:r>
        <w:rPr>
          <w:rFonts w:ascii="Arial"/>
          <w:color w:val="010202"/>
          <w:sz w:val="21"/>
        </w:rPr>
        <w:t>of</w:t>
      </w:r>
      <w:r>
        <w:rPr>
          <w:rFonts w:ascii="Arial"/>
          <w:color w:val="010202"/>
          <w:spacing w:val="-2"/>
          <w:sz w:val="21"/>
        </w:rPr>
        <w:t> </w:t>
      </w:r>
      <w:r>
        <w:rPr>
          <w:rFonts w:ascii="Arial"/>
          <w:color w:val="010202"/>
          <w:sz w:val="21"/>
        </w:rPr>
        <w:t>participants</w:t>
      </w:r>
      <w:r>
        <w:rPr>
          <w:rFonts w:ascii="Arial"/>
          <w:color w:val="010202"/>
          <w:spacing w:val="-3"/>
          <w:sz w:val="21"/>
        </w:rPr>
        <w:t> </w:t>
      </w:r>
      <w:r>
        <w:rPr>
          <w:rFonts w:ascii="Arial"/>
          <w:color w:val="010202"/>
          <w:sz w:val="21"/>
        </w:rPr>
        <w:t>were</w:t>
      </w:r>
      <w:r>
        <w:rPr>
          <w:rFonts w:ascii="Arial"/>
          <w:color w:val="010202"/>
          <w:spacing w:val="-3"/>
          <w:sz w:val="21"/>
        </w:rPr>
        <w:t> </w:t>
      </w:r>
      <w:r>
        <w:rPr>
          <w:rFonts w:ascii="Arial"/>
          <w:color w:val="010202"/>
          <w:sz w:val="21"/>
        </w:rPr>
        <w:t>prescribed</w:t>
      </w:r>
      <w:r>
        <w:rPr>
          <w:rFonts w:ascii="Arial"/>
          <w:color w:val="010202"/>
          <w:spacing w:val="-2"/>
          <w:sz w:val="21"/>
        </w:rPr>
        <w:t> </w:t>
      </w:r>
      <w:r>
        <w:rPr>
          <w:rFonts w:ascii="Arial"/>
          <w:color w:val="010202"/>
          <w:sz w:val="21"/>
        </w:rPr>
        <w:t>anti-depressants</w:t>
      </w:r>
      <w:r>
        <w:rPr>
          <w:rFonts w:ascii="Arial"/>
          <w:color w:val="010202"/>
          <w:spacing w:val="-3"/>
          <w:sz w:val="21"/>
        </w:rPr>
        <w:t> </w:t>
      </w:r>
      <w:r>
        <w:rPr>
          <w:rFonts w:ascii="Arial"/>
          <w:color w:val="010202"/>
          <w:sz w:val="21"/>
        </w:rPr>
        <w:t>and</w:t>
      </w:r>
      <w:r>
        <w:rPr>
          <w:rFonts w:ascii="Arial"/>
          <w:color w:val="010202"/>
          <w:spacing w:val="-2"/>
          <w:sz w:val="21"/>
        </w:rPr>
        <w:t> </w:t>
      </w:r>
      <w:r>
        <w:rPr>
          <w:rFonts w:ascii="Arial"/>
          <w:color w:val="010202"/>
          <w:sz w:val="21"/>
        </w:rPr>
        <w:t>stimulants</w:t>
      </w:r>
      <w:r>
        <w:rPr>
          <w:rFonts w:ascii="Arial"/>
          <w:color w:val="010202"/>
          <w:spacing w:val="-2"/>
          <w:sz w:val="21"/>
        </w:rPr>
        <w:t> </w:t>
      </w:r>
      <w:r>
        <w:rPr>
          <w:rFonts w:ascii="Arial"/>
          <w:color w:val="010202"/>
          <w:sz w:val="21"/>
        </w:rPr>
        <w:t>to</w:t>
      </w:r>
      <w:r>
        <w:rPr>
          <w:rFonts w:ascii="Arial"/>
          <w:color w:val="010202"/>
          <w:spacing w:val="-1"/>
          <w:sz w:val="21"/>
        </w:rPr>
        <w:t> </w:t>
      </w:r>
      <w:r>
        <w:rPr>
          <w:rFonts w:ascii="Arial"/>
          <w:color w:val="010202"/>
          <w:sz w:val="21"/>
        </w:rPr>
        <w:t>treat</w:t>
      </w:r>
      <w:r>
        <w:rPr>
          <w:rFonts w:ascii="Arial"/>
          <w:color w:val="010202"/>
          <w:spacing w:val="-2"/>
          <w:sz w:val="21"/>
        </w:rPr>
        <w:t> </w:t>
      </w:r>
      <w:r>
        <w:rPr>
          <w:rFonts w:ascii="Arial"/>
          <w:color w:val="010202"/>
          <w:sz w:val="21"/>
        </w:rPr>
        <w:t>their</w:t>
      </w:r>
      <w:r>
        <w:rPr>
          <w:rFonts w:ascii="Arial"/>
          <w:color w:val="010202"/>
          <w:spacing w:val="-1"/>
          <w:sz w:val="21"/>
        </w:rPr>
        <w:t> </w:t>
      </w:r>
      <w:r>
        <w:rPr>
          <w:rFonts w:ascii="Arial"/>
          <w:color w:val="010202"/>
          <w:sz w:val="21"/>
        </w:rPr>
        <w:t>depression.</w:t>
      </w:r>
      <w:r>
        <w:rPr>
          <w:rFonts w:ascii="Arial"/>
          <w:color w:val="010202"/>
          <w:position w:val="7"/>
          <w:sz w:val="12"/>
        </w:rPr>
        <w:t>6</w:t>
      </w:r>
    </w:p>
    <w:p>
      <w:pPr>
        <w:spacing w:after="0" w:line="259" w:lineRule="auto"/>
        <w:jc w:val="left"/>
        <w:rPr>
          <w:rFonts w:ascii="Arial"/>
          <w:sz w:val="12"/>
        </w:rPr>
        <w:sectPr>
          <w:pgSz w:w="12240" w:h="15840"/>
          <w:pgMar w:header="0" w:footer="666" w:top="380" w:bottom="860" w:left="560" w:right="0"/>
        </w:sectPr>
      </w:pPr>
    </w:p>
    <w:p>
      <w:pPr>
        <w:pStyle w:val="BodyText"/>
        <w:rPr>
          <w:rFonts w:ascii="Arial"/>
          <w:sz w:val="20"/>
        </w:rPr>
      </w:pPr>
    </w:p>
    <w:p>
      <w:pPr>
        <w:pStyle w:val="BodyText"/>
        <w:rPr>
          <w:rFonts w:ascii="Arial"/>
          <w:sz w:val="20"/>
        </w:rPr>
      </w:pPr>
    </w:p>
    <w:p>
      <w:pPr>
        <w:pStyle w:val="BodyText"/>
        <w:rPr>
          <w:rFonts w:ascii="Arial"/>
          <w:sz w:val="20"/>
        </w:rPr>
      </w:pPr>
    </w:p>
    <w:p>
      <w:pPr>
        <w:spacing w:before="241"/>
        <w:ind w:left="160" w:right="0" w:firstLine="0"/>
        <w:jc w:val="left"/>
        <w:rPr>
          <w:rFonts w:ascii="Arial Black"/>
          <w:sz w:val="35"/>
        </w:rPr>
      </w:pPr>
      <w:bookmarkStart w:name="Reference List" w:id="134"/>
      <w:bookmarkEnd w:id="134"/>
      <w:r>
        <w:rPr/>
      </w:r>
      <w:r>
        <w:rPr>
          <w:rFonts w:ascii="Arial Black"/>
          <w:color w:val="231F20"/>
          <w:sz w:val="35"/>
        </w:rPr>
        <w:t>Reference</w:t>
      </w:r>
      <w:r>
        <w:rPr>
          <w:rFonts w:ascii="Arial Black"/>
          <w:color w:val="231F20"/>
          <w:spacing w:val="-11"/>
          <w:sz w:val="35"/>
        </w:rPr>
        <w:t> </w:t>
      </w:r>
      <w:r>
        <w:rPr>
          <w:rFonts w:ascii="Arial Black"/>
          <w:color w:val="231F20"/>
          <w:sz w:val="35"/>
        </w:rPr>
        <w:t>List</w:t>
      </w:r>
    </w:p>
    <w:p>
      <w:pPr>
        <w:pStyle w:val="BodyText"/>
        <w:rPr>
          <w:rFonts w:ascii="Arial Black"/>
          <w:sz w:val="20"/>
        </w:rPr>
      </w:pPr>
    </w:p>
    <w:p>
      <w:pPr>
        <w:pStyle w:val="BodyText"/>
        <w:rPr>
          <w:rFonts w:ascii="Arial Black"/>
          <w:sz w:val="20"/>
        </w:rPr>
      </w:pPr>
    </w:p>
    <w:p>
      <w:pPr>
        <w:pStyle w:val="BodyText"/>
        <w:spacing w:before="8"/>
        <w:rPr>
          <w:rFonts w:ascii="Arial Black"/>
          <w:sz w:val="16"/>
        </w:rPr>
      </w:pPr>
    </w:p>
    <w:p>
      <w:pPr>
        <w:spacing w:after="0"/>
        <w:rPr>
          <w:rFonts w:ascii="Arial Black"/>
          <w:sz w:val="16"/>
        </w:rPr>
        <w:sectPr>
          <w:pgSz w:w="12240" w:h="15840"/>
          <w:pgMar w:header="0" w:footer="666" w:top="380" w:bottom="860" w:left="560" w:right="0"/>
        </w:sectPr>
      </w:pPr>
    </w:p>
    <w:p>
      <w:pPr>
        <w:pStyle w:val="BodyText"/>
        <w:tabs>
          <w:tab w:pos="519" w:val="left" w:leader="none"/>
        </w:tabs>
        <w:spacing w:line="228" w:lineRule="auto" w:before="101"/>
        <w:ind w:left="520" w:right="38" w:hanging="305"/>
      </w:pPr>
      <w:r>
        <w:rPr/>
        <w:pict>
          <v:rect style="position:absolute;margin-left:0pt;margin-top:116.329102pt;width:612pt;height:1pt;mso-position-horizontal-relative:page;mso-position-vertical-relative:page;z-index:-18119168" id="docshape181" filled="true" fillcolor="#ce372e" stroked="false">
            <v:fill type="solid"/>
            <w10:wrap type="none"/>
          </v:rect>
        </w:pict>
      </w:r>
      <w:r>
        <w:rPr>
          <w:color w:val="231F20"/>
          <w:vertAlign w:val="superscript"/>
        </w:rPr>
        <w:t>1</w:t>
      </w:r>
      <w:r>
        <w:rPr>
          <w:color w:val="231F20"/>
          <w:vertAlign w:val="baseline"/>
        </w:rPr>
        <w:tab/>
      </w:r>
      <w:r>
        <w:rPr>
          <w:color w:val="231F20"/>
          <w:spacing w:val="-3"/>
          <w:vertAlign w:val="baseline"/>
        </w:rPr>
        <w:t>Taylor, </w:t>
      </w:r>
      <w:r>
        <w:rPr>
          <w:color w:val="231F20"/>
          <w:spacing w:val="-2"/>
          <w:vertAlign w:val="baseline"/>
        </w:rPr>
        <w:t>J. L., Walley, A. Y., &amp; Bazzi, A. R. (2019).</w:t>
      </w:r>
      <w:r>
        <w:rPr>
          <w:color w:val="231F20"/>
          <w:spacing w:val="-1"/>
          <w:vertAlign w:val="baseline"/>
        </w:rPr>
        <w:t> </w:t>
      </w:r>
      <w:r>
        <w:rPr>
          <w:color w:val="231F20"/>
          <w:vertAlign w:val="baseline"/>
        </w:rPr>
        <w:t>Stuck in the window with you: HIV exposure</w:t>
      </w:r>
      <w:r>
        <w:rPr>
          <w:color w:val="231F20"/>
          <w:spacing w:val="1"/>
          <w:vertAlign w:val="baseline"/>
        </w:rPr>
        <w:t> </w:t>
      </w:r>
      <w:r>
        <w:rPr>
          <w:color w:val="231F20"/>
          <w:vertAlign w:val="baseline"/>
        </w:rPr>
        <w:t>prophylaxis in the highest risk people who inject</w:t>
      </w:r>
      <w:r>
        <w:rPr>
          <w:color w:val="231F20"/>
          <w:spacing w:val="1"/>
          <w:vertAlign w:val="baseline"/>
        </w:rPr>
        <w:t> </w:t>
      </w:r>
      <w:r>
        <w:rPr>
          <w:color w:val="231F20"/>
          <w:vertAlign w:val="baseline"/>
        </w:rPr>
        <w:t>drugs.</w:t>
      </w:r>
      <w:r>
        <w:rPr>
          <w:color w:val="231F20"/>
          <w:spacing w:val="-4"/>
          <w:vertAlign w:val="baseline"/>
        </w:rPr>
        <w:t> </w:t>
      </w:r>
      <w:r>
        <w:rPr>
          <w:i/>
          <w:color w:val="231F20"/>
          <w:vertAlign w:val="baseline"/>
        </w:rPr>
        <w:t>Substance</w:t>
      </w:r>
      <w:r>
        <w:rPr>
          <w:i/>
          <w:color w:val="231F20"/>
          <w:spacing w:val="-7"/>
          <w:vertAlign w:val="baseline"/>
        </w:rPr>
        <w:t> </w:t>
      </w:r>
      <w:r>
        <w:rPr>
          <w:i/>
          <w:color w:val="231F20"/>
          <w:vertAlign w:val="baseline"/>
        </w:rPr>
        <w:t>Abuse,</w:t>
      </w:r>
      <w:r>
        <w:rPr>
          <w:i/>
          <w:color w:val="231F20"/>
          <w:spacing w:val="-3"/>
          <w:vertAlign w:val="baseline"/>
        </w:rPr>
        <w:t> </w:t>
      </w:r>
      <w:r>
        <w:rPr>
          <w:i/>
          <w:color w:val="231F20"/>
          <w:vertAlign w:val="baseline"/>
        </w:rPr>
        <w:t>40</w:t>
      </w:r>
      <w:r>
        <w:rPr>
          <w:color w:val="231F20"/>
          <w:vertAlign w:val="baseline"/>
        </w:rPr>
        <w:t>(4),</w:t>
      </w:r>
      <w:r>
        <w:rPr>
          <w:color w:val="231F20"/>
          <w:spacing w:val="-3"/>
          <w:vertAlign w:val="baseline"/>
        </w:rPr>
        <w:t> </w:t>
      </w:r>
      <w:r>
        <w:rPr>
          <w:color w:val="231F20"/>
          <w:vertAlign w:val="baseline"/>
        </w:rPr>
        <w:t>441-443.</w:t>
      </w:r>
      <w:r>
        <w:rPr>
          <w:color w:val="231F20"/>
          <w:spacing w:val="-4"/>
          <w:vertAlign w:val="baseline"/>
        </w:rPr>
        <w:t> </w:t>
      </w:r>
      <w:hyperlink r:id="rId344">
        <w:r>
          <w:rPr>
            <w:color w:val="3953A4"/>
            <w:u w:val="single" w:color="3953A4"/>
            <w:vertAlign w:val="baseline"/>
          </w:rPr>
          <w:t>https://doi.</w:t>
        </w:r>
      </w:hyperlink>
      <w:r>
        <w:rPr>
          <w:color w:val="3953A4"/>
          <w:spacing w:val="-52"/>
          <w:vertAlign w:val="baseline"/>
        </w:rPr>
        <w:t> </w:t>
      </w:r>
      <w:hyperlink r:id="rId344">
        <w:r>
          <w:rPr>
            <w:color w:val="3953A4"/>
            <w:u w:val="single" w:color="3953A4"/>
            <w:vertAlign w:val="baseline"/>
          </w:rPr>
          <w:t>org/10.1080/08897077.2019.1675118</w:t>
        </w:r>
      </w:hyperlink>
    </w:p>
    <w:p>
      <w:pPr>
        <w:tabs>
          <w:tab w:pos="519" w:val="left" w:leader="none"/>
        </w:tabs>
        <w:spacing w:line="228" w:lineRule="auto" w:before="89"/>
        <w:ind w:left="520" w:right="357" w:hanging="360"/>
        <w:jc w:val="left"/>
        <w:rPr>
          <w:sz w:val="22"/>
        </w:rPr>
      </w:pPr>
      <w:r>
        <w:rPr>
          <w:color w:val="231F20"/>
          <w:sz w:val="22"/>
          <w:vertAlign w:val="superscript"/>
        </w:rPr>
        <w:t>2</w:t>
      </w:r>
      <w:r>
        <w:rPr>
          <w:color w:val="231F20"/>
          <w:sz w:val="22"/>
          <w:vertAlign w:val="baseline"/>
        </w:rPr>
        <w:tab/>
        <w:t>Moyer, S. (2019, December 12). </w:t>
      </w:r>
      <w:r>
        <w:rPr>
          <w:i/>
          <w:color w:val="231F20"/>
          <w:sz w:val="22"/>
          <w:vertAlign w:val="baseline"/>
        </w:rPr>
        <w:t>Louisville’s</w:t>
      </w:r>
      <w:r>
        <w:rPr>
          <w:i/>
          <w:color w:val="231F20"/>
          <w:spacing w:val="1"/>
          <w:sz w:val="22"/>
          <w:vertAlign w:val="baseline"/>
        </w:rPr>
        <w:t> </w:t>
      </w:r>
      <w:r>
        <w:rPr>
          <w:i/>
          <w:color w:val="231F20"/>
          <w:sz w:val="22"/>
          <w:vertAlign w:val="baseline"/>
        </w:rPr>
        <w:t>syringe</w:t>
      </w:r>
      <w:r>
        <w:rPr>
          <w:i/>
          <w:color w:val="231F20"/>
          <w:spacing w:val="-5"/>
          <w:sz w:val="22"/>
          <w:vertAlign w:val="baseline"/>
        </w:rPr>
        <w:t> </w:t>
      </w:r>
      <w:r>
        <w:rPr>
          <w:i/>
          <w:color w:val="231F20"/>
          <w:sz w:val="22"/>
          <w:vertAlign w:val="baseline"/>
        </w:rPr>
        <w:t>exchange</w:t>
      </w:r>
      <w:r>
        <w:rPr>
          <w:i/>
          <w:color w:val="231F20"/>
          <w:spacing w:val="-3"/>
          <w:sz w:val="22"/>
          <w:vertAlign w:val="baseline"/>
        </w:rPr>
        <w:t> </w:t>
      </w:r>
      <w:r>
        <w:rPr>
          <w:i/>
          <w:color w:val="231F20"/>
          <w:sz w:val="22"/>
          <w:vertAlign w:val="baseline"/>
        </w:rPr>
        <w:t>-</w:t>
      </w:r>
      <w:r>
        <w:rPr>
          <w:i/>
          <w:color w:val="231F20"/>
          <w:spacing w:val="-3"/>
          <w:sz w:val="22"/>
          <w:vertAlign w:val="baseline"/>
        </w:rPr>
        <w:t> </w:t>
      </w:r>
      <w:r>
        <w:rPr>
          <w:i/>
          <w:color w:val="231F20"/>
          <w:sz w:val="22"/>
          <w:vertAlign w:val="baseline"/>
        </w:rPr>
        <w:t>preventing</w:t>
      </w:r>
      <w:r>
        <w:rPr>
          <w:i/>
          <w:color w:val="231F20"/>
          <w:spacing w:val="-4"/>
          <w:sz w:val="22"/>
          <w:vertAlign w:val="baseline"/>
        </w:rPr>
        <w:t> </w:t>
      </w:r>
      <w:r>
        <w:rPr>
          <w:i/>
          <w:color w:val="231F20"/>
          <w:sz w:val="22"/>
          <w:vertAlign w:val="baseline"/>
        </w:rPr>
        <w:t>HIV</w:t>
      </w:r>
      <w:r>
        <w:rPr>
          <w:i/>
          <w:color w:val="231F20"/>
          <w:spacing w:val="-8"/>
          <w:sz w:val="22"/>
          <w:vertAlign w:val="baseline"/>
        </w:rPr>
        <w:t> </w:t>
      </w:r>
      <w:r>
        <w:rPr>
          <w:i/>
          <w:color w:val="231F20"/>
          <w:sz w:val="22"/>
          <w:vertAlign w:val="baseline"/>
        </w:rPr>
        <w:t>transmission</w:t>
      </w:r>
      <w:r>
        <w:rPr>
          <w:i/>
          <w:color w:val="231F20"/>
          <w:spacing w:val="-52"/>
          <w:sz w:val="22"/>
          <w:vertAlign w:val="baseline"/>
        </w:rPr>
        <w:t> </w:t>
      </w:r>
      <w:r>
        <w:rPr>
          <w:i/>
          <w:color w:val="231F20"/>
          <w:sz w:val="22"/>
          <w:vertAlign w:val="baseline"/>
        </w:rPr>
        <w:t>while pointing to recovery</w:t>
      </w:r>
      <w:r>
        <w:rPr>
          <w:color w:val="231F20"/>
          <w:sz w:val="22"/>
          <w:vertAlign w:val="baseline"/>
        </w:rPr>
        <w:t>. Kentuckiana Health</w:t>
      </w:r>
      <w:r>
        <w:rPr>
          <w:color w:val="231F20"/>
          <w:spacing w:val="1"/>
          <w:sz w:val="22"/>
          <w:vertAlign w:val="baseline"/>
        </w:rPr>
        <w:t> </w:t>
      </w:r>
      <w:r>
        <w:rPr>
          <w:color w:val="231F20"/>
          <w:sz w:val="22"/>
          <w:vertAlign w:val="baseline"/>
        </w:rPr>
        <w:t>Collaborative. </w:t>
      </w:r>
      <w:hyperlink r:id="rId345">
        <w:r>
          <w:rPr>
            <w:color w:val="3953A4"/>
            <w:sz w:val="22"/>
            <w:u w:val="single" w:color="3953A4"/>
            <w:vertAlign w:val="baseline"/>
          </w:rPr>
          <w:t>https://www.khcollaborative.</w:t>
        </w:r>
      </w:hyperlink>
      <w:r>
        <w:rPr>
          <w:color w:val="3953A4"/>
          <w:spacing w:val="1"/>
          <w:sz w:val="22"/>
          <w:vertAlign w:val="baseline"/>
        </w:rPr>
        <w:t> </w:t>
      </w:r>
      <w:hyperlink r:id="rId345">
        <w:r>
          <w:rPr>
            <w:color w:val="3953A4"/>
            <w:sz w:val="22"/>
            <w:u w:val="single" w:color="3953A4"/>
            <w:vertAlign w:val="baseline"/>
          </w:rPr>
          <w:t>org/2019/12/louisvilles-syringe-exchange-2/</w:t>
        </w:r>
      </w:hyperlink>
    </w:p>
    <w:p>
      <w:pPr>
        <w:pStyle w:val="BodyText"/>
        <w:tabs>
          <w:tab w:pos="499" w:val="left" w:leader="none"/>
        </w:tabs>
        <w:spacing w:line="228" w:lineRule="auto" w:before="88"/>
        <w:ind w:left="519" w:right="159" w:hanging="360"/>
      </w:pPr>
      <w:r>
        <w:rPr>
          <w:color w:val="231F20"/>
          <w:vertAlign w:val="superscript"/>
        </w:rPr>
        <w:t>3</w:t>
      </w:r>
      <w:r>
        <w:rPr>
          <w:color w:val="231F20"/>
          <w:vertAlign w:val="baseline"/>
        </w:rPr>
        <w:tab/>
        <w:t>Chuah, F., Haldane, V. E., Cervero-Liceras, F.,</w:t>
      </w:r>
      <w:r>
        <w:rPr>
          <w:color w:val="231F20"/>
          <w:spacing w:val="1"/>
          <w:vertAlign w:val="baseline"/>
        </w:rPr>
        <w:t> </w:t>
      </w:r>
      <w:r>
        <w:rPr>
          <w:color w:val="231F20"/>
          <w:spacing w:val="-2"/>
          <w:vertAlign w:val="baseline"/>
        </w:rPr>
        <w:t>Ong, S. E., Sigfrid, </w:t>
      </w:r>
      <w:r>
        <w:rPr>
          <w:color w:val="231F20"/>
          <w:spacing w:val="-1"/>
          <w:vertAlign w:val="baseline"/>
        </w:rPr>
        <w:t>L. A., Murphy, G., Watt, N.,</w:t>
      </w:r>
      <w:r>
        <w:rPr>
          <w:color w:val="231F20"/>
          <w:vertAlign w:val="baseline"/>
        </w:rPr>
        <w:t> Balabanova,</w:t>
      </w:r>
      <w:r>
        <w:rPr>
          <w:color w:val="231F20"/>
          <w:spacing w:val="-8"/>
          <w:vertAlign w:val="baseline"/>
        </w:rPr>
        <w:t> </w:t>
      </w:r>
      <w:r>
        <w:rPr>
          <w:color w:val="231F20"/>
          <w:vertAlign w:val="baseline"/>
        </w:rPr>
        <w:t>D.,</w:t>
      </w:r>
      <w:r>
        <w:rPr>
          <w:color w:val="231F20"/>
          <w:spacing w:val="-8"/>
          <w:vertAlign w:val="baseline"/>
        </w:rPr>
        <w:t> </w:t>
      </w:r>
      <w:r>
        <w:rPr>
          <w:color w:val="231F20"/>
          <w:vertAlign w:val="baseline"/>
        </w:rPr>
        <w:t>Hogarth,</w:t>
      </w:r>
      <w:r>
        <w:rPr>
          <w:color w:val="231F20"/>
          <w:spacing w:val="-8"/>
          <w:vertAlign w:val="baseline"/>
        </w:rPr>
        <w:t> </w:t>
      </w:r>
      <w:r>
        <w:rPr>
          <w:color w:val="231F20"/>
          <w:vertAlign w:val="baseline"/>
        </w:rPr>
        <w:t>S.,</w:t>
      </w:r>
      <w:r>
        <w:rPr>
          <w:color w:val="231F20"/>
          <w:spacing w:val="-8"/>
          <w:vertAlign w:val="baseline"/>
        </w:rPr>
        <w:t> </w:t>
      </w:r>
      <w:r>
        <w:rPr>
          <w:color w:val="231F20"/>
          <w:vertAlign w:val="baseline"/>
        </w:rPr>
        <w:t>Maimaris,</w:t>
      </w:r>
      <w:r>
        <w:rPr>
          <w:color w:val="231F20"/>
          <w:spacing w:val="-11"/>
          <w:vertAlign w:val="baseline"/>
        </w:rPr>
        <w:t> </w:t>
      </w:r>
      <w:r>
        <w:rPr>
          <w:color w:val="231F20"/>
          <w:vertAlign w:val="baseline"/>
        </w:rPr>
        <w:t>W.,</w:t>
      </w:r>
      <w:r>
        <w:rPr>
          <w:color w:val="231F20"/>
          <w:spacing w:val="-7"/>
          <w:vertAlign w:val="baseline"/>
        </w:rPr>
        <w:t> </w:t>
      </w:r>
      <w:r>
        <w:rPr>
          <w:color w:val="231F20"/>
          <w:vertAlign w:val="baseline"/>
        </w:rPr>
        <w:t>Otero,</w:t>
      </w:r>
      <w:r>
        <w:rPr>
          <w:color w:val="231F20"/>
          <w:spacing w:val="-52"/>
          <w:vertAlign w:val="baseline"/>
        </w:rPr>
        <w:t> </w:t>
      </w:r>
      <w:r>
        <w:rPr>
          <w:color w:val="231F20"/>
          <w:vertAlign w:val="baseline"/>
        </w:rPr>
        <w:t>L., Buse, K., McKee, M., Piot, P., Perel, P., &amp;</w:t>
      </w:r>
      <w:r>
        <w:rPr>
          <w:color w:val="231F20"/>
          <w:spacing w:val="1"/>
          <w:vertAlign w:val="baseline"/>
        </w:rPr>
        <w:t> </w:t>
      </w:r>
      <w:r>
        <w:rPr>
          <w:color w:val="231F20"/>
          <w:vertAlign w:val="baseline"/>
        </w:rPr>
        <w:t>Legido-Quigley, H. (2017). Interventions and</w:t>
      </w:r>
      <w:r>
        <w:rPr>
          <w:color w:val="231F20"/>
          <w:spacing w:val="1"/>
          <w:vertAlign w:val="baseline"/>
        </w:rPr>
        <w:t> </w:t>
      </w:r>
      <w:r>
        <w:rPr>
          <w:color w:val="231F20"/>
          <w:vertAlign w:val="baseline"/>
        </w:rPr>
        <w:t>approaches to integrating HIV and mental health</w:t>
      </w:r>
      <w:r>
        <w:rPr>
          <w:color w:val="231F20"/>
          <w:spacing w:val="1"/>
          <w:vertAlign w:val="baseline"/>
        </w:rPr>
        <w:t> </w:t>
      </w:r>
      <w:r>
        <w:rPr>
          <w:color w:val="231F20"/>
          <w:vertAlign w:val="baseline"/>
        </w:rPr>
        <w:t>services: a systematic review. </w:t>
      </w:r>
      <w:r>
        <w:rPr>
          <w:i/>
          <w:color w:val="231F20"/>
          <w:vertAlign w:val="baseline"/>
        </w:rPr>
        <w:t>Health policy and</w:t>
      </w:r>
      <w:r>
        <w:rPr>
          <w:i/>
          <w:color w:val="231F20"/>
          <w:spacing w:val="1"/>
          <w:vertAlign w:val="baseline"/>
        </w:rPr>
        <w:t> </w:t>
      </w:r>
      <w:r>
        <w:rPr>
          <w:i/>
          <w:color w:val="231F20"/>
          <w:vertAlign w:val="baseline"/>
        </w:rPr>
        <w:t>planning</w:t>
      </w:r>
      <w:r>
        <w:rPr>
          <w:color w:val="231F20"/>
          <w:vertAlign w:val="baseline"/>
        </w:rPr>
        <w:t>, </w:t>
      </w:r>
      <w:r>
        <w:rPr>
          <w:i/>
          <w:color w:val="231F20"/>
          <w:vertAlign w:val="baseline"/>
        </w:rPr>
        <w:t>32</w:t>
      </w:r>
      <w:r>
        <w:rPr>
          <w:color w:val="231F20"/>
          <w:vertAlign w:val="baseline"/>
        </w:rPr>
        <w:t>(suppl_4), iv27–iv47. </w:t>
      </w:r>
      <w:hyperlink r:id="rId286">
        <w:r>
          <w:rPr>
            <w:color w:val="3953A4"/>
            <w:u w:val="single" w:color="3953A4"/>
            <w:vertAlign w:val="baseline"/>
          </w:rPr>
          <w:t>https://doi.</w:t>
        </w:r>
      </w:hyperlink>
      <w:r>
        <w:rPr>
          <w:color w:val="3953A4"/>
          <w:spacing w:val="1"/>
          <w:vertAlign w:val="baseline"/>
        </w:rPr>
        <w:t> </w:t>
      </w:r>
      <w:hyperlink r:id="rId286">
        <w:r>
          <w:rPr>
            <w:color w:val="3953A4"/>
            <w:u w:val="single" w:color="3953A4"/>
            <w:vertAlign w:val="baseline"/>
          </w:rPr>
          <w:t>org/10.1093/heapol/czw169</w:t>
        </w:r>
      </w:hyperlink>
    </w:p>
    <w:p>
      <w:pPr>
        <w:pStyle w:val="BodyText"/>
        <w:tabs>
          <w:tab w:pos="519" w:val="left" w:leader="none"/>
        </w:tabs>
        <w:spacing w:line="228" w:lineRule="auto" w:before="101"/>
        <w:ind w:left="520" w:right="864" w:hanging="361"/>
      </w:pPr>
      <w:r>
        <w:rPr/>
        <w:br w:type="column"/>
      </w:r>
      <w:r>
        <w:rPr>
          <w:color w:val="231F20"/>
          <w:vertAlign w:val="superscript"/>
        </w:rPr>
        <w:t>4</w:t>
      </w:r>
      <w:r>
        <w:rPr>
          <w:color w:val="231F20"/>
          <w:vertAlign w:val="baseline"/>
        </w:rPr>
        <w:tab/>
        <w:t>Spitzer, R. L., Kroenke, K., Williams, J. B. W., &amp;</w:t>
      </w:r>
      <w:r>
        <w:rPr>
          <w:color w:val="231F20"/>
          <w:spacing w:val="1"/>
          <w:vertAlign w:val="baseline"/>
        </w:rPr>
        <w:t> </w:t>
      </w:r>
      <w:r>
        <w:rPr>
          <w:color w:val="231F20"/>
          <w:vertAlign w:val="baseline"/>
        </w:rPr>
        <w:t>Löwe, B. (2006). The brief measure for assessing</w:t>
      </w:r>
      <w:r>
        <w:rPr>
          <w:color w:val="231F20"/>
          <w:spacing w:val="1"/>
          <w:vertAlign w:val="baseline"/>
        </w:rPr>
        <w:t> </w:t>
      </w:r>
      <w:r>
        <w:rPr>
          <w:color w:val="231F20"/>
          <w:vertAlign w:val="baseline"/>
        </w:rPr>
        <w:t>generalized</w:t>
      </w:r>
      <w:r>
        <w:rPr>
          <w:color w:val="231F20"/>
          <w:spacing w:val="-3"/>
          <w:vertAlign w:val="baseline"/>
        </w:rPr>
        <w:t> </w:t>
      </w:r>
      <w:r>
        <w:rPr>
          <w:color w:val="231F20"/>
          <w:vertAlign w:val="baseline"/>
        </w:rPr>
        <w:t>anxiety</w:t>
      </w:r>
      <w:r>
        <w:rPr>
          <w:color w:val="231F20"/>
          <w:spacing w:val="-3"/>
          <w:vertAlign w:val="baseline"/>
        </w:rPr>
        <w:t> </w:t>
      </w:r>
      <w:r>
        <w:rPr>
          <w:color w:val="231F20"/>
          <w:vertAlign w:val="baseline"/>
        </w:rPr>
        <w:t>disorder:</w:t>
      </w:r>
      <w:r>
        <w:rPr>
          <w:color w:val="231F20"/>
          <w:spacing w:val="-7"/>
          <w:vertAlign w:val="baseline"/>
        </w:rPr>
        <w:t> </w:t>
      </w:r>
      <w:r>
        <w:rPr>
          <w:color w:val="231F20"/>
          <w:vertAlign w:val="baseline"/>
        </w:rPr>
        <w:t>The</w:t>
      </w:r>
      <w:r>
        <w:rPr>
          <w:color w:val="231F20"/>
          <w:spacing w:val="-3"/>
          <w:vertAlign w:val="baseline"/>
        </w:rPr>
        <w:t> </w:t>
      </w:r>
      <w:r>
        <w:rPr>
          <w:color w:val="231F20"/>
          <w:vertAlign w:val="baseline"/>
        </w:rPr>
        <w:t>GAD-7.</w:t>
      </w:r>
      <w:r>
        <w:rPr>
          <w:color w:val="231F20"/>
          <w:spacing w:val="-4"/>
          <w:vertAlign w:val="baseline"/>
        </w:rPr>
        <w:t> </w:t>
      </w:r>
      <w:r>
        <w:rPr>
          <w:i/>
          <w:color w:val="231F20"/>
          <w:vertAlign w:val="baseline"/>
        </w:rPr>
        <w:t>Archives</w:t>
      </w:r>
      <w:r>
        <w:rPr>
          <w:i/>
          <w:color w:val="231F20"/>
          <w:spacing w:val="-52"/>
          <w:vertAlign w:val="baseline"/>
        </w:rPr>
        <w:t> </w:t>
      </w:r>
      <w:r>
        <w:rPr>
          <w:i/>
          <w:color w:val="231F20"/>
          <w:vertAlign w:val="baseline"/>
        </w:rPr>
        <w:t>of Internal Medicine, 166</w:t>
      </w:r>
      <w:r>
        <w:rPr>
          <w:color w:val="231F20"/>
          <w:vertAlign w:val="baseline"/>
        </w:rPr>
        <w:t>(10), 1092-1097. </w:t>
      </w:r>
      <w:hyperlink r:id="rId346">
        <w:r>
          <w:rPr>
            <w:color w:val="3953A4"/>
            <w:u w:val="single" w:color="3953A4"/>
            <w:vertAlign w:val="baseline"/>
          </w:rPr>
          <w:t>https://</w:t>
        </w:r>
      </w:hyperlink>
      <w:r>
        <w:rPr>
          <w:color w:val="3953A4"/>
          <w:spacing w:val="1"/>
          <w:vertAlign w:val="baseline"/>
        </w:rPr>
        <w:t> </w:t>
      </w:r>
      <w:hyperlink r:id="rId346">
        <w:r>
          <w:rPr>
            <w:color w:val="3953A4"/>
            <w:u w:val="single" w:color="3953A4"/>
            <w:vertAlign w:val="baseline"/>
          </w:rPr>
          <w:t>doi.org/10.1001/archinte.166.10.1092</w:t>
        </w:r>
      </w:hyperlink>
    </w:p>
    <w:p>
      <w:pPr>
        <w:pStyle w:val="BodyText"/>
        <w:tabs>
          <w:tab w:pos="519" w:val="left" w:leader="none"/>
        </w:tabs>
        <w:spacing w:line="228" w:lineRule="auto" w:before="89"/>
        <w:ind w:left="520" w:right="793" w:hanging="360"/>
      </w:pPr>
      <w:r>
        <w:rPr>
          <w:color w:val="231F20"/>
          <w:vertAlign w:val="superscript"/>
        </w:rPr>
        <w:t>5</w:t>
      </w:r>
      <w:r>
        <w:rPr>
          <w:color w:val="231F20"/>
          <w:vertAlign w:val="baseline"/>
        </w:rPr>
        <w:tab/>
        <w:t>Patient</w:t>
      </w:r>
      <w:r>
        <w:rPr>
          <w:color w:val="231F20"/>
          <w:spacing w:val="-10"/>
          <w:vertAlign w:val="baseline"/>
        </w:rPr>
        <w:t> </w:t>
      </w:r>
      <w:r>
        <w:rPr>
          <w:color w:val="231F20"/>
          <w:vertAlign w:val="baseline"/>
        </w:rPr>
        <w:t>Health</w:t>
      </w:r>
      <w:r>
        <w:rPr>
          <w:color w:val="231F20"/>
          <w:spacing w:val="-9"/>
          <w:vertAlign w:val="baseline"/>
        </w:rPr>
        <w:t> </w:t>
      </w:r>
      <w:r>
        <w:rPr>
          <w:color w:val="231F20"/>
          <w:vertAlign w:val="baseline"/>
        </w:rPr>
        <w:t>Questionnaire</w:t>
      </w:r>
      <w:r>
        <w:rPr>
          <w:color w:val="231F20"/>
          <w:spacing w:val="-9"/>
          <w:vertAlign w:val="baseline"/>
        </w:rPr>
        <w:t> </w:t>
      </w:r>
      <w:r>
        <w:rPr>
          <w:color w:val="231F20"/>
          <w:vertAlign w:val="baseline"/>
        </w:rPr>
        <w:t>(PHQ-9).</w:t>
      </w:r>
      <w:r>
        <w:rPr>
          <w:color w:val="231F20"/>
          <w:spacing w:val="-8"/>
          <w:vertAlign w:val="baseline"/>
        </w:rPr>
        <w:t> </w:t>
      </w:r>
      <w:hyperlink r:id="rId347">
        <w:r>
          <w:rPr>
            <w:color w:val="3953A4"/>
            <w:u w:val="single" w:color="3953A4"/>
            <w:vertAlign w:val="baseline"/>
          </w:rPr>
          <w:t>https://www.</w:t>
        </w:r>
      </w:hyperlink>
      <w:r>
        <w:rPr>
          <w:color w:val="3953A4"/>
          <w:spacing w:val="-52"/>
          <w:vertAlign w:val="baseline"/>
        </w:rPr>
        <w:t> </w:t>
      </w:r>
      <w:hyperlink r:id="rId347">
        <w:r>
          <w:rPr>
            <w:color w:val="3953A4"/>
            <w:u w:val="single" w:color="3953A4"/>
            <w:vertAlign w:val="baseline"/>
          </w:rPr>
          <w:t>med.umich.edu/1info/FHP/practiceguides/depress/</w:t>
        </w:r>
      </w:hyperlink>
      <w:r>
        <w:rPr>
          <w:color w:val="3953A4"/>
          <w:spacing w:val="1"/>
          <w:vertAlign w:val="baseline"/>
        </w:rPr>
        <w:t> </w:t>
      </w:r>
      <w:hyperlink r:id="rId347">
        <w:r>
          <w:rPr>
            <w:color w:val="3953A4"/>
            <w:u w:val="single" w:color="3953A4"/>
            <w:vertAlign w:val="baseline"/>
          </w:rPr>
          <w:t>phq-9.pdf</w:t>
        </w:r>
      </w:hyperlink>
    </w:p>
    <w:p>
      <w:pPr>
        <w:pStyle w:val="BodyText"/>
        <w:tabs>
          <w:tab w:pos="519" w:val="left" w:leader="none"/>
        </w:tabs>
        <w:spacing w:line="246" w:lineRule="exact" w:before="78"/>
        <w:ind w:left="160"/>
      </w:pPr>
      <w:r>
        <w:rPr>
          <w:color w:val="231F20"/>
          <w:vertAlign w:val="superscript"/>
        </w:rPr>
        <w:t>6</w:t>
      </w:r>
      <w:r>
        <w:rPr>
          <w:color w:val="231F20"/>
          <w:vertAlign w:val="baseline"/>
        </w:rPr>
        <w:tab/>
      </w:r>
      <w:r>
        <w:rPr>
          <w:color w:val="231F20"/>
          <w:spacing w:val="-1"/>
          <w:vertAlign w:val="baseline"/>
        </w:rPr>
        <w:t>Coleman, </w:t>
      </w:r>
      <w:r>
        <w:rPr>
          <w:color w:val="231F20"/>
          <w:vertAlign w:val="baseline"/>
        </w:rPr>
        <w:t>S.</w:t>
      </w:r>
      <w:r>
        <w:rPr>
          <w:color w:val="231F20"/>
          <w:spacing w:val="-1"/>
          <w:vertAlign w:val="baseline"/>
        </w:rPr>
        <w:t> </w:t>
      </w:r>
      <w:r>
        <w:rPr>
          <w:color w:val="231F20"/>
          <w:vertAlign w:val="baseline"/>
        </w:rPr>
        <w:t>M.,</w:t>
      </w:r>
      <w:r>
        <w:rPr>
          <w:color w:val="231F20"/>
          <w:spacing w:val="-2"/>
          <w:vertAlign w:val="baseline"/>
        </w:rPr>
        <w:t> </w:t>
      </w:r>
      <w:r>
        <w:rPr>
          <w:color w:val="231F20"/>
          <w:vertAlign w:val="baseline"/>
        </w:rPr>
        <w:t>Blashill,</w:t>
      </w:r>
      <w:r>
        <w:rPr>
          <w:color w:val="231F20"/>
          <w:spacing w:val="-13"/>
          <w:vertAlign w:val="baseline"/>
        </w:rPr>
        <w:t> </w:t>
      </w:r>
      <w:r>
        <w:rPr>
          <w:color w:val="231F20"/>
          <w:vertAlign w:val="baseline"/>
        </w:rPr>
        <w:t>A.</w:t>
      </w:r>
      <w:r>
        <w:rPr>
          <w:color w:val="231F20"/>
          <w:spacing w:val="-2"/>
          <w:vertAlign w:val="baseline"/>
        </w:rPr>
        <w:t> </w:t>
      </w:r>
      <w:r>
        <w:rPr>
          <w:color w:val="231F20"/>
          <w:vertAlign w:val="baseline"/>
        </w:rPr>
        <w:t>J.,</w:t>
      </w:r>
      <w:r>
        <w:rPr>
          <w:color w:val="231F20"/>
          <w:spacing w:val="-1"/>
          <w:vertAlign w:val="baseline"/>
        </w:rPr>
        <w:t> </w:t>
      </w:r>
      <w:r>
        <w:rPr>
          <w:color w:val="231F20"/>
          <w:vertAlign w:val="baseline"/>
        </w:rPr>
        <w:t>Gandhi,</w:t>
      </w:r>
      <w:r>
        <w:rPr>
          <w:color w:val="231F20"/>
          <w:spacing w:val="-2"/>
          <w:vertAlign w:val="baseline"/>
        </w:rPr>
        <w:t> </w:t>
      </w:r>
      <w:r>
        <w:rPr>
          <w:color w:val="231F20"/>
          <w:vertAlign w:val="baseline"/>
        </w:rPr>
        <w:t>R.</w:t>
      </w:r>
    </w:p>
    <w:p>
      <w:pPr>
        <w:pStyle w:val="BodyText"/>
        <w:spacing w:line="228" w:lineRule="auto" w:before="4"/>
        <w:ind w:left="520" w:right="1072"/>
      </w:pPr>
      <w:r>
        <w:rPr>
          <w:color w:val="231F20"/>
          <w:spacing w:val="-2"/>
        </w:rPr>
        <w:t>T., </w:t>
      </w:r>
      <w:r>
        <w:rPr>
          <w:color w:val="231F20"/>
          <w:spacing w:val="-1"/>
        </w:rPr>
        <w:t>Safren, S. A., &amp; Freudenreich, O. (2012).</w:t>
      </w:r>
      <w:r>
        <w:rPr>
          <w:color w:val="231F20"/>
        </w:rPr>
        <w:t> Impact of integrated and measurement-based</w:t>
      </w:r>
      <w:r>
        <w:rPr>
          <w:color w:val="231F20"/>
          <w:spacing w:val="1"/>
        </w:rPr>
        <w:t> </w:t>
      </w:r>
      <w:r>
        <w:rPr>
          <w:color w:val="231F20"/>
        </w:rPr>
        <w:t>depression care: clinical experience in an HIV</w:t>
      </w:r>
      <w:r>
        <w:rPr>
          <w:color w:val="231F20"/>
          <w:spacing w:val="1"/>
        </w:rPr>
        <w:t> </w:t>
      </w:r>
      <w:r>
        <w:rPr>
          <w:color w:val="231F20"/>
        </w:rPr>
        <w:t>clinic. </w:t>
      </w:r>
      <w:r>
        <w:rPr>
          <w:i/>
          <w:color w:val="231F20"/>
        </w:rPr>
        <w:t>Psychosomatics</w:t>
      </w:r>
      <w:r>
        <w:rPr>
          <w:color w:val="231F20"/>
        </w:rPr>
        <w:t>, </w:t>
      </w:r>
      <w:r>
        <w:rPr>
          <w:i/>
          <w:color w:val="231F20"/>
        </w:rPr>
        <w:t>53</w:t>
      </w:r>
      <w:r>
        <w:rPr>
          <w:color w:val="231F20"/>
        </w:rPr>
        <w:t>(1), 51–57.</w:t>
      </w:r>
      <w:r>
        <w:rPr>
          <w:color w:val="3953A4"/>
        </w:rPr>
        <w:t> </w:t>
      </w:r>
      <w:hyperlink r:id="rId348">
        <w:r>
          <w:rPr>
            <w:color w:val="3953A4"/>
            <w:u w:val="single" w:color="3953A4"/>
          </w:rPr>
          <w:t>https://doi.</w:t>
        </w:r>
      </w:hyperlink>
      <w:r>
        <w:rPr>
          <w:color w:val="3953A4"/>
          <w:spacing w:val="-52"/>
        </w:rPr>
        <w:t> </w:t>
      </w:r>
      <w:hyperlink r:id="rId348">
        <w:r>
          <w:rPr>
            <w:color w:val="3953A4"/>
            <w:u w:val="single" w:color="3953A4"/>
          </w:rPr>
          <w:t>org/10.1016/j.psym.2011.07.004</w:t>
        </w:r>
      </w:hyperlink>
    </w:p>
    <w:p>
      <w:pPr>
        <w:spacing w:after="0" w:line="228" w:lineRule="auto"/>
        <w:sectPr>
          <w:type w:val="continuous"/>
          <w:pgSz w:w="12240" w:h="15840"/>
          <w:pgMar w:header="0" w:footer="666" w:top="1500" w:bottom="0" w:left="560" w:right="0"/>
          <w:cols w:num="2" w:equalWidth="0">
            <w:col w:w="5128" w:space="632"/>
            <w:col w:w="5920"/>
          </w:cols>
        </w:sectPr>
      </w:pPr>
    </w:p>
    <w:p>
      <w:pPr>
        <w:pStyle w:val="BodyText"/>
        <w:ind w:left="-560"/>
        <w:rPr>
          <w:sz w:val="20"/>
        </w:rPr>
      </w:pPr>
      <w:r>
        <w:rPr>
          <w:sz w:val="20"/>
        </w:rPr>
        <w:pict>
          <v:group style="width:119.55pt;height:111.25pt;mso-position-horizontal-relative:char;mso-position-vertical-relative:line" id="docshapegroup185" coordorigin="0,0" coordsize="2391,2225">
            <v:rect style="position:absolute;left:0;top:0;width:720;height:394" id="docshape186" filled="true" fillcolor="#1d384a" stroked="false">
              <v:fill type="solid"/>
            </v:rect>
            <v:shape style="position:absolute;left:720;top:0;width:1671;height:2225" type="#_x0000_t202" id="docshape187" filled="true" fillcolor="#cf382d" stroked="false">
              <v:textbox inset="0,0,0,0">
                <w:txbxContent>
                  <w:p>
                    <w:pPr>
                      <w:spacing w:line="1580" w:lineRule="exact" w:before="644"/>
                      <w:ind w:left="354" w:right="0" w:firstLine="0"/>
                      <w:jc w:val="left"/>
                      <w:rPr>
                        <w:rFonts w:ascii="Arial"/>
                        <w:color w:val="000000"/>
                        <w:sz w:val="16"/>
                      </w:rPr>
                    </w:pPr>
                    <w:bookmarkStart w:name="CHAPTER 5 Resources for Evaluation and Q" w:id="135"/>
                    <w:bookmarkEnd w:id="135"/>
                    <w:r>
                      <w:rPr>
                        <w:color w:val="000000"/>
                      </w:rPr>
                    </w:r>
                    <w:bookmarkStart w:name="_bookmark5" w:id="136"/>
                    <w:bookmarkEnd w:id="136"/>
                    <w:r>
                      <w:rPr>
                        <w:color w:val="000000"/>
                      </w:rPr>
                    </w:r>
                    <w:r>
                      <w:rPr>
                        <w:rFonts w:ascii="Arial Black"/>
                        <w:color w:val="FFFFFF"/>
                        <w:spacing w:val="-911"/>
                        <w:position w:val="-119"/>
                        <w:sz w:val="144"/>
                      </w:rPr>
                      <w:t>5</w:t>
                    </w:r>
                    <w:r>
                      <w:rPr>
                        <w:rFonts w:ascii="Arial"/>
                        <w:color w:val="FFFFFF"/>
                        <w:spacing w:val="15"/>
                        <w:sz w:val="16"/>
                      </w:rPr>
                      <w:t>CHAPTE</w:t>
                    </w:r>
                    <w:r>
                      <w:rPr>
                        <w:rFonts w:ascii="Arial"/>
                        <w:color w:val="FFFFFF"/>
                        <w:sz w:val="16"/>
                      </w:rPr>
                      <w:t>R</w:t>
                    </w:r>
                    <w:r>
                      <w:rPr>
                        <w:rFonts w:ascii="Arial"/>
                        <w:color w:val="FFFFFF"/>
                        <w:spacing w:val="-29"/>
                        <w:sz w:val="16"/>
                      </w:rPr>
                      <w:t> </w:t>
                    </w:r>
                  </w:p>
                </w:txbxContent>
              </v:textbox>
              <v:fill type="solid"/>
              <w10:wrap type="none"/>
            </v:shape>
          </v:group>
        </w:pict>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p>
      <w:pPr>
        <w:spacing w:after="0"/>
        <w:rPr>
          <w:sz w:val="25"/>
        </w:rPr>
        <w:sectPr>
          <w:headerReference w:type="default" r:id="rId349"/>
          <w:footerReference w:type="default" r:id="rId350"/>
          <w:pgSz w:w="12240" w:h="15840"/>
          <w:pgMar w:header="0" w:footer="666" w:top="0" w:bottom="860" w:left="560" w:right="0"/>
        </w:sectPr>
      </w:pPr>
    </w:p>
    <w:p>
      <w:pPr>
        <w:pStyle w:val="BodyText"/>
        <w:spacing w:line="266" w:lineRule="auto" w:before="90"/>
        <w:ind w:left="160" w:right="21"/>
      </w:pPr>
      <w:r>
        <w:rPr>
          <w:color w:val="231F20"/>
        </w:rPr>
        <w:t>Evaluating a practice or program answers critical</w:t>
      </w:r>
      <w:r>
        <w:rPr>
          <w:color w:val="231F20"/>
          <w:spacing w:val="1"/>
        </w:rPr>
        <w:t> </w:t>
      </w:r>
      <w:r>
        <w:rPr>
          <w:color w:val="231F20"/>
        </w:rPr>
        <w:t>questions about how well a practice has been</w:t>
      </w:r>
      <w:r>
        <w:rPr>
          <w:color w:val="231F20"/>
          <w:spacing w:val="1"/>
        </w:rPr>
        <w:t> </w:t>
      </w:r>
      <w:r>
        <w:rPr>
          <w:color w:val="231F20"/>
        </w:rPr>
        <w:t>implemented, and what is and is not working. Evaluation</w:t>
      </w:r>
      <w:r>
        <w:rPr>
          <w:color w:val="231F20"/>
          <w:spacing w:val="-52"/>
        </w:rPr>
        <w:t> </w:t>
      </w:r>
      <w:r>
        <w:rPr>
          <w:color w:val="231F20"/>
        </w:rPr>
        <w:t>can</w:t>
      </w:r>
      <w:r>
        <w:rPr>
          <w:color w:val="231F20"/>
          <w:spacing w:val="-1"/>
        </w:rPr>
        <w:t> </w:t>
      </w:r>
      <w:r>
        <w:rPr>
          <w:color w:val="231F20"/>
        </w:rPr>
        <w:t>also</w:t>
      </w:r>
      <w:r>
        <w:rPr>
          <w:color w:val="231F20"/>
          <w:spacing w:val="-1"/>
        </w:rPr>
        <w:t> </w:t>
      </w:r>
      <w:r>
        <w:rPr>
          <w:color w:val="231F20"/>
        </w:rPr>
        <w:t>show</w:t>
      </w:r>
      <w:r>
        <w:rPr>
          <w:color w:val="231F20"/>
          <w:spacing w:val="-2"/>
        </w:rPr>
        <w:t> </w:t>
      </w:r>
      <w:r>
        <w:rPr>
          <w:color w:val="231F20"/>
        </w:rPr>
        <w:t>how</w:t>
      </w:r>
      <w:r>
        <w:rPr>
          <w:color w:val="231F20"/>
          <w:spacing w:val="-1"/>
        </w:rPr>
        <w:t> </w:t>
      </w:r>
      <w:r>
        <w:rPr>
          <w:color w:val="231F20"/>
        </w:rPr>
        <w:t>clients benefit</w:t>
      </w:r>
      <w:r>
        <w:rPr>
          <w:color w:val="231F20"/>
          <w:spacing w:val="-1"/>
        </w:rPr>
        <w:t> </w:t>
      </w:r>
      <w:r>
        <w:rPr>
          <w:color w:val="231F20"/>
        </w:rPr>
        <w:t>from</w:t>
      </w:r>
      <w:r>
        <w:rPr>
          <w:color w:val="231F20"/>
          <w:spacing w:val="-1"/>
        </w:rPr>
        <w:t> </w:t>
      </w:r>
      <w:r>
        <w:rPr>
          <w:color w:val="231F20"/>
        </w:rPr>
        <w:t>a</w:t>
      </w:r>
      <w:r>
        <w:rPr>
          <w:color w:val="231F20"/>
          <w:spacing w:val="-1"/>
        </w:rPr>
        <w:t> </w:t>
      </w:r>
      <w:r>
        <w:rPr>
          <w:color w:val="231F20"/>
        </w:rPr>
        <w:t>program.</w:t>
      </w:r>
    </w:p>
    <w:p>
      <w:pPr>
        <w:pStyle w:val="BodyText"/>
        <w:spacing w:line="266" w:lineRule="auto"/>
        <w:ind w:left="160" w:right="271"/>
      </w:pPr>
      <w:r>
        <w:rPr>
          <w:color w:val="231F20"/>
        </w:rPr>
        <w:t>This information can be helpful in making program</w:t>
      </w:r>
      <w:r>
        <w:rPr>
          <w:color w:val="231F20"/>
          <w:spacing w:val="1"/>
        </w:rPr>
        <w:t> </w:t>
      </w:r>
      <w:r>
        <w:rPr>
          <w:color w:val="231F20"/>
        </w:rPr>
        <w:t>adjustments,</w:t>
      </w:r>
      <w:r>
        <w:rPr>
          <w:color w:val="231F20"/>
          <w:spacing w:val="-5"/>
        </w:rPr>
        <w:t> </w:t>
      </w:r>
      <w:r>
        <w:rPr>
          <w:color w:val="231F20"/>
        </w:rPr>
        <w:t>if</w:t>
      </w:r>
      <w:r>
        <w:rPr>
          <w:color w:val="231F20"/>
          <w:spacing w:val="-5"/>
        </w:rPr>
        <w:t> </w:t>
      </w:r>
      <w:r>
        <w:rPr>
          <w:color w:val="231F20"/>
        </w:rPr>
        <w:t>necessary,</w:t>
      </w:r>
      <w:r>
        <w:rPr>
          <w:color w:val="231F20"/>
          <w:spacing w:val="-5"/>
        </w:rPr>
        <w:t> </w:t>
      </w:r>
      <w:r>
        <w:rPr>
          <w:color w:val="231F20"/>
        </w:rPr>
        <w:t>and</w:t>
      </w:r>
      <w:r>
        <w:rPr>
          <w:color w:val="231F20"/>
          <w:spacing w:val="-4"/>
        </w:rPr>
        <w:t> </w:t>
      </w:r>
      <w:r>
        <w:rPr>
          <w:color w:val="231F20"/>
        </w:rPr>
        <w:t>demonstrating</w:t>
      </w:r>
      <w:r>
        <w:rPr>
          <w:color w:val="231F20"/>
          <w:spacing w:val="-5"/>
        </w:rPr>
        <w:t> </w:t>
      </w:r>
      <w:r>
        <w:rPr>
          <w:color w:val="231F20"/>
        </w:rPr>
        <w:t>the</w:t>
      </w:r>
      <w:r>
        <w:rPr>
          <w:color w:val="231F20"/>
          <w:spacing w:val="-5"/>
        </w:rPr>
        <w:t> </w:t>
      </w:r>
      <w:r>
        <w:rPr>
          <w:color w:val="231F20"/>
        </w:rPr>
        <w:t>value</w:t>
      </w:r>
      <w:r>
        <w:rPr>
          <w:color w:val="231F20"/>
          <w:spacing w:val="-52"/>
        </w:rPr>
        <w:t> </w:t>
      </w:r>
      <w:r>
        <w:rPr>
          <w:color w:val="231F20"/>
        </w:rPr>
        <w:t>of a program or practice to justify its continuation and</w:t>
      </w:r>
      <w:r>
        <w:rPr>
          <w:color w:val="231F20"/>
          <w:spacing w:val="-52"/>
        </w:rPr>
        <w:t> </w:t>
      </w:r>
      <w:r>
        <w:rPr>
          <w:color w:val="231F20"/>
        </w:rPr>
        <w:t>secure additional funding. In addition, stakeholders</w:t>
      </w:r>
      <w:r>
        <w:rPr>
          <w:color w:val="231F20"/>
          <w:spacing w:val="1"/>
        </w:rPr>
        <w:t> </w:t>
      </w:r>
      <w:r>
        <w:rPr>
          <w:color w:val="231F20"/>
        </w:rPr>
        <w:t>can use information gathered through evaluation to</w:t>
      </w:r>
      <w:r>
        <w:rPr>
          <w:color w:val="231F20"/>
          <w:spacing w:val="1"/>
        </w:rPr>
        <w:t> </w:t>
      </w:r>
      <w:r>
        <w:rPr>
          <w:color w:val="231F20"/>
        </w:rPr>
        <w:t>encourage implementation of that practice in other</w:t>
      </w:r>
      <w:r>
        <w:rPr>
          <w:color w:val="231F20"/>
          <w:spacing w:val="1"/>
        </w:rPr>
        <w:t> </w:t>
      </w:r>
      <w:r>
        <w:rPr>
          <w:color w:val="231F20"/>
        </w:rPr>
        <w:t>programs or communities.</w:t>
      </w:r>
    </w:p>
    <w:p>
      <w:pPr>
        <w:pStyle w:val="BodyText"/>
        <w:spacing w:line="266" w:lineRule="auto" w:before="91"/>
        <w:ind w:left="160" w:right="785"/>
      </w:pPr>
      <w:r>
        <w:rPr/>
        <w:br w:type="column"/>
      </w:r>
      <w:r>
        <w:rPr>
          <w:color w:val="231F20"/>
        </w:rPr>
        <w:t>This chapter provides an overview of approaches to</w:t>
      </w:r>
      <w:r>
        <w:rPr>
          <w:color w:val="231F20"/>
          <w:spacing w:val="1"/>
        </w:rPr>
        <w:t> </w:t>
      </w:r>
      <w:r>
        <w:rPr>
          <w:color w:val="231F20"/>
        </w:rPr>
        <w:t>evaluate implementation of and results from practices to</w:t>
      </w:r>
      <w:r>
        <w:rPr>
          <w:color w:val="231F20"/>
          <w:spacing w:val="-52"/>
        </w:rPr>
        <w:t> </w:t>
      </w:r>
      <w:r>
        <w:rPr>
          <w:color w:val="231F20"/>
        </w:rPr>
        <w:t>prevent and treat human immunodeficiency virus (HIV)</w:t>
      </w:r>
      <w:r>
        <w:rPr>
          <w:color w:val="231F20"/>
          <w:spacing w:val="-52"/>
        </w:rPr>
        <w:t> </w:t>
      </w:r>
      <w:r>
        <w:rPr>
          <w:color w:val="231F20"/>
        </w:rPr>
        <w:t>among people with mental illness and/or substance use</w:t>
      </w:r>
      <w:r>
        <w:rPr>
          <w:color w:val="231F20"/>
          <w:spacing w:val="1"/>
        </w:rPr>
        <w:t> </w:t>
      </w:r>
      <w:r>
        <w:rPr>
          <w:color w:val="231F20"/>
        </w:rPr>
        <w:t>disorders (SUD).</w:t>
      </w:r>
    </w:p>
    <w:p>
      <w:pPr>
        <w:pStyle w:val="BodyText"/>
        <w:spacing w:line="266" w:lineRule="auto" w:before="176"/>
        <w:ind w:left="160" w:right="803"/>
      </w:pPr>
      <w:r>
        <w:rPr>
          <w:color w:val="231F20"/>
        </w:rPr>
        <w:t>This chapter also includes information on implementing</w:t>
      </w:r>
      <w:r>
        <w:rPr>
          <w:color w:val="231F20"/>
          <w:spacing w:val="-52"/>
        </w:rPr>
        <w:t> </w:t>
      </w:r>
      <w:r>
        <w:rPr>
          <w:color w:val="231F20"/>
        </w:rPr>
        <w:t>a continuous quality improvement (CQI) process.</w:t>
      </w:r>
    </w:p>
    <w:p>
      <w:pPr>
        <w:pStyle w:val="BodyText"/>
        <w:spacing w:line="251" w:lineRule="exact"/>
        <w:ind w:left="160"/>
      </w:pPr>
      <w:r>
        <w:rPr>
          <w:color w:val="231F20"/>
        </w:rPr>
        <w:t>Finally,</w:t>
      </w:r>
      <w:r>
        <w:rPr>
          <w:color w:val="231F20"/>
          <w:spacing w:val="-6"/>
        </w:rPr>
        <w:t> </w:t>
      </w:r>
      <w:r>
        <w:rPr>
          <w:color w:val="231F20"/>
        </w:rPr>
        <w:t>the</w:t>
      </w:r>
      <w:r>
        <w:rPr>
          <w:color w:val="231F20"/>
          <w:spacing w:val="-6"/>
        </w:rPr>
        <w:t> </w:t>
      </w:r>
      <w:r>
        <w:rPr>
          <w:color w:val="231F20"/>
        </w:rPr>
        <w:t>chapter</w:t>
      </w:r>
      <w:r>
        <w:rPr>
          <w:color w:val="231F20"/>
          <w:spacing w:val="-6"/>
        </w:rPr>
        <w:t> </w:t>
      </w:r>
      <w:r>
        <w:rPr>
          <w:color w:val="231F20"/>
        </w:rPr>
        <w:t>concludes</w:t>
      </w:r>
      <w:r>
        <w:rPr>
          <w:color w:val="231F20"/>
          <w:spacing w:val="-6"/>
        </w:rPr>
        <w:t> </w:t>
      </w:r>
      <w:r>
        <w:rPr>
          <w:color w:val="231F20"/>
        </w:rPr>
        <w:t>with</w:t>
      </w:r>
      <w:r>
        <w:rPr>
          <w:color w:val="231F20"/>
          <w:spacing w:val="-7"/>
        </w:rPr>
        <w:t> </w:t>
      </w:r>
      <w:r>
        <w:rPr>
          <w:color w:val="231F20"/>
        </w:rPr>
        <w:t>specific</w:t>
      </w:r>
      <w:r>
        <w:rPr>
          <w:color w:val="231F20"/>
          <w:spacing w:val="-7"/>
        </w:rPr>
        <w:t> </w:t>
      </w:r>
      <w:r>
        <w:rPr>
          <w:color w:val="231F20"/>
        </w:rPr>
        <w:t>evaluation</w:t>
      </w:r>
    </w:p>
    <w:p>
      <w:pPr>
        <w:pStyle w:val="BodyText"/>
        <w:spacing w:before="27"/>
        <w:ind w:left="160"/>
      </w:pPr>
      <w:r>
        <w:rPr>
          <w:color w:val="231F20"/>
        </w:rPr>
        <w:t>resources, including potential outcomes to track.</w:t>
      </w:r>
    </w:p>
    <w:p>
      <w:pPr>
        <w:spacing w:after="0"/>
        <w:sectPr>
          <w:type w:val="continuous"/>
          <w:pgSz w:w="12240" w:h="15840"/>
          <w:pgMar w:header="0" w:footer="666" w:top="1500" w:bottom="0" w:left="560" w:right="0"/>
          <w:cols w:num="2" w:equalWidth="0">
            <w:col w:w="5224" w:space="536"/>
            <w:col w:w="5920"/>
          </w:cols>
        </w:sectPr>
      </w:pPr>
    </w:p>
    <w:p>
      <w:pPr>
        <w:pStyle w:val="BodyText"/>
        <w:spacing w:before="5" w:after="1"/>
        <w:rPr>
          <w:sz w:val="23"/>
        </w:rPr>
      </w:pPr>
      <w:r>
        <w:rPr/>
        <w:pict>
          <v:group style="position:absolute;margin-left:35.5pt;margin-top:0pt;width:576.5pt;height:283.5pt;mso-position-horizontal-relative:page;mso-position-vertical-relative:page;z-index:-18118144" id="docshapegroup188" coordorigin="710,0" coordsize="11530,5670">
            <v:rect style="position:absolute;left:2390;top:0;width:9850;height:394" id="docshape189" filled="true" fillcolor="#1d384a" stroked="false">
              <v:fill type="solid"/>
            </v:rect>
            <v:shape style="position:absolute;left:6480;top:393;width:5760;height:5188" type="#_x0000_t75" id="docshape190" stroked="false">
              <v:imagedata r:id="rId351" o:title=""/>
            </v:shape>
            <v:line style="position:absolute" from="710,5660" to="5760,5660" stroked="true" strokeweight="1pt" strokecolor="#ce372e">
              <v:stroke dashstyle="solid"/>
            </v:line>
            <v:shape style="position:absolute;left:710;top:0;width:11530;height:5670" type="#_x0000_t202" id="docshape191" filled="false" stroked="false">
              <v:textbox inset="0,0,0,0">
                <w:txbxContent>
                  <w:p>
                    <w:pPr>
                      <w:spacing w:line="240" w:lineRule="auto" w:before="0"/>
                      <w:rPr>
                        <w:sz w:val="56"/>
                      </w:rPr>
                    </w:pPr>
                  </w:p>
                  <w:p>
                    <w:pPr>
                      <w:spacing w:line="240" w:lineRule="auto" w:before="0"/>
                      <w:rPr>
                        <w:sz w:val="56"/>
                      </w:rPr>
                    </w:pPr>
                  </w:p>
                  <w:p>
                    <w:pPr>
                      <w:spacing w:line="240" w:lineRule="auto" w:before="0"/>
                      <w:rPr>
                        <w:sz w:val="56"/>
                      </w:rPr>
                    </w:pPr>
                  </w:p>
                  <w:p>
                    <w:pPr>
                      <w:spacing w:line="240" w:lineRule="auto" w:before="0"/>
                      <w:rPr>
                        <w:sz w:val="56"/>
                      </w:rPr>
                    </w:pPr>
                  </w:p>
                  <w:p>
                    <w:pPr>
                      <w:spacing w:line="240" w:lineRule="auto" w:before="0"/>
                      <w:rPr>
                        <w:sz w:val="56"/>
                      </w:rPr>
                    </w:pPr>
                  </w:p>
                  <w:p>
                    <w:pPr>
                      <w:spacing w:line="240" w:lineRule="auto" w:before="5"/>
                      <w:rPr>
                        <w:sz w:val="58"/>
                      </w:rPr>
                    </w:pPr>
                  </w:p>
                  <w:p>
                    <w:pPr>
                      <w:spacing w:line="196" w:lineRule="auto" w:before="0"/>
                      <w:ind w:left="10" w:right="6676" w:firstLine="0"/>
                      <w:jc w:val="left"/>
                      <w:rPr>
                        <w:rFonts w:ascii="Arial Black"/>
                        <w:sz w:val="40"/>
                      </w:rPr>
                    </w:pPr>
                    <w:r>
                      <w:rPr>
                        <w:rFonts w:ascii="Arial Black"/>
                        <w:color w:val="1C384B"/>
                        <w:sz w:val="40"/>
                      </w:rPr>
                      <w:t>Resources for</w:t>
                    </w:r>
                    <w:r>
                      <w:rPr>
                        <w:rFonts w:ascii="Arial Black"/>
                        <w:color w:val="1C384B"/>
                        <w:spacing w:val="1"/>
                        <w:sz w:val="40"/>
                      </w:rPr>
                      <w:t> </w:t>
                    </w:r>
                    <w:r>
                      <w:rPr>
                        <w:rFonts w:ascii="Arial Black"/>
                        <w:color w:val="1C384B"/>
                        <w:spacing w:val="-3"/>
                        <w:sz w:val="40"/>
                      </w:rPr>
                      <w:t>Evaluation</w:t>
                    </w:r>
                    <w:r>
                      <w:rPr>
                        <w:rFonts w:ascii="Arial Black"/>
                        <w:color w:val="1C384B"/>
                        <w:spacing w:val="-30"/>
                        <w:sz w:val="40"/>
                      </w:rPr>
                      <w:t> </w:t>
                    </w:r>
                    <w:r>
                      <w:rPr>
                        <w:rFonts w:ascii="Arial Black"/>
                        <w:color w:val="1C384B"/>
                        <w:spacing w:val="-2"/>
                        <w:sz w:val="40"/>
                      </w:rPr>
                      <w:t>and</w:t>
                    </w:r>
                    <w:r>
                      <w:rPr>
                        <w:rFonts w:ascii="Arial Black"/>
                        <w:color w:val="1C384B"/>
                        <w:spacing w:val="-30"/>
                        <w:sz w:val="40"/>
                      </w:rPr>
                      <w:t> </w:t>
                    </w:r>
                    <w:r>
                      <w:rPr>
                        <w:rFonts w:ascii="Arial Black"/>
                        <w:color w:val="1C384B"/>
                        <w:spacing w:val="-2"/>
                        <w:sz w:val="40"/>
                      </w:rPr>
                      <w:t>Quality</w:t>
                    </w:r>
                    <w:r>
                      <w:rPr>
                        <w:rFonts w:ascii="Arial Black"/>
                        <w:color w:val="1C384B"/>
                        <w:spacing w:val="-130"/>
                        <w:sz w:val="40"/>
                      </w:rPr>
                      <w:t> </w:t>
                    </w:r>
                    <w:r>
                      <w:rPr>
                        <w:rFonts w:ascii="Arial Black"/>
                        <w:color w:val="1C384B"/>
                        <w:sz w:val="40"/>
                      </w:rPr>
                      <w:t>Improvement</w:t>
                    </w:r>
                  </w:p>
                </w:txbxContent>
              </v:textbox>
              <w10:wrap type="none"/>
            </v:shape>
            <w10:wrap type="none"/>
          </v:group>
        </w:pict>
      </w:r>
    </w:p>
    <w:p>
      <w:pPr>
        <w:pStyle w:val="BodyText"/>
        <w:ind w:left="183"/>
        <w:rPr>
          <w:sz w:val="20"/>
        </w:rPr>
      </w:pPr>
      <w:r>
        <w:rPr>
          <w:sz w:val="20"/>
        </w:rPr>
        <w:drawing>
          <wp:inline distT="0" distB="0" distL="0" distR="0">
            <wp:extent cx="6596468" cy="3091529"/>
            <wp:effectExtent l="0" t="0" r="0" b="0"/>
            <wp:docPr id="95" name="image38.jpeg" descr=" This graphic visually depicts how evaluation activities are conducted throughout a projects implementation lifecycle. First, during the development of the program, prior to full-scale implementation, formative evaluation can be conducted. Formative evaluation questions are Is the practice the right intervention for the population of interest?Ž and What resources does the organization have and need to implement and evaluate the practice?Ž. As soon as the program implementation beings and during practice operation, process and implementation evaluation as well as continuous quality improvement can be conducted. Process/Implementation Evaluation questions are Are practice activities being implemented as intended?Ž and What are the barriers and facilitators to implementation?Ž. Continuous Quality Improvement questions are What improvements could be made to the practice?Ž and What parts of implementation were working and should be changed?Ž. After the practice is initiated with at least one client, outcome and effectiveness evaluation can be conducted. Outcome/Effectiveness Evaluation questions are Were the objectives of the practice achieved?Ž and Did client health, wellbeing, attitudes, beliefs, and behaviors change from the start of their participation in practice activities?Ž. During operation of the practice, at appropriate intervals at the end of practice, implementation evaluation can be conducted. An impact evaluation question is To what extent can client outcomes be attributed to the practice activities?Ž. Throughout all phases of evaluation planning, data collection, analysis, and dissemination, clinic community members, key populations, and behavioral health care consumers should be engaged. "/>
            <wp:cNvGraphicFramePr>
              <a:graphicFrameLocks noChangeAspect="1"/>
            </wp:cNvGraphicFramePr>
            <a:graphic>
              <a:graphicData uri="http://schemas.openxmlformats.org/drawingml/2006/picture">
                <pic:pic>
                  <pic:nvPicPr>
                    <pic:cNvPr id="96" name="image38.jpeg"/>
                    <pic:cNvPicPr/>
                  </pic:nvPicPr>
                  <pic:blipFill>
                    <a:blip r:embed="rId352" cstate="print"/>
                    <a:stretch>
                      <a:fillRect/>
                    </a:stretch>
                  </pic:blipFill>
                  <pic:spPr>
                    <a:xfrm>
                      <a:off x="0" y="0"/>
                      <a:ext cx="6596468" cy="3091529"/>
                    </a:xfrm>
                    <a:prstGeom prst="rect">
                      <a:avLst/>
                    </a:prstGeom>
                  </pic:spPr>
                </pic:pic>
              </a:graphicData>
            </a:graphic>
          </wp:inline>
        </w:drawing>
      </w:r>
      <w:r>
        <w:rPr>
          <w:sz w:val="20"/>
        </w:rPr>
      </w:r>
    </w:p>
    <w:p>
      <w:pPr>
        <w:spacing w:after="0"/>
        <w:rPr>
          <w:sz w:val="20"/>
        </w:rPr>
        <w:sectPr>
          <w:type w:val="continuous"/>
          <w:pgSz w:w="12240" w:h="15840"/>
          <w:pgMar w:header="0" w:footer="666" w:top="1500" w:bottom="0" w:left="560" w:right="0"/>
        </w:sectPr>
      </w:pPr>
    </w:p>
    <w:p>
      <w:pPr>
        <w:pStyle w:val="BodyText"/>
        <w:rPr>
          <w:sz w:val="20"/>
        </w:rPr>
      </w:pPr>
    </w:p>
    <w:p>
      <w:pPr>
        <w:pStyle w:val="BodyText"/>
        <w:spacing w:before="3"/>
        <w:rPr>
          <w:sz w:val="19"/>
        </w:rPr>
      </w:pPr>
    </w:p>
    <w:p>
      <w:pPr>
        <w:pStyle w:val="Heading2"/>
      </w:pPr>
      <w:bookmarkStart w:name="Types of Evaluations" w:id="137"/>
      <w:bookmarkEnd w:id="137"/>
      <w:r>
        <w:rPr/>
      </w:r>
      <w:bookmarkStart w:name="CONTINUOUS QUALITY IMPROVEMENT (CQI)" w:id="138"/>
      <w:bookmarkEnd w:id="138"/>
      <w:r>
        <w:rPr/>
      </w:r>
      <w:bookmarkStart w:name="What is CQI?" w:id="139"/>
      <w:bookmarkEnd w:id="139"/>
      <w:r>
        <w:rPr/>
      </w:r>
      <w:bookmarkStart w:name="Why use CQI?" w:id="140"/>
      <w:bookmarkEnd w:id="140"/>
      <w:r>
        <w:rPr/>
      </w:r>
      <w:bookmarkStart w:name="What are the steps involved in CQI?" w:id="141"/>
      <w:bookmarkEnd w:id="141"/>
      <w:r>
        <w:rPr/>
      </w:r>
      <w:r>
        <w:rPr>
          <w:color w:val="1C384B"/>
        </w:rPr>
        <w:t>Types</w:t>
      </w:r>
      <w:r>
        <w:rPr>
          <w:color w:val="1C384B"/>
          <w:spacing w:val="-9"/>
        </w:rPr>
        <w:t> </w:t>
      </w:r>
      <w:r>
        <w:rPr>
          <w:color w:val="1C384B"/>
        </w:rPr>
        <w:t>of</w:t>
      </w:r>
      <w:r>
        <w:rPr>
          <w:color w:val="1C384B"/>
          <w:spacing w:val="11"/>
        </w:rPr>
        <w:t> </w:t>
      </w:r>
      <w:r>
        <w:rPr>
          <w:color w:val="1C384B"/>
        </w:rPr>
        <w:t>Evaluations</w:t>
      </w:r>
    </w:p>
    <w:p>
      <w:pPr>
        <w:pStyle w:val="BodyText"/>
        <w:spacing w:line="266" w:lineRule="auto" w:before="86"/>
        <w:ind w:left="160" w:right="955"/>
      </w:pPr>
      <w:r>
        <w:rPr/>
        <w:pict>
          <v:group style="position:absolute;margin-left:36pt;margin-top:72.282616pt;width:540pt;height:593.8pt;mso-position-horizontal-relative:page;mso-position-vertical-relative:paragraph;z-index:-18117632" id="docshapegroup196" coordorigin="720,1446" coordsize="10800,11876">
            <v:shape style="position:absolute;left:720;top:1445;width:10800;height:11876" id="docshape197" coordorigin="720,1446" coordsize="10800,11876" path="m11430,1446l810,1446,775,1453,746,1472,727,1501,720,1536,720,13231,727,13266,746,13294,775,13314,810,13321,11430,13321,11465,13314,11494,13294,11513,13266,11520,13231,11520,1536,11513,1501,11494,1472,11465,1453,11430,1446xe" filled="true" fillcolor="#f7e0e0" stroked="false">
              <v:path arrowok="t"/>
              <v:fill type="solid"/>
            </v:shape>
            <v:shape style="position:absolute;left:8469;top:8119;width:2876;height:3749" type="#_x0000_t75" id="docshape198" alt=" This graphic visually depicts the plan, do, study, act cycle. There are three rows of text explain the questions that should be asked in between the act and plan cycles (what are we trying to accomplish, how will we know that a change is an improvement, what change can we make that will result in an improvement). Below the three rows of text, plan, do, study, and act are depicted in a circular graphic, showing that the cycle is an iterative process.  " stroked="false">
              <v:imagedata r:id="rId355" o:title=""/>
            </v:shape>
            <w10:wrap type="none"/>
          </v:group>
        </w:pict>
      </w:r>
      <w:r>
        <w:rPr>
          <w:color w:val="231F20"/>
        </w:rPr>
        <w:t>Evaluation is typically conducted before a practice is implemented to determine its feasibility (</w:t>
      </w:r>
      <w:r>
        <w:rPr>
          <w:b/>
          <w:i/>
          <w:color w:val="231F20"/>
        </w:rPr>
        <w:t>formative evaluation</w:t>
      </w:r>
      <w:r>
        <w:rPr>
          <w:color w:val="231F20"/>
        </w:rPr>
        <w:t>),</w:t>
      </w:r>
      <w:r>
        <w:rPr>
          <w:color w:val="231F20"/>
          <w:spacing w:val="1"/>
        </w:rPr>
        <w:t> </w:t>
      </w:r>
      <w:r>
        <w:rPr>
          <w:color w:val="231F20"/>
        </w:rPr>
        <w:t>during implementation (</w:t>
      </w:r>
      <w:r>
        <w:rPr>
          <w:b/>
          <w:i/>
          <w:color w:val="231F20"/>
        </w:rPr>
        <w:t>process evaluation </w:t>
      </w:r>
      <w:r>
        <w:rPr>
          <w:color w:val="231F20"/>
        </w:rPr>
        <w:t>and </w:t>
      </w:r>
      <w:r>
        <w:rPr>
          <w:b/>
          <w:i/>
          <w:color w:val="231F20"/>
        </w:rPr>
        <w:t>CQI</w:t>
      </w:r>
      <w:r>
        <w:rPr>
          <w:color w:val="231F20"/>
        </w:rPr>
        <w:t>), and after the intervention has been delivered to at least one client</w:t>
      </w:r>
      <w:r>
        <w:rPr>
          <w:color w:val="231F20"/>
          <w:spacing w:val="-52"/>
        </w:rPr>
        <w:t> </w:t>
      </w:r>
      <w:r>
        <w:rPr>
          <w:color w:val="231F20"/>
        </w:rPr>
        <w:t>(</w:t>
      </w:r>
      <w:r>
        <w:rPr>
          <w:b/>
          <w:i/>
          <w:color w:val="231F20"/>
        </w:rPr>
        <w:t>outcome and impact evaluations</w:t>
      </w:r>
      <w:r>
        <w:rPr>
          <w:color w:val="231F20"/>
        </w:rPr>
        <w:t>). Each type of evaluation is necessary to assess an intervention’s effectiveness. The</w:t>
      </w:r>
      <w:r>
        <w:rPr>
          <w:color w:val="231F20"/>
          <w:spacing w:val="1"/>
        </w:rPr>
        <w:t> </w:t>
      </w:r>
      <w:r>
        <w:rPr>
          <w:color w:val="231F20"/>
        </w:rPr>
        <w:t>graphic below illustrates these evaluation types in greater detail.</w:t>
      </w:r>
    </w:p>
    <w:p>
      <w:pPr>
        <w:pStyle w:val="BodyText"/>
        <w:spacing w:before="3"/>
        <w:rPr>
          <w:sz w:val="21"/>
        </w:rPr>
      </w:pPr>
    </w:p>
    <w:p>
      <w:pPr>
        <w:spacing w:after="0"/>
        <w:rPr>
          <w:sz w:val="21"/>
        </w:rPr>
        <w:sectPr>
          <w:headerReference w:type="default" r:id="rId353"/>
          <w:footerReference w:type="default" r:id="rId354"/>
          <w:pgSz w:w="12240" w:h="15840"/>
          <w:pgMar w:header="0" w:footer="587" w:top="380" w:bottom="780" w:left="560" w:right="0"/>
        </w:sectPr>
      </w:pPr>
    </w:p>
    <w:p>
      <w:pPr>
        <w:pStyle w:val="BodyText"/>
        <w:spacing w:before="7"/>
        <w:rPr>
          <w:sz w:val="44"/>
        </w:rPr>
      </w:pPr>
    </w:p>
    <w:p>
      <w:pPr>
        <w:spacing w:before="0"/>
        <w:ind w:left="340" w:right="0" w:firstLine="0"/>
        <w:jc w:val="left"/>
        <w:rPr>
          <w:rFonts w:ascii="Arial Black"/>
          <w:sz w:val="21"/>
        </w:rPr>
      </w:pPr>
      <w:r>
        <w:rPr>
          <w:rFonts w:ascii="Arial Black"/>
          <w:color w:val="CE372E"/>
          <w:sz w:val="21"/>
        </w:rPr>
        <w:t>What</w:t>
      </w:r>
      <w:r>
        <w:rPr>
          <w:rFonts w:ascii="Arial Black"/>
          <w:color w:val="CE372E"/>
          <w:spacing w:val="-1"/>
          <w:sz w:val="21"/>
        </w:rPr>
        <w:t> </w:t>
      </w:r>
      <w:r>
        <w:rPr>
          <w:rFonts w:ascii="Arial Black"/>
          <w:color w:val="CE372E"/>
          <w:sz w:val="21"/>
        </w:rPr>
        <w:t>is CQI?</w:t>
      </w:r>
    </w:p>
    <w:p>
      <w:pPr>
        <w:pStyle w:val="Heading4"/>
        <w:ind w:left="340"/>
      </w:pPr>
      <w:r>
        <w:rPr/>
        <w:br w:type="column"/>
      </w:r>
      <w:r>
        <w:rPr>
          <w:color w:val="CE384B"/>
        </w:rPr>
        <w:t>CONTINUOUS</w:t>
      </w:r>
      <w:r>
        <w:rPr>
          <w:color w:val="CE384B"/>
          <w:spacing w:val="-12"/>
        </w:rPr>
        <w:t> </w:t>
      </w:r>
      <w:r>
        <w:rPr>
          <w:color w:val="CE384B"/>
        </w:rPr>
        <w:t>QUALITY</w:t>
      </w:r>
      <w:r>
        <w:rPr>
          <w:color w:val="CE384B"/>
          <w:spacing w:val="-12"/>
        </w:rPr>
        <w:t> </w:t>
      </w:r>
      <w:r>
        <w:rPr>
          <w:color w:val="CE384B"/>
        </w:rPr>
        <w:t>IMPROVEMENT</w:t>
      </w:r>
      <w:r>
        <w:rPr>
          <w:color w:val="CE384B"/>
          <w:spacing w:val="-11"/>
        </w:rPr>
        <w:t> </w:t>
      </w:r>
      <w:r>
        <w:rPr>
          <w:color w:val="CE384B"/>
        </w:rPr>
        <w:t>(CQI)</w:t>
      </w:r>
    </w:p>
    <w:p>
      <w:pPr>
        <w:spacing w:after="0"/>
        <w:sectPr>
          <w:type w:val="continuous"/>
          <w:pgSz w:w="12240" w:h="15840"/>
          <w:pgMar w:header="0" w:footer="587" w:top="1500" w:bottom="0" w:left="560" w:right="0"/>
          <w:cols w:num="2" w:equalWidth="0">
            <w:col w:w="1854" w:space="404"/>
            <w:col w:w="9422"/>
          </w:cols>
        </w:sectPr>
      </w:pPr>
    </w:p>
    <w:p>
      <w:pPr>
        <w:spacing w:line="259" w:lineRule="auto" w:before="131"/>
        <w:ind w:left="340" w:right="973" w:firstLine="0"/>
        <w:jc w:val="left"/>
        <w:rPr>
          <w:rFonts w:ascii="Arial"/>
          <w:sz w:val="21"/>
        </w:rPr>
      </w:pPr>
      <w:r>
        <w:rPr>
          <w:rFonts w:ascii="Arial"/>
          <w:color w:val="010202"/>
          <w:spacing w:val="-2"/>
          <w:sz w:val="21"/>
        </w:rPr>
        <w:t>CQI</w:t>
      </w:r>
      <w:r>
        <w:rPr>
          <w:rFonts w:ascii="Arial"/>
          <w:color w:val="010202"/>
          <w:spacing w:val="-13"/>
          <w:sz w:val="21"/>
        </w:rPr>
        <w:t> </w:t>
      </w:r>
      <w:r>
        <w:rPr>
          <w:rFonts w:ascii="Arial"/>
          <w:color w:val="010202"/>
          <w:spacing w:val="-2"/>
          <w:sz w:val="21"/>
        </w:rPr>
        <w:t>involves</w:t>
      </w:r>
      <w:r>
        <w:rPr>
          <w:rFonts w:ascii="Arial"/>
          <w:color w:val="010202"/>
          <w:spacing w:val="-13"/>
          <w:sz w:val="21"/>
        </w:rPr>
        <w:t> </w:t>
      </w:r>
      <w:r>
        <w:rPr>
          <w:rFonts w:ascii="Arial"/>
          <w:color w:val="010202"/>
          <w:spacing w:val="-2"/>
          <w:sz w:val="21"/>
        </w:rPr>
        <w:t>a</w:t>
      </w:r>
      <w:r>
        <w:rPr>
          <w:rFonts w:ascii="Arial"/>
          <w:color w:val="010202"/>
          <w:spacing w:val="-12"/>
          <w:sz w:val="21"/>
        </w:rPr>
        <w:t> </w:t>
      </w:r>
      <w:r>
        <w:rPr>
          <w:rFonts w:ascii="Arial"/>
          <w:color w:val="010202"/>
          <w:spacing w:val="-2"/>
          <w:sz w:val="21"/>
        </w:rPr>
        <w:t>systematic</w:t>
      </w:r>
      <w:r>
        <w:rPr>
          <w:rFonts w:ascii="Arial"/>
          <w:color w:val="010202"/>
          <w:spacing w:val="-13"/>
          <w:sz w:val="21"/>
        </w:rPr>
        <w:t> </w:t>
      </w:r>
      <w:r>
        <w:rPr>
          <w:rFonts w:ascii="Arial"/>
          <w:color w:val="010202"/>
          <w:spacing w:val="-2"/>
          <w:sz w:val="21"/>
        </w:rPr>
        <w:t>process</w:t>
      </w:r>
      <w:r>
        <w:rPr>
          <w:rFonts w:ascii="Arial"/>
          <w:color w:val="010202"/>
          <w:spacing w:val="-12"/>
          <w:sz w:val="21"/>
        </w:rPr>
        <w:t> </w:t>
      </w:r>
      <w:r>
        <w:rPr>
          <w:rFonts w:ascii="Arial"/>
          <w:color w:val="010202"/>
          <w:spacing w:val="-2"/>
          <w:sz w:val="21"/>
        </w:rPr>
        <w:t>of</w:t>
      </w:r>
      <w:r>
        <w:rPr>
          <w:rFonts w:ascii="Arial"/>
          <w:color w:val="010202"/>
          <w:spacing w:val="-13"/>
          <w:sz w:val="21"/>
        </w:rPr>
        <w:t> </w:t>
      </w:r>
      <w:r>
        <w:rPr>
          <w:rFonts w:ascii="Arial"/>
          <w:color w:val="010202"/>
          <w:spacing w:val="-1"/>
          <w:sz w:val="21"/>
        </w:rPr>
        <w:t>assessing</w:t>
      </w:r>
      <w:r>
        <w:rPr>
          <w:rFonts w:ascii="Arial"/>
          <w:color w:val="010202"/>
          <w:spacing w:val="-12"/>
          <w:sz w:val="21"/>
        </w:rPr>
        <w:t> </w:t>
      </w:r>
      <w:r>
        <w:rPr>
          <w:rFonts w:ascii="Arial"/>
          <w:color w:val="010202"/>
          <w:spacing w:val="-1"/>
          <w:sz w:val="21"/>
        </w:rPr>
        <w:t>program</w:t>
      </w:r>
      <w:r>
        <w:rPr>
          <w:rFonts w:ascii="Arial"/>
          <w:color w:val="010202"/>
          <w:spacing w:val="-13"/>
          <w:sz w:val="21"/>
        </w:rPr>
        <w:t> </w:t>
      </w:r>
      <w:r>
        <w:rPr>
          <w:rFonts w:ascii="Arial"/>
          <w:color w:val="010202"/>
          <w:spacing w:val="-1"/>
          <w:sz w:val="21"/>
        </w:rPr>
        <w:t>or</w:t>
      </w:r>
      <w:r>
        <w:rPr>
          <w:rFonts w:ascii="Arial"/>
          <w:color w:val="010202"/>
          <w:spacing w:val="-12"/>
          <w:sz w:val="21"/>
        </w:rPr>
        <w:t> </w:t>
      </w:r>
      <w:r>
        <w:rPr>
          <w:rFonts w:ascii="Arial"/>
          <w:color w:val="010202"/>
          <w:spacing w:val="-1"/>
          <w:sz w:val="21"/>
        </w:rPr>
        <w:t>practice</w:t>
      </w:r>
      <w:r>
        <w:rPr>
          <w:rFonts w:ascii="Arial"/>
          <w:color w:val="010202"/>
          <w:spacing w:val="-13"/>
          <w:sz w:val="21"/>
        </w:rPr>
        <w:t> </w:t>
      </w:r>
      <w:r>
        <w:rPr>
          <w:rFonts w:ascii="Arial"/>
          <w:color w:val="010202"/>
          <w:spacing w:val="-1"/>
          <w:sz w:val="21"/>
        </w:rPr>
        <w:t>implementation</w:t>
      </w:r>
      <w:r>
        <w:rPr>
          <w:rFonts w:ascii="Arial"/>
          <w:color w:val="010202"/>
          <w:spacing w:val="-12"/>
          <w:sz w:val="21"/>
        </w:rPr>
        <w:t> </w:t>
      </w:r>
      <w:r>
        <w:rPr>
          <w:rFonts w:ascii="Arial"/>
          <w:color w:val="010202"/>
          <w:spacing w:val="-1"/>
          <w:sz w:val="21"/>
        </w:rPr>
        <w:t>and</w:t>
      </w:r>
      <w:r>
        <w:rPr>
          <w:rFonts w:ascii="Arial"/>
          <w:color w:val="010202"/>
          <w:spacing w:val="-13"/>
          <w:sz w:val="21"/>
        </w:rPr>
        <w:t> </w:t>
      </w:r>
      <w:r>
        <w:rPr>
          <w:rFonts w:ascii="Arial"/>
          <w:color w:val="010202"/>
          <w:spacing w:val="-1"/>
          <w:sz w:val="21"/>
        </w:rPr>
        <w:t>short-term</w:t>
      </w:r>
      <w:r>
        <w:rPr>
          <w:rFonts w:ascii="Arial"/>
          <w:color w:val="010202"/>
          <w:spacing w:val="-12"/>
          <w:sz w:val="21"/>
        </w:rPr>
        <w:t> </w:t>
      </w:r>
      <w:r>
        <w:rPr>
          <w:rFonts w:ascii="Arial"/>
          <w:color w:val="010202"/>
          <w:spacing w:val="-1"/>
          <w:sz w:val="21"/>
        </w:rPr>
        <w:t>outcomes</w:t>
      </w:r>
      <w:r>
        <w:rPr>
          <w:rFonts w:ascii="Arial"/>
          <w:color w:val="010202"/>
          <w:spacing w:val="-13"/>
          <w:sz w:val="21"/>
        </w:rPr>
        <w:t> </w:t>
      </w:r>
      <w:r>
        <w:rPr>
          <w:rFonts w:ascii="Arial"/>
          <w:color w:val="010202"/>
          <w:spacing w:val="-1"/>
          <w:sz w:val="21"/>
        </w:rPr>
        <w:t>and</w:t>
      </w:r>
      <w:r>
        <w:rPr>
          <w:rFonts w:ascii="Arial"/>
          <w:color w:val="010202"/>
          <w:sz w:val="21"/>
        </w:rPr>
        <w:t> </w:t>
      </w:r>
      <w:r>
        <w:rPr>
          <w:rFonts w:ascii="Arial"/>
          <w:color w:val="010202"/>
          <w:spacing w:val="-2"/>
          <w:sz w:val="21"/>
        </w:rPr>
        <w:t>then involving program staff </w:t>
      </w:r>
      <w:r>
        <w:rPr>
          <w:rFonts w:ascii="Arial"/>
          <w:color w:val="010202"/>
          <w:spacing w:val="-1"/>
          <w:sz w:val="21"/>
        </w:rPr>
        <w:t>in identifying and implementing improvements in service delivery and organizational</w:t>
      </w:r>
      <w:r>
        <w:rPr>
          <w:rFonts w:ascii="Arial"/>
          <w:color w:val="010202"/>
          <w:sz w:val="21"/>
        </w:rPr>
        <w:t> </w:t>
      </w:r>
      <w:r>
        <w:rPr>
          <w:rFonts w:ascii="Arial"/>
          <w:color w:val="010202"/>
          <w:spacing w:val="-1"/>
          <w:sz w:val="21"/>
        </w:rPr>
        <w:t>systems</w:t>
      </w:r>
      <w:r>
        <w:rPr>
          <w:rFonts w:ascii="Arial"/>
          <w:color w:val="010202"/>
          <w:spacing w:val="-14"/>
          <w:sz w:val="21"/>
        </w:rPr>
        <w:t> </w:t>
      </w:r>
      <w:r>
        <w:rPr>
          <w:rFonts w:ascii="Arial"/>
          <w:color w:val="010202"/>
          <w:spacing w:val="-1"/>
          <w:sz w:val="21"/>
        </w:rPr>
        <w:t>to</w:t>
      </w:r>
      <w:r>
        <w:rPr>
          <w:rFonts w:ascii="Arial"/>
          <w:color w:val="010202"/>
          <w:spacing w:val="-13"/>
          <w:sz w:val="21"/>
        </w:rPr>
        <w:t> </w:t>
      </w:r>
      <w:r>
        <w:rPr>
          <w:rFonts w:ascii="Arial"/>
          <w:color w:val="010202"/>
          <w:spacing w:val="-1"/>
          <w:sz w:val="21"/>
        </w:rPr>
        <w:t>achieve</w:t>
      </w:r>
      <w:r>
        <w:rPr>
          <w:rFonts w:ascii="Arial"/>
          <w:color w:val="010202"/>
          <w:spacing w:val="-14"/>
          <w:sz w:val="21"/>
        </w:rPr>
        <w:t> </w:t>
      </w:r>
      <w:r>
        <w:rPr>
          <w:rFonts w:ascii="Arial"/>
          <w:color w:val="010202"/>
          <w:spacing w:val="-1"/>
          <w:sz w:val="21"/>
        </w:rPr>
        <w:t>better</w:t>
      </w:r>
      <w:r>
        <w:rPr>
          <w:rFonts w:ascii="Arial"/>
          <w:color w:val="010202"/>
          <w:spacing w:val="-13"/>
          <w:sz w:val="21"/>
        </w:rPr>
        <w:t> </w:t>
      </w:r>
      <w:r>
        <w:rPr>
          <w:rFonts w:ascii="Arial"/>
          <w:color w:val="010202"/>
          <w:spacing w:val="-1"/>
          <w:sz w:val="21"/>
        </w:rPr>
        <w:t>treatment</w:t>
      </w:r>
      <w:r>
        <w:rPr>
          <w:rFonts w:ascii="Arial"/>
          <w:color w:val="010202"/>
          <w:spacing w:val="-14"/>
          <w:sz w:val="21"/>
        </w:rPr>
        <w:t> </w:t>
      </w:r>
      <w:r>
        <w:rPr>
          <w:rFonts w:ascii="Arial"/>
          <w:color w:val="010202"/>
          <w:spacing w:val="-1"/>
          <w:sz w:val="21"/>
        </w:rPr>
        <w:t>outcomes.</w:t>
      </w:r>
      <w:r>
        <w:rPr>
          <w:rFonts w:ascii="Arial"/>
          <w:color w:val="010202"/>
          <w:spacing w:val="-13"/>
          <w:sz w:val="21"/>
        </w:rPr>
        <w:t> </w:t>
      </w:r>
      <w:r>
        <w:rPr>
          <w:rFonts w:ascii="Arial"/>
          <w:color w:val="010202"/>
          <w:spacing w:val="-1"/>
          <w:sz w:val="21"/>
        </w:rPr>
        <w:t>CQI</w:t>
      </w:r>
      <w:r>
        <w:rPr>
          <w:rFonts w:ascii="Arial"/>
          <w:color w:val="010202"/>
          <w:spacing w:val="-14"/>
          <w:sz w:val="21"/>
        </w:rPr>
        <w:t> </w:t>
      </w:r>
      <w:r>
        <w:rPr>
          <w:rFonts w:ascii="Arial"/>
          <w:color w:val="010202"/>
          <w:spacing w:val="-1"/>
          <w:sz w:val="21"/>
        </w:rPr>
        <w:t>helps</w:t>
      </w:r>
      <w:r>
        <w:rPr>
          <w:rFonts w:ascii="Arial"/>
          <w:color w:val="010202"/>
          <w:spacing w:val="-13"/>
          <w:sz w:val="21"/>
        </w:rPr>
        <w:t> </w:t>
      </w:r>
      <w:r>
        <w:rPr>
          <w:rFonts w:ascii="Arial"/>
          <w:color w:val="010202"/>
          <w:spacing w:val="-1"/>
          <w:sz w:val="21"/>
        </w:rPr>
        <w:t>assess</w:t>
      </w:r>
      <w:r>
        <w:rPr>
          <w:rFonts w:ascii="Arial"/>
          <w:color w:val="010202"/>
          <w:spacing w:val="-14"/>
          <w:sz w:val="21"/>
        </w:rPr>
        <w:t> </w:t>
      </w:r>
      <w:r>
        <w:rPr>
          <w:rFonts w:ascii="Arial"/>
          <w:color w:val="010202"/>
          <w:spacing w:val="-1"/>
          <w:sz w:val="21"/>
        </w:rPr>
        <w:t>practice</w:t>
      </w:r>
      <w:r>
        <w:rPr>
          <w:rFonts w:ascii="Arial"/>
          <w:color w:val="010202"/>
          <w:spacing w:val="-13"/>
          <w:sz w:val="21"/>
        </w:rPr>
        <w:t> </w:t>
      </w:r>
      <w:r>
        <w:rPr>
          <w:rFonts w:ascii="Arial"/>
          <w:color w:val="010202"/>
          <w:spacing w:val="-1"/>
          <w:sz w:val="21"/>
        </w:rPr>
        <w:t>fidelity,</w:t>
      </w:r>
      <w:r>
        <w:rPr>
          <w:rFonts w:ascii="Arial"/>
          <w:color w:val="010202"/>
          <w:spacing w:val="-14"/>
          <w:sz w:val="21"/>
        </w:rPr>
        <w:t> </w:t>
      </w:r>
      <w:r>
        <w:rPr>
          <w:rFonts w:ascii="Arial"/>
          <w:color w:val="010202"/>
          <w:spacing w:val="-1"/>
          <w:sz w:val="21"/>
        </w:rPr>
        <w:t>the</w:t>
      </w:r>
      <w:r>
        <w:rPr>
          <w:rFonts w:ascii="Arial"/>
          <w:color w:val="010202"/>
          <w:spacing w:val="-13"/>
          <w:sz w:val="21"/>
        </w:rPr>
        <w:t> </w:t>
      </w:r>
      <w:r>
        <w:rPr>
          <w:rFonts w:ascii="Arial"/>
          <w:color w:val="010202"/>
          <w:spacing w:val="-1"/>
          <w:sz w:val="21"/>
        </w:rPr>
        <w:t>degree</w:t>
      </w:r>
      <w:r>
        <w:rPr>
          <w:rFonts w:ascii="Arial"/>
          <w:color w:val="010202"/>
          <w:spacing w:val="-14"/>
          <w:sz w:val="21"/>
        </w:rPr>
        <w:t> </w:t>
      </w:r>
      <w:r>
        <w:rPr>
          <w:rFonts w:ascii="Arial"/>
          <w:color w:val="010202"/>
          <w:sz w:val="21"/>
        </w:rPr>
        <w:t>to</w:t>
      </w:r>
      <w:r>
        <w:rPr>
          <w:rFonts w:ascii="Arial"/>
          <w:color w:val="010202"/>
          <w:spacing w:val="-13"/>
          <w:sz w:val="21"/>
        </w:rPr>
        <w:t> </w:t>
      </w:r>
      <w:r>
        <w:rPr>
          <w:rFonts w:ascii="Arial"/>
          <w:color w:val="010202"/>
          <w:sz w:val="21"/>
        </w:rPr>
        <w:t>which</w:t>
      </w:r>
      <w:r>
        <w:rPr>
          <w:rFonts w:ascii="Arial"/>
          <w:color w:val="010202"/>
          <w:spacing w:val="-14"/>
          <w:sz w:val="21"/>
        </w:rPr>
        <w:t> </w:t>
      </w:r>
      <w:r>
        <w:rPr>
          <w:rFonts w:ascii="Arial"/>
          <w:color w:val="010202"/>
          <w:sz w:val="21"/>
        </w:rPr>
        <w:t>a</w:t>
      </w:r>
      <w:r>
        <w:rPr>
          <w:rFonts w:ascii="Arial"/>
          <w:color w:val="010202"/>
          <w:spacing w:val="-13"/>
          <w:sz w:val="21"/>
        </w:rPr>
        <w:t> </w:t>
      </w:r>
      <w:r>
        <w:rPr>
          <w:rFonts w:ascii="Arial"/>
          <w:color w:val="010202"/>
          <w:sz w:val="21"/>
        </w:rPr>
        <w:t>program</w:t>
      </w:r>
      <w:r>
        <w:rPr>
          <w:rFonts w:ascii="Arial"/>
          <w:color w:val="010202"/>
          <w:spacing w:val="1"/>
          <w:sz w:val="21"/>
        </w:rPr>
        <w:t> </w:t>
      </w:r>
      <w:r>
        <w:rPr>
          <w:rFonts w:ascii="Arial"/>
          <w:color w:val="010202"/>
          <w:spacing w:val="-2"/>
          <w:sz w:val="21"/>
        </w:rPr>
        <w:t>delivers a practice as intended. There are many potential CQI </w:t>
      </w:r>
      <w:r>
        <w:rPr>
          <w:rFonts w:ascii="Arial"/>
          <w:color w:val="010202"/>
          <w:spacing w:val="-1"/>
          <w:sz w:val="21"/>
        </w:rPr>
        <w:t>models and approaches (see e.g., </w:t>
      </w:r>
      <w:hyperlink r:id="rId356">
        <w:r>
          <w:rPr>
            <w:rFonts w:ascii="Arial"/>
            <w:color w:val="3953A4"/>
            <w:spacing w:val="-1"/>
            <w:sz w:val="21"/>
            <w:u w:val="single" w:color="3953A4"/>
          </w:rPr>
          <w:t>https://www.</w:t>
        </w:r>
      </w:hyperlink>
      <w:r>
        <w:rPr>
          <w:rFonts w:ascii="Arial"/>
          <w:color w:val="3953A4"/>
          <w:sz w:val="21"/>
        </w:rPr>
        <w:t> </w:t>
      </w:r>
      <w:hyperlink r:id="rId356">
        <w:r>
          <w:rPr>
            <w:rFonts w:ascii="Arial"/>
            <w:color w:val="3953A4"/>
            <w:sz w:val="21"/>
            <w:u w:val="single" w:color="3953A4"/>
          </w:rPr>
          <w:t>healthit.gov/faq/what-are-leading-continuous-quality-improvement-strategies-health-care-settings</w:t>
        </w:r>
        <w:r>
          <w:rPr>
            <w:rFonts w:ascii="Arial"/>
            <w:color w:val="010202"/>
            <w:sz w:val="21"/>
          </w:rPr>
          <w:t>).</w:t>
        </w:r>
      </w:hyperlink>
    </w:p>
    <w:p>
      <w:pPr>
        <w:spacing w:line="259" w:lineRule="auto" w:before="129"/>
        <w:ind w:left="340" w:right="1322" w:firstLine="0"/>
        <w:jc w:val="left"/>
        <w:rPr>
          <w:rFonts w:ascii="Arial"/>
          <w:sz w:val="21"/>
        </w:rPr>
      </w:pPr>
      <w:r>
        <w:rPr>
          <w:rFonts w:ascii="Arial"/>
          <w:color w:val="010202"/>
          <w:sz w:val="21"/>
        </w:rPr>
        <w:t>CQI</w:t>
      </w:r>
      <w:r>
        <w:rPr>
          <w:rFonts w:ascii="Arial"/>
          <w:color w:val="010202"/>
          <w:spacing w:val="-6"/>
          <w:sz w:val="21"/>
        </w:rPr>
        <w:t> </w:t>
      </w:r>
      <w:r>
        <w:rPr>
          <w:rFonts w:ascii="Arial"/>
          <w:color w:val="010202"/>
          <w:sz w:val="21"/>
        </w:rPr>
        <w:t>differs</w:t>
      </w:r>
      <w:r>
        <w:rPr>
          <w:rFonts w:ascii="Arial"/>
          <w:color w:val="010202"/>
          <w:spacing w:val="-4"/>
          <w:sz w:val="21"/>
        </w:rPr>
        <w:t> </w:t>
      </w:r>
      <w:r>
        <w:rPr>
          <w:rFonts w:ascii="Arial"/>
          <w:color w:val="010202"/>
          <w:sz w:val="21"/>
        </w:rPr>
        <w:t>from</w:t>
      </w:r>
      <w:r>
        <w:rPr>
          <w:rFonts w:ascii="Arial"/>
          <w:color w:val="010202"/>
          <w:spacing w:val="-4"/>
          <w:sz w:val="21"/>
        </w:rPr>
        <w:t> </w:t>
      </w:r>
      <w:r>
        <w:rPr>
          <w:rFonts w:ascii="Arial"/>
          <w:color w:val="010202"/>
          <w:sz w:val="21"/>
        </w:rPr>
        <w:t>process</w:t>
      </w:r>
      <w:r>
        <w:rPr>
          <w:rFonts w:ascii="Arial"/>
          <w:color w:val="010202"/>
          <w:spacing w:val="-5"/>
          <w:sz w:val="21"/>
        </w:rPr>
        <w:t> </w:t>
      </w:r>
      <w:r>
        <w:rPr>
          <w:rFonts w:ascii="Arial"/>
          <w:color w:val="010202"/>
          <w:sz w:val="21"/>
        </w:rPr>
        <w:t>evaluation</w:t>
      </w:r>
      <w:r>
        <w:rPr>
          <w:rFonts w:ascii="Arial"/>
          <w:color w:val="010202"/>
          <w:spacing w:val="-6"/>
          <w:sz w:val="21"/>
        </w:rPr>
        <w:t> </w:t>
      </w:r>
      <w:r>
        <w:rPr>
          <w:rFonts w:ascii="Arial"/>
          <w:color w:val="010202"/>
          <w:sz w:val="21"/>
        </w:rPr>
        <w:t>in</w:t>
      </w:r>
      <w:r>
        <w:rPr>
          <w:rFonts w:ascii="Arial"/>
          <w:color w:val="010202"/>
          <w:spacing w:val="-5"/>
          <w:sz w:val="21"/>
        </w:rPr>
        <w:t> </w:t>
      </w:r>
      <w:r>
        <w:rPr>
          <w:rFonts w:ascii="Arial"/>
          <w:color w:val="010202"/>
          <w:sz w:val="21"/>
        </w:rPr>
        <w:t>that</w:t>
      </w:r>
      <w:r>
        <w:rPr>
          <w:rFonts w:ascii="Arial"/>
          <w:color w:val="010202"/>
          <w:spacing w:val="-4"/>
          <w:sz w:val="21"/>
        </w:rPr>
        <w:t> </w:t>
      </w:r>
      <w:r>
        <w:rPr>
          <w:rFonts w:ascii="Arial"/>
          <w:color w:val="010202"/>
          <w:sz w:val="21"/>
        </w:rPr>
        <w:t>it</w:t>
      </w:r>
      <w:r>
        <w:rPr>
          <w:rFonts w:ascii="Arial"/>
          <w:color w:val="010202"/>
          <w:spacing w:val="-5"/>
          <w:sz w:val="21"/>
        </w:rPr>
        <w:t> </w:t>
      </w:r>
      <w:r>
        <w:rPr>
          <w:rFonts w:ascii="Arial"/>
          <w:color w:val="010202"/>
          <w:sz w:val="21"/>
        </w:rPr>
        <w:t>involves</w:t>
      </w:r>
      <w:r>
        <w:rPr>
          <w:rFonts w:ascii="Arial"/>
          <w:color w:val="010202"/>
          <w:spacing w:val="-5"/>
          <w:sz w:val="21"/>
        </w:rPr>
        <w:t> </w:t>
      </w:r>
      <w:r>
        <w:rPr>
          <w:rFonts w:ascii="Arial"/>
          <w:color w:val="010202"/>
          <w:sz w:val="21"/>
        </w:rPr>
        <w:t>quick</w:t>
      </w:r>
      <w:r>
        <w:rPr>
          <w:rFonts w:ascii="Arial"/>
          <w:color w:val="010202"/>
          <w:spacing w:val="-6"/>
          <w:sz w:val="21"/>
        </w:rPr>
        <w:t> </w:t>
      </w:r>
      <w:r>
        <w:rPr>
          <w:rFonts w:ascii="Arial"/>
          <w:color w:val="010202"/>
          <w:sz w:val="21"/>
        </w:rPr>
        <w:t>assessments</w:t>
      </w:r>
      <w:r>
        <w:rPr>
          <w:rFonts w:ascii="Arial"/>
          <w:color w:val="010202"/>
          <w:spacing w:val="-5"/>
          <w:sz w:val="21"/>
        </w:rPr>
        <w:t> </w:t>
      </w:r>
      <w:r>
        <w:rPr>
          <w:rFonts w:ascii="Arial"/>
          <w:color w:val="010202"/>
          <w:sz w:val="21"/>
        </w:rPr>
        <w:t>of</w:t>
      </w:r>
      <w:r>
        <w:rPr>
          <w:rFonts w:ascii="Arial"/>
          <w:color w:val="010202"/>
          <w:spacing w:val="-5"/>
          <w:sz w:val="21"/>
        </w:rPr>
        <w:t> </w:t>
      </w:r>
      <w:r>
        <w:rPr>
          <w:rFonts w:ascii="Arial"/>
          <w:color w:val="010202"/>
          <w:sz w:val="21"/>
        </w:rPr>
        <w:t>program</w:t>
      </w:r>
      <w:r>
        <w:rPr>
          <w:rFonts w:ascii="Arial"/>
          <w:color w:val="010202"/>
          <w:spacing w:val="-5"/>
          <w:sz w:val="21"/>
        </w:rPr>
        <w:t> </w:t>
      </w:r>
      <w:r>
        <w:rPr>
          <w:rFonts w:ascii="Arial"/>
          <w:color w:val="010202"/>
          <w:sz w:val="21"/>
        </w:rPr>
        <w:t>performance,</w:t>
      </w:r>
      <w:r>
        <w:rPr>
          <w:rFonts w:ascii="Arial"/>
          <w:color w:val="010202"/>
          <w:spacing w:val="-5"/>
          <w:sz w:val="21"/>
        </w:rPr>
        <w:t> </w:t>
      </w:r>
      <w:r>
        <w:rPr>
          <w:rFonts w:ascii="Arial"/>
          <w:color w:val="010202"/>
          <w:sz w:val="21"/>
        </w:rPr>
        <w:t>timely</w:t>
      </w:r>
      <w:r>
        <w:rPr>
          <w:rFonts w:ascii="Arial"/>
          <w:color w:val="010202"/>
          <w:spacing w:val="1"/>
          <w:sz w:val="21"/>
        </w:rPr>
        <w:t> </w:t>
      </w:r>
      <w:r>
        <w:rPr>
          <w:rFonts w:ascii="Arial"/>
          <w:color w:val="010202"/>
          <w:sz w:val="21"/>
        </w:rPr>
        <w:t>identification of problems and potential solutions, and implementation of small improvements to enhance</w:t>
      </w:r>
      <w:r>
        <w:rPr>
          <w:rFonts w:ascii="Arial"/>
          <w:color w:val="010202"/>
          <w:spacing w:val="-56"/>
          <w:sz w:val="21"/>
        </w:rPr>
        <w:t> </w:t>
      </w:r>
      <w:r>
        <w:rPr>
          <w:rFonts w:ascii="Arial"/>
          <w:color w:val="010202"/>
          <w:sz w:val="21"/>
        </w:rPr>
        <w:t>treatment quality. CQI is usually conducted by internal staff. Process evaluation involves longer-term</w:t>
      </w:r>
      <w:r>
        <w:rPr>
          <w:rFonts w:ascii="Arial"/>
          <w:color w:val="010202"/>
          <w:spacing w:val="1"/>
          <w:sz w:val="21"/>
        </w:rPr>
        <w:t> </w:t>
      </w:r>
      <w:r>
        <w:rPr>
          <w:rFonts w:ascii="Arial"/>
          <w:color w:val="010202"/>
          <w:sz w:val="21"/>
        </w:rPr>
        <w:t>assessments</w:t>
      </w:r>
      <w:r>
        <w:rPr>
          <w:rFonts w:ascii="Arial"/>
          <w:color w:val="010202"/>
          <w:spacing w:val="-2"/>
          <w:sz w:val="21"/>
        </w:rPr>
        <w:t> </w:t>
      </w:r>
      <w:r>
        <w:rPr>
          <w:rFonts w:ascii="Arial"/>
          <w:color w:val="010202"/>
          <w:sz w:val="21"/>
        </w:rPr>
        <w:t>and</w:t>
      </w:r>
      <w:r>
        <w:rPr>
          <w:rFonts w:ascii="Arial"/>
          <w:color w:val="010202"/>
          <w:spacing w:val="-2"/>
          <w:sz w:val="21"/>
        </w:rPr>
        <w:t> </w:t>
      </w:r>
      <w:r>
        <w:rPr>
          <w:rFonts w:ascii="Arial"/>
          <w:color w:val="010202"/>
          <w:sz w:val="21"/>
        </w:rPr>
        <w:t>is</w:t>
      </w:r>
      <w:r>
        <w:rPr>
          <w:rFonts w:ascii="Arial"/>
          <w:color w:val="010202"/>
          <w:spacing w:val="-1"/>
          <w:sz w:val="21"/>
        </w:rPr>
        <w:t> </w:t>
      </w:r>
      <w:r>
        <w:rPr>
          <w:rFonts w:ascii="Arial"/>
          <w:color w:val="010202"/>
          <w:sz w:val="21"/>
        </w:rPr>
        <w:t>best</w:t>
      </w:r>
      <w:r>
        <w:rPr>
          <w:rFonts w:ascii="Arial"/>
          <w:color w:val="010202"/>
          <w:spacing w:val="-2"/>
          <w:sz w:val="21"/>
        </w:rPr>
        <w:t> </w:t>
      </w:r>
      <w:r>
        <w:rPr>
          <w:rFonts w:ascii="Arial"/>
          <w:color w:val="010202"/>
          <w:sz w:val="21"/>
        </w:rPr>
        <w:t>conducted by</w:t>
      </w:r>
      <w:r>
        <w:rPr>
          <w:rFonts w:ascii="Arial"/>
          <w:color w:val="010202"/>
          <w:spacing w:val="-2"/>
          <w:sz w:val="21"/>
        </w:rPr>
        <w:t> </w:t>
      </w:r>
      <w:r>
        <w:rPr>
          <w:rFonts w:ascii="Arial"/>
          <w:color w:val="010202"/>
          <w:sz w:val="21"/>
        </w:rPr>
        <w:t>an</w:t>
      </w:r>
      <w:r>
        <w:rPr>
          <w:rFonts w:ascii="Arial"/>
          <w:color w:val="010202"/>
          <w:spacing w:val="-1"/>
          <w:sz w:val="21"/>
        </w:rPr>
        <w:t> </w:t>
      </w:r>
      <w:r>
        <w:rPr>
          <w:rFonts w:ascii="Arial"/>
          <w:color w:val="010202"/>
          <w:sz w:val="21"/>
        </w:rPr>
        <w:t>external</w:t>
      </w:r>
      <w:r>
        <w:rPr>
          <w:rFonts w:ascii="Arial"/>
          <w:color w:val="010202"/>
          <w:spacing w:val="-2"/>
          <w:sz w:val="21"/>
        </w:rPr>
        <w:t> </w:t>
      </w:r>
      <w:r>
        <w:rPr>
          <w:rFonts w:ascii="Arial"/>
          <w:color w:val="010202"/>
          <w:sz w:val="21"/>
        </w:rPr>
        <w:t>evaluator.</w:t>
      </w:r>
    </w:p>
    <w:p>
      <w:pPr>
        <w:spacing w:line="259" w:lineRule="auto" w:before="130"/>
        <w:ind w:left="340" w:right="884" w:firstLine="0"/>
        <w:jc w:val="left"/>
        <w:rPr>
          <w:rFonts w:ascii="Arial" w:hAnsi="Arial"/>
          <w:sz w:val="21"/>
        </w:rPr>
      </w:pPr>
      <w:r>
        <w:rPr>
          <w:rFonts w:ascii="Arial" w:hAnsi="Arial"/>
          <w:color w:val="010202"/>
          <w:spacing w:val="-1"/>
          <w:sz w:val="21"/>
        </w:rPr>
        <w:t>The </w:t>
      </w:r>
      <w:hyperlink r:id="rId357">
        <w:r>
          <w:rPr>
            <w:rFonts w:ascii="Arial" w:hAnsi="Arial"/>
            <w:color w:val="3953A4"/>
            <w:spacing w:val="-1"/>
            <w:sz w:val="21"/>
            <w:u w:val="single" w:color="3953A4"/>
          </w:rPr>
          <w:t>Network for Improvement of Addiction Treatment </w:t>
        </w:r>
        <w:r>
          <w:rPr>
            <w:rFonts w:ascii="Arial" w:hAnsi="Arial"/>
            <w:color w:val="3953A4"/>
            <w:sz w:val="21"/>
            <w:u w:val="single" w:color="3953A4"/>
          </w:rPr>
          <w:t>(NIATx)</w:t>
        </w:r>
      </w:hyperlink>
      <w:r>
        <w:rPr>
          <w:rFonts w:ascii="Arial" w:hAnsi="Arial"/>
          <w:color w:val="010202"/>
          <w:sz w:val="21"/>
        </w:rPr>
        <w:t>, a project originally funded by SAMHSA’s Center</w:t>
      </w:r>
      <w:r>
        <w:rPr>
          <w:rFonts w:ascii="Arial" w:hAnsi="Arial"/>
          <w:color w:val="010202"/>
          <w:spacing w:val="-56"/>
          <w:sz w:val="21"/>
        </w:rPr>
        <w:t> </w:t>
      </w:r>
      <w:r>
        <w:rPr>
          <w:rFonts w:ascii="Arial" w:hAnsi="Arial"/>
          <w:color w:val="010202"/>
          <w:sz w:val="21"/>
        </w:rPr>
        <w:t>for Substance Abuse Treatment, offers tools to conduct CQI and improve services in substance use disorder</w:t>
      </w:r>
      <w:r>
        <w:rPr>
          <w:rFonts w:ascii="Arial" w:hAnsi="Arial"/>
          <w:color w:val="010202"/>
          <w:spacing w:val="1"/>
          <w:sz w:val="21"/>
        </w:rPr>
        <w:t> </w:t>
      </w:r>
      <w:r>
        <w:rPr>
          <w:rFonts w:ascii="Arial" w:hAnsi="Arial"/>
          <w:color w:val="010202"/>
          <w:sz w:val="21"/>
        </w:rPr>
        <w:t>treatment</w:t>
      </w:r>
      <w:r>
        <w:rPr>
          <w:rFonts w:ascii="Arial" w:hAnsi="Arial"/>
          <w:color w:val="010202"/>
          <w:spacing w:val="-3"/>
          <w:sz w:val="21"/>
        </w:rPr>
        <w:t> </w:t>
      </w:r>
      <w:r>
        <w:rPr>
          <w:rFonts w:ascii="Arial" w:hAnsi="Arial"/>
          <w:color w:val="010202"/>
          <w:sz w:val="21"/>
        </w:rPr>
        <w:t>settings.</w:t>
      </w:r>
      <w:r>
        <w:rPr>
          <w:rFonts w:ascii="Arial" w:hAnsi="Arial"/>
          <w:color w:val="010202"/>
          <w:spacing w:val="-4"/>
          <w:sz w:val="21"/>
        </w:rPr>
        <w:t> </w:t>
      </w:r>
      <w:r>
        <w:rPr>
          <w:rFonts w:ascii="Arial" w:hAnsi="Arial"/>
          <w:color w:val="010202"/>
          <w:sz w:val="21"/>
        </w:rPr>
        <w:t>NIATx</w:t>
      </w:r>
      <w:r>
        <w:rPr>
          <w:rFonts w:ascii="Arial" w:hAnsi="Arial"/>
          <w:color w:val="010202"/>
          <w:spacing w:val="-3"/>
          <w:sz w:val="21"/>
        </w:rPr>
        <w:t> </w:t>
      </w:r>
      <w:r>
        <w:rPr>
          <w:rFonts w:ascii="Arial" w:hAnsi="Arial"/>
          <w:color w:val="010202"/>
          <w:sz w:val="21"/>
        </w:rPr>
        <w:t>is</w:t>
      </w:r>
      <w:r>
        <w:rPr>
          <w:rFonts w:ascii="Arial" w:hAnsi="Arial"/>
          <w:color w:val="010202"/>
          <w:spacing w:val="-3"/>
          <w:sz w:val="21"/>
        </w:rPr>
        <w:t> </w:t>
      </w:r>
      <w:r>
        <w:rPr>
          <w:rFonts w:ascii="Arial" w:hAnsi="Arial"/>
          <w:color w:val="010202"/>
          <w:sz w:val="21"/>
        </w:rPr>
        <w:t>based</w:t>
      </w:r>
      <w:r>
        <w:rPr>
          <w:rFonts w:ascii="Arial" w:hAnsi="Arial"/>
          <w:color w:val="010202"/>
          <w:spacing w:val="-4"/>
          <w:sz w:val="21"/>
        </w:rPr>
        <w:t> </w:t>
      </w:r>
      <w:r>
        <w:rPr>
          <w:rFonts w:ascii="Arial" w:hAnsi="Arial"/>
          <w:color w:val="010202"/>
          <w:sz w:val="21"/>
        </w:rPr>
        <w:t>on</w:t>
      </w:r>
      <w:r>
        <w:rPr>
          <w:rFonts w:ascii="Arial" w:hAnsi="Arial"/>
          <w:color w:val="010202"/>
          <w:spacing w:val="-4"/>
          <w:sz w:val="21"/>
        </w:rPr>
        <w:t> </w:t>
      </w:r>
      <w:r>
        <w:rPr>
          <w:rFonts w:ascii="Arial" w:hAnsi="Arial"/>
          <w:color w:val="010202"/>
          <w:sz w:val="21"/>
        </w:rPr>
        <w:t>the</w:t>
      </w:r>
      <w:r>
        <w:rPr>
          <w:rFonts w:ascii="Arial" w:hAnsi="Arial"/>
          <w:color w:val="010202"/>
          <w:spacing w:val="-3"/>
          <w:sz w:val="21"/>
        </w:rPr>
        <w:t> </w:t>
      </w:r>
      <w:r>
        <w:rPr>
          <w:rFonts w:ascii="Arial" w:hAnsi="Arial"/>
          <w:color w:val="010202"/>
          <w:sz w:val="21"/>
        </w:rPr>
        <w:t>principle</w:t>
      </w:r>
      <w:r>
        <w:rPr>
          <w:rFonts w:ascii="Arial" w:hAnsi="Arial"/>
          <w:color w:val="010202"/>
          <w:spacing w:val="-4"/>
          <w:sz w:val="21"/>
        </w:rPr>
        <w:t> </w:t>
      </w:r>
      <w:r>
        <w:rPr>
          <w:rFonts w:ascii="Arial" w:hAnsi="Arial"/>
          <w:color w:val="010202"/>
          <w:sz w:val="21"/>
        </w:rPr>
        <w:t>of</w:t>
      </w:r>
      <w:r>
        <w:rPr>
          <w:rFonts w:ascii="Arial" w:hAnsi="Arial"/>
          <w:color w:val="010202"/>
          <w:spacing w:val="-4"/>
          <w:sz w:val="21"/>
        </w:rPr>
        <w:t> </w:t>
      </w:r>
      <w:r>
        <w:rPr>
          <w:rFonts w:ascii="Arial" w:hAnsi="Arial"/>
          <w:color w:val="010202"/>
          <w:sz w:val="21"/>
        </w:rPr>
        <w:t>program</w:t>
      </w:r>
      <w:r>
        <w:rPr>
          <w:rFonts w:ascii="Arial" w:hAnsi="Arial"/>
          <w:color w:val="010202"/>
          <w:spacing w:val="-4"/>
          <w:sz w:val="21"/>
        </w:rPr>
        <w:t> </w:t>
      </w:r>
      <w:r>
        <w:rPr>
          <w:rFonts w:ascii="Arial" w:hAnsi="Arial"/>
          <w:color w:val="010202"/>
          <w:sz w:val="21"/>
        </w:rPr>
        <w:t>improvement</w:t>
      </w:r>
      <w:r>
        <w:rPr>
          <w:rFonts w:ascii="Arial" w:hAnsi="Arial"/>
          <w:color w:val="010202"/>
          <w:spacing w:val="-4"/>
          <w:sz w:val="21"/>
        </w:rPr>
        <w:t> </w:t>
      </w:r>
      <w:r>
        <w:rPr>
          <w:rFonts w:ascii="Arial" w:hAnsi="Arial"/>
          <w:color w:val="010202"/>
          <w:sz w:val="21"/>
        </w:rPr>
        <w:t>through</w:t>
      </w:r>
      <w:r>
        <w:rPr>
          <w:rFonts w:ascii="Arial" w:hAnsi="Arial"/>
          <w:color w:val="010202"/>
          <w:spacing w:val="-3"/>
          <w:sz w:val="21"/>
        </w:rPr>
        <w:t> </w:t>
      </w:r>
      <w:r>
        <w:rPr>
          <w:rFonts w:ascii="Arial" w:hAnsi="Arial"/>
          <w:color w:val="010202"/>
          <w:sz w:val="21"/>
        </w:rPr>
        <w:t>a</w:t>
      </w:r>
      <w:r>
        <w:rPr>
          <w:rFonts w:ascii="Arial" w:hAnsi="Arial"/>
          <w:color w:val="010202"/>
          <w:spacing w:val="-4"/>
          <w:sz w:val="21"/>
        </w:rPr>
        <w:t> </w:t>
      </w:r>
      <w:r>
        <w:rPr>
          <w:rFonts w:ascii="Arial" w:hAnsi="Arial"/>
          <w:color w:val="010202"/>
          <w:sz w:val="21"/>
        </w:rPr>
        <w:t>series</w:t>
      </w:r>
      <w:r>
        <w:rPr>
          <w:rFonts w:ascii="Arial" w:hAnsi="Arial"/>
          <w:color w:val="010202"/>
          <w:spacing w:val="-3"/>
          <w:sz w:val="21"/>
        </w:rPr>
        <w:t> </w:t>
      </w:r>
      <w:r>
        <w:rPr>
          <w:rFonts w:ascii="Arial" w:hAnsi="Arial"/>
          <w:color w:val="010202"/>
          <w:sz w:val="21"/>
        </w:rPr>
        <w:t>of</w:t>
      </w:r>
      <w:r>
        <w:rPr>
          <w:rFonts w:ascii="Arial" w:hAnsi="Arial"/>
          <w:color w:val="010202"/>
          <w:spacing w:val="-4"/>
          <w:sz w:val="21"/>
        </w:rPr>
        <w:t> </w:t>
      </w:r>
      <w:r>
        <w:rPr>
          <w:rFonts w:ascii="Arial" w:hAnsi="Arial"/>
          <w:color w:val="010202"/>
          <w:sz w:val="21"/>
        </w:rPr>
        <w:t>small</w:t>
      </w:r>
      <w:r>
        <w:rPr>
          <w:rFonts w:ascii="Arial" w:hAnsi="Arial"/>
          <w:color w:val="010202"/>
          <w:spacing w:val="-3"/>
          <w:sz w:val="21"/>
        </w:rPr>
        <w:t> </w:t>
      </w:r>
      <w:r>
        <w:rPr>
          <w:rFonts w:ascii="Arial" w:hAnsi="Arial"/>
          <w:color w:val="010202"/>
          <w:sz w:val="21"/>
        </w:rPr>
        <w:t>changes,</w:t>
      </w:r>
      <w:r>
        <w:rPr>
          <w:rFonts w:ascii="Arial" w:hAnsi="Arial"/>
          <w:color w:val="010202"/>
          <w:spacing w:val="-56"/>
          <w:sz w:val="21"/>
        </w:rPr>
        <w:t> </w:t>
      </w:r>
      <w:r>
        <w:rPr>
          <w:rFonts w:ascii="Arial" w:hAnsi="Arial"/>
          <w:color w:val="010202"/>
          <w:sz w:val="21"/>
        </w:rPr>
        <w:t>tested</w:t>
      </w:r>
      <w:r>
        <w:rPr>
          <w:rFonts w:ascii="Arial" w:hAnsi="Arial"/>
          <w:color w:val="010202"/>
          <w:spacing w:val="-1"/>
          <w:sz w:val="21"/>
        </w:rPr>
        <w:t> </w:t>
      </w:r>
      <w:r>
        <w:rPr>
          <w:rFonts w:ascii="Arial" w:hAnsi="Arial"/>
          <w:color w:val="010202"/>
          <w:sz w:val="21"/>
        </w:rPr>
        <w:t>and</w:t>
      </w:r>
      <w:r>
        <w:rPr>
          <w:rFonts w:ascii="Arial" w:hAnsi="Arial"/>
          <w:color w:val="010202"/>
          <w:spacing w:val="-1"/>
          <w:sz w:val="21"/>
        </w:rPr>
        <w:t> </w:t>
      </w:r>
      <w:r>
        <w:rPr>
          <w:rFonts w:ascii="Arial" w:hAnsi="Arial"/>
          <w:color w:val="010202"/>
          <w:sz w:val="21"/>
        </w:rPr>
        <w:t>implemented</w:t>
      </w:r>
      <w:r>
        <w:rPr>
          <w:rFonts w:ascii="Arial" w:hAnsi="Arial"/>
          <w:color w:val="010202"/>
          <w:spacing w:val="-2"/>
          <w:sz w:val="21"/>
        </w:rPr>
        <w:t> </w:t>
      </w:r>
      <w:r>
        <w:rPr>
          <w:rFonts w:ascii="Arial" w:hAnsi="Arial"/>
          <w:color w:val="010202"/>
          <w:sz w:val="21"/>
        </w:rPr>
        <w:t>one</w:t>
      </w:r>
      <w:r>
        <w:rPr>
          <w:rFonts w:ascii="Arial" w:hAnsi="Arial"/>
          <w:color w:val="010202"/>
          <w:spacing w:val="-1"/>
          <w:sz w:val="21"/>
        </w:rPr>
        <w:t> </w:t>
      </w:r>
      <w:r>
        <w:rPr>
          <w:rFonts w:ascii="Arial" w:hAnsi="Arial"/>
          <w:color w:val="010202"/>
          <w:sz w:val="21"/>
        </w:rPr>
        <w:t>at</w:t>
      </w:r>
      <w:r>
        <w:rPr>
          <w:rFonts w:ascii="Arial" w:hAnsi="Arial"/>
          <w:color w:val="010202"/>
          <w:spacing w:val="-1"/>
          <w:sz w:val="21"/>
        </w:rPr>
        <w:t> </w:t>
      </w:r>
      <w:r>
        <w:rPr>
          <w:rFonts w:ascii="Arial" w:hAnsi="Arial"/>
          <w:color w:val="010202"/>
          <w:sz w:val="21"/>
        </w:rPr>
        <w:t>a</w:t>
      </w:r>
      <w:r>
        <w:rPr>
          <w:rFonts w:ascii="Arial" w:hAnsi="Arial"/>
          <w:color w:val="010202"/>
          <w:spacing w:val="-2"/>
          <w:sz w:val="21"/>
        </w:rPr>
        <w:t> </w:t>
      </w:r>
      <w:r>
        <w:rPr>
          <w:rFonts w:ascii="Arial" w:hAnsi="Arial"/>
          <w:color w:val="010202"/>
          <w:sz w:val="21"/>
        </w:rPr>
        <w:t>time, that</w:t>
      </w:r>
      <w:r>
        <w:rPr>
          <w:rFonts w:ascii="Arial" w:hAnsi="Arial"/>
          <w:color w:val="010202"/>
          <w:spacing w:val="-1"/>
          <w:sz w:val="21"/>
        </w:rPr>
        <w:t> </w:t>
      </w:r>
      <w:r>
        <w:rPr>
          <w:rFonts w:ascii="Arial" w:hAnsi="Arial"/>
          <w:color w:val="010202"/>
          <w:sz w:val="21"/>
        </w:rPr>
        <w:t>in</w:t>
      </w:r>
      <w:r>
        <w:rPr>
          <w:rFonts w:ascii="Arial" w:hAnsi="Arial"/>
          <w:color w:val="010202"/>
          <w:spacing w:val="-1"/>
          <w:sz w:val="21"/>
        </w:rPr>
        <w:t> </w:t>
      </w:r>
      <w:r>
        <w:rPr>
          <w:rFonts w:ascii="Arial" w:hAnsi="Arial"/>
          <w:color w:val="010202"/>
          <w:sz w:val="21"/>
        </w:rPr>
        <w:t>the end</w:t>
      </w:r>
      <w:r>
        <w:rPr>
          <w:rFonts w:ascii="Arial" w:hAnsi="Arial"/>
          <w:color w:val="010202"/>
          <w:spacing w:val="-2"/>
          <w:sz w:val="21"/>
        </w:rPr>
        <w:t> </w:t>
      </w:r>
      <w:r>
        <w:rPr>
          <w:rFonts w:ascii="Arial" w:hAnsi="Arial"/>
          <w:color w:val="010202"/>
          <w:sz w:val="21"/>
        </w:rPr>
        <w:t>have</w:t>
      </w:r>
      <w:r>
        <w:rPr>
          <w:rFonts w:ascii="Arial" w:hAnsi="Arial"/>
          <w:color w:val="010202"/>
          <w:spacing w:val="-1"/>
          <w:sz w:val="21"/>
        </w:rPr>
        <w:t> </w:t>
      </w:r>
      <w:r>
        <w:rPr>
          <w:rFonts w:ascii="Arial" w:hAnsi="Arial"/>
          <w:color w:val="010202"/>
          <w:sz w:val="21"/>
        </w:rPr>
        <w:t>a</w:t>
      </w:r>
      <w:r>
        <w:rPr>
          <w:rFonts w:ascii="Arial" w:hAnsi="Arial"/>
          <w:color w:val="010202"/>
          <w:spacing w:val="-2"/>
          <w:sz w:val="21"/>
        </w:rPr>
        <w:t> </w:t>
      </w:r>
      <w:r>
        <w:rPr>
          <w:rFonts w:ascii="Arial" w:hAnsi="Arial"/>
          <w:color w:val="010202"/>
          <w:sz w:val="21"/>
        </w:rPr>
        <w:t>cumulative effect.</w:t>
      </w:r>
    </w:p>
    <w:p>
      <w:pPr>
        <w:spacing w:line="259" w:lineRule="auto" w:before="130"/>
        <w:ind w:left="340" w:right="1242" w:firstLine="0"/>
        <w:jc w:val="left"/>
        <w:rPr>
          <w:rFonts w:ascii="Arial" w:hAnsi="Arial"/>
          <w:sz w:val="21"/>
        </w:rPr>
      </w:pPr>
      <w:r>
        <w:rPr>
          <w:rFonts w:ascii="Arial" w:hAnsi="Arial"/>
          <w:color w:val="010202"/>
          <w:sz w:val="21"/>
        </w:rPr>
        <w:t>The </w:t>
      </w:r>
      <w:hyperlink r:id="rId358">
        <w:r>
          <w:rPr>
            <w:rFonts w:ascii="Arial" w:hAnsi="Arial"/>
            <w:color w:val="3953A4"/>
            <w:sz w:val="21"/>
            <w:u w:val="single" w:color="3953A4"/>
          </w:rPr>
          <w:t>Institute for Healthcare Improvement’s PDSA Model for Improvement</w:t>
        </w:r>
        <w:r>
          <w:rPr>
            <w:rFonts w:ascii="Arial" w:hAnsi="Arial"/>
            <w:color w:val="3953A4"/>
            <w:sz w:val="21"/>
          </w:rPr>
          <w:t> </w:t>
        </w:r>
      </w:hyperlink>
      <w:r>
        <w:rPr>
          <w:rFonts w:ascii="Arial" w:hAnsi="Arial"/>
          <w:color w:val="010202"/>
          <w:sz w:val="21"/>
        </w:rPr>
        <w:t>identifies a scientific method for</w:t>
      </w:r>
      <w:r>
        <w:rPr>
          <w:rFonts w:ascii="Arial" w:hAnsi="Arial"/>
          <w:color w:val="010202"/>
          <w:spacing w:val="1"/>
          <w:sz w:val="21"/>
        </w:rPr>
        <w:t> </w:t>
      </w:r>
      <w:r>
        <w:rPr>
          <w:rFonts w:ascii="Arial" w:hAnsi="Arial"/>
          <w:color w:val="010202"/>
          <w:sz w:val="21"/>
        </w:rPr>
        <w:t>testing</w:t>
      </w:r>
      <w:r>
        <w:rPr>
          <w:rFonts w:ascii="Arial" w:hAnsi="Arial"/>
          <w:color w:val="010202"/>
          <w:spacing w:val="-3"/>
          <w:sz w:val="21"/>
        </w:rPr>
        <w:t> </w:t>
      </w:r>
      <w:r>
        <w:rPr>
          <w:rFonts w:ascii="Arial" w:hAnsi="Arial"/>
          <w:color w:val="010202"/>
          <w:sz w:val="21"/>
        </w:rPr>
        <w:t>small-scale</w:t>
      </w:r>
      <w:r>
        <w:rPr>
          <w:rFonts w:ascii="Arial" w:hAnsi="Arial"/>
          <w:color w:val="010202"/>
          <w:spacing w:val="-3"/>
          <w:sz w:val="21"/>
        </w:rPr>
        <w:t> </w:t>
      </w:r>
      <w:r>
        <w:rPr>
          <w:rFonts w:ascii="Arial" w:hAnsi="Arial"/>
          <w:color w:val="010202"/>
          <w:sz w:val="21"/>
        </w:rPr>
        <w:t>changes</w:t>
      </w:r>
      <w:r>
        <w:rPr>
          <w:rFonts w:ascii="Arial" w:hAnsi="Arial"/>
          <w:color w:val="010202"/>
          <w:spacing w:val="-2"/>
          <w:sz w:val="21"/>
        </w:rPr>
        <w:t> </w:t>
      </w:r>
      <w:r>
        <w:rPr>
          <w:rFonts w:ascii="Arial" w:hAnsi="Arial"/>
          <w:color w:val="010202"/>
          <w:sz w:val="21"/>
        </w:rPr>
        <w:t>in</w:t>
      </w:r>
      <w:r>
        <w:rPr>
          <w:rFonts w:ascii="Arial" w:hAnsi="Arial"/>
          <w:color w:val="010202"/>
          <w:spacing w:val="-4"/>
          <w:sz w:val="21"/>
        </w:rPr>
        <w:t> </w:t>
      </w:r>
      <w:r>
        <w:rPr>
          <w:rFonts w:ascii="Arial" w:hAnsi="Arial"/>
          <w:color w:val="010202"/>
          <w:sz w:val="21"/>
        </w:rPr>
        <w:t>an</w:t>
      </w:r>
      <w:r>
        <w:rPr>
          <w:rFonts w:ascii="Arial" w:hAnsi="Arial"/>
          <w:color w:val="010202"/>
          <w:spacing w:val="-4"/>
          <w:sz w:val="21"/>
        </w:rPr>
        <w:t> </w:t>
      </w:r>
      <w:r>
        <w:rPr>
          <w:rFonts w:ascii="Arial" w:hAnsi="Arial"/>
          <w:color w:val="010202"/>
          <w:sz w:val="21"/>
        </w:rPr>
        <w:t>action-oriented,</w:t>
      </w:r>
      <w:r>
        <w:rPr>
          <w:rFonts w:ascii="Arial" w:hAnsi="Arial"/>
          <w:color w:val="010202"/>
          <w:spacing w:val="-3"/>
          <w:sz w:val="21"/>
        </w:rPr>
        <w:t> </w:t>
      </w:r>
      <w:r>
        <w:rPr>
          <w:rFonts w:ascii="Arial" w:hAnsi="Arial"/>
          <w:color w:val="010202"/>
          <w:sz w:val="21"/>
        </w:rPr>
        <w:t>cyclical</w:t>
      </w:r>
      <w:r>
        <w:rPr>
          <w:rFonts w:ascii="Arial" w:hAnsi="Arial"/>
          <w:color w:val="010202"/>
          <w:spacing w:val="-3"/>
          <w:sz w:val="21"/>
        </w:rPr>
        <w:t> </w:t>
      </w:r>
      <w:r>
        <w:rPr>
          <w:rFonts w:ascii="Arial" w:hAnsi="Arial"/>
          <w:color w:val="010202"/>
          <w:sz w:val="21"/>
        </w:rPr>
        <w:t>manner.</w:t>
      </w:r>
      <w:r>
        <w:rPr>
          <w:rFonts w:ascii="Arial" w:hAnsi="Arial"/>
          <w:color w:val="010202"/>
          <w:spacing w:val="-6"/>
          <w:sz w:val="21"/>
        </w:rPr>
        <w:t> </w:t>
      </w:r>
      <w:r>
        <w:rPr>
          <w:rFonts w:ascii="Arial" w:hAnsi="Arial"/>
          <w:color w:val="010202"/>
          <w:sz w:val="21"/>
        </w:rPr>
        <w:t>The</w:t>
      </w:r>
      <w:r>
        <w:rPr>
          <w:rFonts w:ascii="Arial" w:hAnsi="Arial"/>
          <w:color w:val="010202"/>
          <w:spacing w:val="-3"/>
          <w:sz w:val="21"/>
        </w:rPr>
        <w:t> </w:t>
      </w:r>
      <w:r>
        <w:rPr>
          <w:rFonts w:ascii="Arial" w:hAnsi="Arial"/>
          <w:color w:val="010202"/>
          <w:sz w:val="21"/>
        </w:rPr>
        <w:t>stages</w:t>
      </w:r>
      <w:r>
        <w:rPr>
          <w:rFonts w:ascii="Arial" w:hAnsi="Arial"/>
          <w:color w:val="010202"/>
          <w:spacing w:val="-3"/>
          <w:sz w:val="21"/>
        </w:rPr>
        <w:t> </w:t>
      </w:r>
      <w:r>
        <w:rPr>
          <w:rFonts w:ascii="Arial" w:hAnsi="Arial"/>
          <w:color w:val="010202"/>
          <w:sz w:val="21"/>
        </w:rPr>
        <w:t>are:</w:t>
      </w:r>
      <w:r>
        <w:rPr>
          <w:rFonts w:ascii="Arial" w:hAnsi="Arial"/>
          <w:color w:val="010202"/>
          <w:spacing w:val="-3"/>
          <w:sz w:val="21"/>
        </w:rPr>
        <w:t> </w:t>
      </w:r>
      <w:r>
        <w:rPr>
          <w:rFonts w:ascii="Arial" w:hAnsi="Arial"/>
          <w:color w:val="010202"/>
          <w:sz w:val="21"/>
        </w:rPr>
        <w:t>planning</w:t>
      </w:r>
      <w:r>
        <w:rPr>
          <w:rFonts w:ascii="Arial" w:hAnsi="Arial"/>
          <w:color w:val="010202"/>
          <w:spacing w:val="-4"/>
          <w:sz w:val="21"/>
        </w:rPr>
        <w:t> </w:t>
      </w:r>
      <w:r>
        <w:rPr>
          <w:rFonts w:ascii="Arial" w:hAnsi="Arial"/>
          <w:color w:val="010202"/>
          <w:sz w:val="21"/>
        </w:rPr>
        <w:t>it</w:t>
      </w:r>
      <w:r>
        <w:rPr>
          <w:rFonts w:ascii="Arial" w:hAnsi="Arial"/>
          <w:color w:val="010202"/>
          <w:spacing w:val="-3"/>
          <w:sz w:val="21"/>
        </w:rPr>
        <w:t> </w:t>
      </w:r>
      <w:r>
        <w:rPr>
          <w:rFonts w:ascii="Arial" w:hAnsi="Arial"/>
          <w:color w:val="010202"/>
          <w:sz w:val="21"/>
        </w:rPr>
        <w:t>(Plan),</w:t>
      </w:r>
      <w:r>
        <w:rPr>
          <w:rFonts w:ascii="Arial" w:hAnsi="Arial"/>
          <w:color w:val="010202"/>
          <w:spacing w:val="-3"/>
          <w:sz w:val="21"/>
        </w:rPr>
        <w:t> </w:t>
      </w:r>
      <w:r>
        <w:rPr>
          <w:rFonts w:ascii="Arial" w:hAnsi="Arial"/>
          <w:color w:val="010202"/>
          <w:sz w:val="21"/>
        </w:rPr>
        <w:t>trying</w:t>
      </w:r>
      <w:r>
        <w:rPr>
          <w:rFonts w:ascii="Arial" w:hAnsi="Arial"/>
          <w:color w:val="010202"/>
          <w:spacing w:val="-3"/>
          <w:sz w:val="21"/>
        </w:rPr>
        <w:t> </w:t>
      </w:r>
      <w:r>
        <w:rPr>
          <w:rFonts w:ascii="Arial" w:hAnsi="Arial"/>
          <w:color w:val="010202"/>
          <w:sz w:val="21"/>
        </w:rPr>
        <w:t>it</w:t>
      </w:r>
      <w:r>
        <w:rPr>
          <w:rFonts w:ascii="Arial" w:hAnsi="Arial"/>
          <w:color w:val="010202"/>
          <w:spacing w:val="-55"/>
          <w:sz w:val="21"/>
        </w:rPr>
        <w:t> </w:t>
      </w:r>
      <w:r>
        <w:rPr>
          <w:rFonts w:ascii="Arial" w:hAnsi="Arial"/>
          <w:color w:val="010202"/>
          <w:sz w:val="21"/>
        </w:rPr>
        <w:t>(Do),</w:t>
      </w:r>
      <w:r>
        <w:rPr>
          <w:rFonts w:ascii="Arial" w:hAnsi="Arial"/>
          <w:color w:val="010202"/>
          <w:spacing w:val="-1"/>
          <w:sz w:val="21"/>
        </w:rPr>
        <w:t> </w:t>
      </w:r>
      <w:r>
        <w:rPr>
          <w:rFonts w:ascii="Arial" w:hAnsi="Arial"/>
          <w:color w:val="010202"/>
          <w:sz w:val="21"/>
        </w:rPr>
        <w:t>observing</w:t>
      </w:r>
      <w:r>
        <w:rPr>
          <w:rFonts w:ascii="Arial" w:hAnsi="Arial"/>
          <w:color w:val="010202"/>
          <w:spacing w:val="-1"/>
          <w:sz w:val="21"/>
        </w:rPr>
        <w:t> </w:t>
      </w:r>
      <w:r>
        <w:rPr>
          <w:rFonts w:ascii="Arial" w:hAnsi="Arial"/>
          <w:color w:val="010202"/>
          <w:sz w:val="21"/>
        </w:rPr>
        <w:t>the</w:t>
      </w:r>
      <w:r>
        <w:rPr>
          <w:rFonts w:ascii="Arial" w:hAnsi="Arial"/>
          <w:color w:val="010202"/>
          <w:spacing w:val="-1"/>
          <w:sz w:val="21"/>
        </w:rPr>
        <w:t> </w:t>
      </w:r>
      <w:r>
        <w:rPr>
          <w:rFonts w:ascii="Arial" w:hAnsi="Arial"/>
          <w:color w:val="010202"/>
          <w:sz w:val="21"/>
        </w:rPr>
        <w:t>results (Study), and</w:t>
      </w:r>
      <w:r>
        <w:rPr>
          <w:rFonts w:ascii="Arial" w:hAnsi="Arial"/>
          <w:color w:val="010202"/>
          <w:spacing w:val="-2"/>
          <w:sz w:val="21"/>
        </w:rPr>
        <w:t> </w:t>
      </w:r>
      <w:r>
        <w:rPr>
          <w:rFonts w:ascii="Arial" w:hAnsi="Arial"/>
          <w:color w:val="010202"/>
          <w:sz w:val="21"/>
        </w:rPr>
        <w:t>acting</w:t>
      </w:r>
      <w:r>
        <w:rPr>
          <w:rFonts w:ascii="Arial" w:hAnsi="Arial"/>
          <w:color w:val="010202"/>
          <w:spacing w:val="-1"/>
          <w:sz w:val="21"/>
        </w:rPr>
        <w:t> </w:t>
      </w:r>
      <w:r>
        <w:rPr>
          <w:rFonts w:ascii="Arial" w:hAnsi="Arial"/>
          <w:color w:val="010202"/>
          <w:sz w:val="21"/>
        </w:rPr>
        <w:t>on</w:t>
      </w:r>
      <w:r>
        <w:rPr>
          <w:rFonts w:ascii="Arial" w:hAnsi="Arial"/>
          <w:color w:val="010202"/>
          <w:spacing w:val="-1"/>
          <w:sz w:val="21"/>
        </w:rPr>
        <w:t> </w:t>
      </w:r>
      <w:r>
        <w:rPr>
          <w:rFonts w:ascii="Arial" w:hAnsi="Arial"/>
          <w:color w:val="010202"/>
          <w:sz w:val="21"/>
        </w:rPr>
        <w:t>what</w:t>
      </w:r>
      <w:r>
        <w:rPr>
          <w:rFonts w:ascii="Arial" w:hAnsi="Arial"/>
          <w:color w:val="010202"/>
          <w:spacing w:val="-2"/>
          <w:sz w:val="21"/>
        </w:rPr>
        <w:t> </w:t>
      </w:r>
      <w:r>
        <w:rPr>
          <w:rFonts w:ascii="Arial" w:hAnsi="Arial"/>
          <w:color w:val="010202"/>
          <w:sz w:val="21"/>
        </w:rPr>
        <w:t>is</w:t>
      </w:r>
      <w:r>
        <w:rPr>
          <w:rFonts w:ascii="Arial" w:hAnsi="Arial"/>
          <w:color w:val="010202"/>
          <w:spacing w:val="-1"/>
          <w:sz w:val="21"/>
        </w:rPr>
        <w:t> </w:t>
      </w:r>
      <w:r>
        <w:rPr>
          <w:rFonts w:ascii="Arial" w:hAnsi="Arial"/>
          <w:color w:val="010202"/>
          <w:sz w:val="21"/>
        </w:rPr>
        <w:t>learned</w:t>
      </w:r>
      <w:r>
        <w:rPr>
          <w:rFonts w:ascii="Arial" w:hAnsi="Arial"/>
          <w:color w:val="010202"/>
          <w:spacing w:val="-1"/>
          <w:sz w:val="21"/>
        </w:rPr>
        <w:t> </w:t>
      </w:r>
      <w:r>
        <w:rPr>
          <w:rFonts w:ascii="Arial" w:hAnsi="Arial"/>
          <w:color w:val="010202"/>
          <w:sz w:val="21"/>
        </w:rPr>
        <w:t>(Act).</w:t>
      </w:r>
    </w:p>
    <w:p>
      <w:pPr>
        <w:spacing w:before="96"/>
        <w:ind w:left="340" w:right="0" w:firstLine="0"/>
        <w:jc w:val="left"/>
        <w:rPr>
          <w:rFonts w:ascii="Arial Black"/>
          <w:sz w:val="21"/>
        </w:rPr>
      </w:pPr>
      <w:r>
        <w:rPr>
          <w:rFonts w:ascii="Arial Black"/>
          <w:color w:val="CE372E"/>
          <w:sz w:val="21"/>
        </w:rPr>
        <w:t>Why</w:t>
      </w:r>
      <w:r>
        <w:rPr>
          <w:rFonts w:ascii="Arial Black"/>
          <w:color w:val="CE372E"/>
          <w:spacing w:val="1"/>
          <w:sz w:val="21"/>
        </w:rPr>
        <w:t> </w:t>
      </w:r>
      <w:r>
        <w:rPr>
          <w:rFonts w:ascii="Arial Black"/>
          <w:color w:val="CE372E"/>
          <w:sz w:val="21"/>
        </w:rPr>
        <w:t>use CQI?</w:t>
      </w:r>
    </w:p>
    <w:p>
      <w:pPr>
        <w:spacing w:line="259" w:lineRule="auto" w:before="131"/>
        <w:ind w:left="340" w:right="884" w:firstLine="0"/>
        <w:jc w:val="left"/>
        <w:rPr>
          <w:rFonts w:ascii="Arial"/>
          <w:sz w:val="21"/>
        </w:rPr>
      </w:pPr>
      <w:r>
        <w:rPr>
          <w:rFonts w:ascii="Arial"/>
          <w:color w:val="010202"/>
          <w:sz w:val="21"/>
        </w:rPr>
        <w:t>CQI takes a broader look at the systems in which programs or practices operate. Because of the pivotal role it</w:t>
      </w:r>
      <w:r>
        <w:rPr>
          <w:rFonts w:ascii="Arial"/>
          <w:color w:val="010202"/>
          <w:spacing w:val="1"/>
          <w:sz w:val="21"/>
        </w:rPr>
        <w:t> </w:t>
      </w:r>
      <w:r>
        <w:rPr>
          <w:rFonts w:ascii="Arial"/>
          <w:color w:val="010202"/>
          <w:sz w:val="21"/>
        </w:rPr>
        <w:t>plays</w:t>
      </w:r>
      <w:r>
        <w:rPr>
          <w:rFonts w:ascii="Arial"/>
          <w:color w:val="010202"/>
          <w:spacing w:val="-6"/>
          <w:sz w:val="21"/>
        </w:rPr>
        <w:t> </w:t>
      </w:r>
      <w:r>
        <w:rPr>
          <w:rFonts w:ascii="Arial"/>
          <w:color w:val="010202"/>
          <w:sz w:val="21"/>
        </w:rPr>
        <w:t>in</w:t>
      </w:r>
      <w:r>
        <w:rPr>
          <w:rFonts w:ascii="Arial"/>
          <w:color w:val="010202"/>
          <w:spacing w:val="-5"/>
          <w:sz w:val="21"/>
        </w:rPr>
        <w:t> </w:t>
      </w:r>
      <w:r>
        <w:rPr>
          <w:rFonts w:ascii="Arial"/>
          <w:color w:val="010202"/>
          <w:sz w:val="21"/>
        </w:rPr>
        <w:t>performance</w:t>
      </w:r>
      <w:r>
        <w:rPr>
          <w:rFonts w:ascii="Arial"/>
          <w:color w:val="010202"/>
          <w:spacing w:val="-5"/>
          <w:sz w:val="21"/>
        </w:rPr>
        <w:t> </w:t>
      </w:r>
      <w:r>
        <w:rPr>
          <w:rFonts w:ascii="Arial"/>
          <w:color w:val="010202"/>
          <w:sz w:val="21"/>
        </w:rPr>
        <w:t>management,</w:t>
      </w:r>
      <w:r>
        <w:rPr>
          <w:rFonts w:ascii="Arial"/>
          <w:color w:val="010202"/>
          <w:spacing w:val="-4"/>
          <w:sz w:val="21"/>
        </w:rPr>
        <w:t> </w:t>
      </w:r>
      <w:r>
        <w:rPr>
          <w:rFonts w:ascii="Arial"/>
          <w:color w:val="010202"/>
          <w:sz w:val="21"/>
        </w:rPr>
        <w:t>organizations</w:t>
      </w:r>
      <w:r>
        <w:rPr>
          <w:rFonts w:ascii="Arial"/>
          <w:color w:val="010202"/>
          <w:spacing w:val="-5"/>
          <w:sz w:val="21"/>
        </w:rPr>
        <w:t> </w:t>
      </w:r>
      <w:r>
        <w:rPr>
          <w:rFonts w:ascii="Arial"/>
          <w:color w:val="010202"/>
          <w:sz w:val="21"/>
        </w:rPr>
        <w:t>preventing</w:t>
      </w:r>
      <w:r>
        <w:rPr>
          <w:rFonts w:ascii="Arial"/>
          <w:color w:val="010202"/>
          <w:spacing w:val="-5"/>
          <w:sz w:val="21"/>
        </w:rPr>
        <w:t> </w:t>
      </w:r>
      <w:r>
        <w:rPr>
          <w:rFonts w:ascii="Arial"/>
          <w:color w:val="010202"/>
          <w:sz w:val="21"/>
        </w:rPr>
        <w:t>and</w:t>
      </w:r>
      <w:r>
        <w:rPr>
          <w:rFonts w:ascii="Arial"/>
          <w:color w:val="010202"/>
          <w:spacing w:val="-6"/>
          <w:sz w:val="21"/>
        </w:rPr>
        <w:t> </w:t>
      </w:r>
      <w:r>
        <w:rPr>
          <w:rFonts w:ascii="Arial"/>
          <w:color w:val="010202"/>
          <w:sz w:val="21"/>
        </w:rPr>
        <w:t>treating</w:t>
      </w:r>
      <w:r>
        <w:rPr>
          <w:rFonts w:ascii="Arial"/>
          <w:color w:val="010202"/>
          <w:spacing w:val="-4"/>
          <w:sz w:val="21"/>
        </w:rPr>
        <w:t> </w:t>
      </w:r>
      <w:r>
        <w:rPr>
          <w:rFonts w:ascii="Arial"/>
          <w:color w:val="010202"/>
          <w:sz w:val="21"/>
        </w:rPr>
        <w:t>HIV</w:t>
      </w:r>
      <w:r>
        <w:rPr>
          <w:rFonts w:ascii="Arial"/>
          <w:color w:val="010202"/>
          <w:spacing w:val="-5"/>
          <w:sz w:val="21"/>
        </w:rPr>
        <w:t> </w:t>
      </w:r>
      <w:r>
        <w:rPr>
          <w:rFonts w:ascii="Arial"/>
          <w:color w:val="010202"/>
          <w:sz w:val="21"/>
        </w:rPr>
        <w:t>among</w:t>
      </w:r>
      <w:r>
        <w:rPr>
          <w:rFonts w:ascii="Arial"/>
          <w:color w:val="010202"/>
          <w:spacing w:val="-5"/>
          <w:sz w:val="21"/>
        </w:rPr>
        <w:t> </w:t>
      </w:r>
      <w:r>
        <w:rPr>
          <w:rFonts w:ascii="Arial"/>
          <w:color w:val="010202"/>
          <w:sz w:val="21"/>
        </w:rPr>
        <w:t>people</w:t>
      </w:r>
      <w:r>
        <w:rPr>
          <w:rFonts w:ascii="Arial"/>
          <w:color w:val="010202"/>
          <w:spacing w:val="-5"/>
          <w:sz w:val="21"/>
        </w:rPr>
        <w:t> </w:t>
      </w:r>
      <w:r>
        <w:rPr>
          <w:rFonts w:ascii="Arial"/>
          <w:color w:val="010202"/>
          <w:sz w:val="21"/>
        </w:rPr>
        <w:t>with</w:t>
      </w:r>
      <w:r>
        <w:rPr>
          <w:rFonts w:ascii="Arial"/>
          <w:color w:val="010202"/>
          <w:spacing w:val="-5"/>
          <w:sz w:val="21"/>
        </w:rPr>
        <w:t> </w:t>
      </w:r>
      <w:r>
        <w:rPr>
          <w:rFonts w:ascii="Arial"/>
          <w:color w:val="010202"/>
          <w:sz w:val="21"/>
        </w:rPr>
        <w:t>mental</w:t>
      </w:r>
      <w:r>
        <w:rPr>
          <w:rFonts w:ascii="Arial"/>
          <w:color w:val="010202"/>
          <w:spacing w:val="-5"/>
          <w:sz w:val="21"/>
        </w:rPr>
        <w:t> </w:t>
      </w:r>
      <w:r>
        <w:rPr>
          <w:rFonts w:ascii="Arial"/>
          <w:color w:val="010202"/>
          <w:sz w:val="21"/>
        </w:rPr>
        <w:t>illness</w:t>
      </w:r>
      <w:r>
        <w:rPr>
          <w:rFonts w:ascii="Arial"/>
          <w:color w:val="010202"/>
          <w:spacing w:val="1"/>
          <w:sz w:val="21"/>
        </w:rPr>
        <w:t> </w:t>
      </w:r>
      <w:r>
        <w:rPr>
          <w:rFonts w:ascii="Arial"/>
          <w:color w:val="010202"/>
          <w:sz w:val="21"/>
        </w:rPr>
        <w:t>and/or</w:t>
      </w:r>
      <w:r>
        <w:rPr>
          <w:rFonts w:ascii="Arial"/>
          <w:color w:val="010202"/>
          <w:spacing w:val="-2"/>
          <w:sz w:val="21"/>
        </w:rPr>
        <w:t> </w:t>
      </w:r>
      <w:r>
        <w:rPr>
          <w:rFonts w:ascii="Arial"/>
          <w:color w:val="010202"/>
          <w:sz w:val="21"/>
        </w:rPr>
        <w:t>substance</w:t>
      </w:r>
      <w:r>
        <w:rPr>
          <w:rFonts w:ascii="Arial"/>
          <w:color w:val="010202"/>
          <w:spacing w:val="-1"/>
          <w:sz w:val="21"/>
        </w:rPr>
        <w:t> </w:t>
      </w:r>
      <w:r>
        <w:rPr>
          <w:rFonts w:ascii="Arial"/>
          <w:color w:val="010202"/>
          <w:sz w:val="21"/>
        </w:rPr>
        <w:t>use</w:t>
      </w:r>
      <w:r>
        <w:rPr>
          <w:rFonts w:ascii="Arial"/>
          <w:color w:val="010202"/>
          <w:spacing w:val="-2"/>
          <w:sz w:val="21"/>
        </w:rPr>
        <w:t> </w:t>
      </w:r>
      <w:r>
        <w:rPr>
          <w:rFonts w:ascii="Arial"/>
          <w:color w:val="010202"/>
          <w:sz w:val="21"/>
        </w:rPr>
        <w:t>disorders</w:t>
      </w:r>
      <w:r>
        <w:rPr>
          <w:rFonts w:ascii="Arial"/>
          <w:color w:val="010202"/>
          <w:spacing w:val="-1"/>
          <w:sz w:val="21"/>
        </w:rPr>
        <w:t> </w:t>
      </w:r>
      <w:r>
        <w:rPr>
          <w:rFonts w:ascii="Arial"/>
          <w:color w:val="010202"/>
          <w:sz w:val="21"/>
        </w:rPr>
        <w:t>are</w:t>
      </w:r>
      <w:r>
        <w:rPr>
          <w:rFonts w:ascii="Arial"/>
          <w:color w:val="010202"/>
          <w:spacing w:val="-2"/>
          <w:sz w:val="21"/>
        </w:rPr>
        <w:t> </w:t>
      </w:r>
      <w:r>
        <w:rPr>
          <w:rFonts w:ascii="Arial"/>
          <w:color w:val="010202"/>
          <w:sz w:val="21"/>
        </w:rPr>
        <w:t>encouraged</w:t>
      </w:r>
      <w:r>
        <w:rPr>
          <w:rFonts w:ascii="Arial"/>
          <w:color w:val="010202"/>
          <w:spacing w:val="-2"/>
          <w:sz w:val="21"/>
        </w:rPr>
        <w:t> </w:t>
      </w:r>
      <w:r>
        <w:rPr>
          <w:rFonts w:ascii="Arial"/>
          <w:color w:val="010202"/>
          <w:sz w:val="21"/>
        </w:rPr>
        <w:t>to</w:t>
      </w:r>
      <w:r>
        <w:rPr>
          <w:rFonts w:ascii="Arial"/>
          <w:color w:val="010202"/>
          <w:spacing w:val="-1"/>
          <w:sz w:val="21"/>
        </w:rPr>
        <w:t> </w:t>
      </w:r>
      <w:r>
        <w:rPr>
          <w:rFonts w:ascii="Arial"/>
          <w:color w:val="010202"/>
          <w:sz w:val="21"/>
        </w:rPr>
        <w:t>implement</w:t>
      </w:r>
      <w:r>
        <w:rPr>
          <w:rFonts w:ascii="Arial"/>
          <w:color w:val="010202"/>
          <w:spacing w:val="-1"/>
          <w:sz w:val="21"/>
        </w:rPr>
        <w:t> </w:t>
      </w:r>
      <w:r>
        <w:rPr>
          <w:rFonts w:ascii="Arial"/>
          <w:color w:val="010202"/>
          <w:sz w:val="21"/>
        </w:rPr>
        <w:t>CQI</w:t>
      </w:r>
      <w:r>
        <w:rPr>
          <w:rFonts w:ascii="Arial"/>
          <w:color w:val="010202"/>
          <w:spacing w:val="-2"/>
          <w:sz w:val="21"/>
        </w:rPr>
        <w:t> </w:t>
      </w:r>
      <w:r>
        <w:rPr>
          <w:rFonts w:ascii="Arial"/>
          <w:color w:val="010202"/>
          <w:sz w:val="21"/>
        </w:rPr>
        <w:t>procedures.</w:t>
      </w:r>
    </w:p>
    <w:p>
      <w:pPr>
        <w:spacing w:before="97"/>
        <w:ind w:left="340" w:right="0" w:firstLine="0"/>
        <w:jc w:val="left"/>
        <w:rPr>
          <w:rFonts w:ascii="Arial Black"/>
          <w:sz w:val="21"/>
        </w:rPr>
      </w:pPr>
      <w:r>
        <w:rPr>
          <w:rFonts w:ascii="Arial Black"/>
          <w:color w:val="CE372E"/>
          <w:sz w:val="21"/>
        </w:rPr>
        <w:t>What</w:t>
      </w:r>
      <w:r>
        <w:rPr>
          <w:rFonts w:ascii="Arial Black"/>
          <w:color w:val="CE372E"/>
          <w:spacing w:val="-3"/>
          <w:sz w:val="21"/>
        </w:rPr>
        <w:t> </w:t>
      </w:r>
      <w:r>
        <w:rPr>
          <w:rFonts w:ascii="Arial Black"/>
          <w:color w:val="CE372E"/>
          <w:sz w:val="21"/>
        </w:rPr>
        <w:t>are</w:t>
      </w:r>
      <w:r>
        <w:rPr>
          <w:rFonts w:ascii="Arial Black"/>
          <w:color w:val="CE372E"/>
          <w:spacing w:val="-3"/>
          <w:sz w:val="21"/>
        </w:rPr>
        <w:t> </w:t>
      </w:r>
      <w:r>
        <w:rPr>
          <w:rFonts w:ascii="Arial Black"/>
          <w:color w:val="CE372E"/>
          <w:sz w:val="21"/>
        </w:rPr>
        <w:t>the</w:t>
      </w:r>
      <w:r>
        <w:rPr>
          <w:rFonts w:ascii="Arial Black"/>
          <w:color w:val="CE372E"/>
          <w:spacing w:val="-3"/>
          <w:sz w:val="21"/>
        </w:rPr>
        <w:t> </w:t>
      </w:r>
      <w:r>
        <w:rPr>
          <w:rFonts w:ascii="Arial Black"/>
          <w:color w:val="CE372E"/>
          <w:sz w:val="21"/>
        </w:rPr>
        <w:t>steps</w:t>
      </w:r>
      <w:r>
        <w:rPr>
          <w:rFonts w:ascii="Arial Black"/>
          <w:color w:val="CE372E"/>
          <w:spacing w:val="-3"/>
          <w:sz w:val="21"/>
        </w:rPr>
        <w:t> </w:t>
      </w:r>
      <w:r>
        <w:rPr>
          <w:rFonts w:ascii="Arial Black"/>
          <w:color w:val="CE372E"/>
          <w:sz w:val="21"/>
        </w:rPr>
        <w:t>involved</w:t>
      </w:r>
      <w:r>
        <w:rPr>
          <w:rFonts w:ascii="Arial Black"/>
          <w:color w:val="CE372E"/>
          <w:spacing w:val="-3"/>
          <w:sz w:val="21"/>
        </w:rPr>
        <w:t> </w:t>
      </w:r>
      <w:r>
        <w:rPr>
          <w:rFonts w:ascii="Arial Black"/>
          <w:color w:val="CE372E"/>
          <w:sz w:val="21"/>
        </w:rPr>
        <w:t>in</w:t>
      </w:r>
      <w:r>
        <w:rPr>
          <w:rFonts w:ascii="Arial Black"/>
          <w:color w:val="CE372E"/>
          <w:spacing w:val="-3"/>
          <w:sz w:val="21"/>
        </w:rPr>
        <w:t> </w:t>
      </w:r>
      <w:r>
        <w:rPr>
          <w:rFonts w:ascii="Arial Black"/>
          <w:color w:val="CE372E"/>
          <w:sz w:val="21"/>
        </w:rPr>
        <w:t>CQI?</w:t>
      </w:r>
    </w:p>
    <w:p>
      <w:pPr>
        <w:spacing w:line="259" w:lineRule="auto" w:before="131"/>
        <w:ind w:left="340" w:right="3735" w:firstLine="0"/>
        <w:jc w:val="left"/>
        <w:rPr>
          <w:rFonts w:ascii="Arial"/>
          <w:sz w:val="21"/>
        </w:rPr>
      </w:pPr>
      <w:r>
        <w:rPr>
          <w:rFonts w:ascii="Arial"/>
          <w:color w:val="010202"/>
          <w:sz w:val="21"/>
        </w:rPr>
        <w:t>Although</w:t>
      </w:r>
      <w:r>
        <w:rPr>
          <w:rFonts w:ascii="Arial"/>
          <w:color w:val="010202"/>
          <w:spacing w:val="-3"/>
          <w:sz w:val="21"/>
        </w:rPr>
        <w:t> </w:t>
      </w:r>
      <w:r>
        <w:rPr>
          <w:rFonts w:ascii="Arial"/>
          <w:color w:val="010202"/>
          <w:sz w:val="21"/>
        </w:rPr>
        <w:t>steps</w:t>
      </w:r>
      <w:r>
        <w:rPr>
          <w:rFonts w:ascii="Arial"/>
          <w:color w:val="010202"/>
          <w:spacing w:val="-2"/>
          <w:sz w:val="21"/>
        </w:rPr>
        <w:t> </w:t>
      </w:r>
      <w:r>
        <w:rPr>
          <w:rFonts w:ascii="Arial"/>
          <w:color w:val="010202"/>
          <w:sz w:val="21"/>
        </w:rPr>
        <w:t>in</w:t>
      </w:r>
      <w:r>
        <w:rPr>
          <w:rFonts w:ascii="Arial"/>
          <w:color w:val="010202"/>
          <w:spacing w:val="-3"/>
          <w:sz w:val="21"/>
        </w:rPr>
        <w:t> </w:t>
      </w:r>
      <w:r>
        <w:rPr>
          <w:rFonts w:ascii="Arial"/>
          <w:color w:val="010202"/>
          <w:sz w:val="21"/>
        </w:rPr>
        <w:t>the</w:t>
      </w:r>
      <w:r>
        <w:rPr>
          <w:rFonts w:ascii="Arial"/>
          <w:color w:val="010202"/>
          <w:spacing w:val="-2"/>
          <w:sz w:val="21"/>
        </w:rPr>
        <w:t> </w:t>
      </w:r>
      <w:r>
        <w:rPr>
          <w:rFonts w:ascii="Arial"/>
          <w:color w:val="010202"/>
          <w:sz w:val="21"/>
        </w:rPr>
        <w:t>CQI</w:t>
      </w:r>
      <w:r>
        <w:rPr>
          <w:rFonts w:ascii="Arial"/>
          <w:color w:val="010202"/>
          <w:spacing w:val="-3"/>
          <w:sz w:val="21"/>
        </w:rPr>
        <w:t> </w:t>
      </w:r>
      <w:r>
        <w:rPr>
          <w:rFonts w:ascii="Arial"/>
          <w:color w:val="010202"/>
          <w:sz w:val="21"/>
        </w:rPr>
        <w:t>process</w:t>
      </w:r>
      <w:r>
        <w:rPr>
          <w:rFonts w:ascii="Arial"/>
          <w:color w:val="010202"/>
          <w:spacing w:val="-3"/>
          <w:sz w:val="21"/>
        </w:rPr>
        <w:t> </w:t>
      </w:r>
      <w:r>
        <w:rPr>
          <w:rFonts w:ascii="Arial"/>
          <w:color w:val="010202"/>
          <w:sz w:val="21"/>
        </w:rPr>
        <w:t>may</w:t>
      </w:r>
      <w:r>
        <w:rPr>
          <w:rFonts w:ascii="Arial"/>
          <w:color w:val="010202"/>
          <w:spacing w:val="-3"/>
          <w:sz w:val="21"/>
        </w:rPr>
        <w:t> </w:t>
      </w:r>
      <w:r>
        <w:rPr>
          <w:rFonts w:ascii="Arial"/>
          <w:color w:val="010202"/>
          <w:sz w:val="21"/>
        </w:rPr>
        <w:t>vary</w:t>
      </w:r>
      <w:r>
        <w:rPr>
          <w:rFonts w:ascii="Arial"/>
          <w:color w:val="010202"/>
          <w:spacing w:val="-2"/>
          <w:sz w:val="21"/>
        </w:rPr>
        <w:t> </w:t>
      </w:r>
      <w:r>
        <w:rPr>
          <w:rFonts w:ascii="Arial"/>
          <w:color w:val="010202"/>
          <w:sz w:val="21"/>
        </w:rPr>
        <w:t>based</w:t>
      </w:r>
      <w:r>
        <w:rPr>
          <w:rFonts w:ascii="Arial"/>
          <w:color w:val="010202"/>
          <w:spacing w:val="-3"/>
          <w:sz w:val="21"/>
        </w:rPr>
        <w:t> </w:t>
      </w:r>
      <w:r>
        <w:rPr>
          <w:rFonts w:ascii="Arial"/>
          <w:color w:val="010202"/>
          <w:sz w:val="21"/>
        </w:rPr>
        <w:t>on</w:t>
      </w:r>
      <w:r>
        <w:rPr>
          <w:rFonts w:ascii="Arial"/>
          <w:color w:val="010202"/>
          <w:spacing w:val="-3"/>
          <w:sz w:val="21"/>
        </w:rPr>
        <w:t> </w:t>
      </w:r>
      <w:r>
        <w:rPr>
          <w:rFonts w:ascii="Arial"/>
          <w:color w:val="010202"/>
          <w:sz w:val="21"/>
        </w:rPr>
        <w:t>objectives,</w:t>
      </w:r>
      <w:r>
        <w:rPr>
          <w:rFonts w:ascii="Arial"/>
          <w:color w:val="010202"/>
          <w:spacing w:val="-3"/>
          <w:sz w:val="21"/>
        </w:rPr>
        <w:t> </w:t>
      </w:r>
      <w:r>
        <w:rPr>
          <w:rFonts w:ascii="Arial"/>
          <w:color w:val="010202"/>
          <w:sz w:val="21"/>
        </w:rPr>
        <w:t>typical</w:t>
      </w:r>
      <w:r>
        <w:rPr>
          <w:rFonts w:ascii="Arial"/>
          <w:color w:val="010202"/>
          <w:spacing w:val="-2"/>
          <w:sz w:val="21"/>
        </w:rPr>
        <w:t> </w:t>
      </w:r>
      <w:r>
        <w:rPr>
          <w:rFonts w:ascii="Arial"/>
          <w:color w:val="010202"/>
          <w:sz w:val="21"/>
        </w:rPr>
        <w:t>CQI</w:t>
      </w:r>
      <w:r>
        <w:rPr>
          <w:rFonts w:ascii="Arial"/>
          <w:color w:val="010202"/>
          <w:spacing w:val="-56"/>
          <w:sz w:val="21"/>
        </w:rPr>
        <w:t> </w:t>
      </w:r>
      <w:r>
        <w:rPr>
          <w:rFonts w:ascii="Arial"/>
          <w:color w:val="010202"/>
          <w:sz w:val="21"/>
        </w:rPr>
        <w:t>steps</w:t>
      </w:r>
      <w:r>
        <w:rPr>
          <w:rFonts w:ascii="Arial"/>
          <w:color w:val="010202"/>
          <w:spacing w:val="-1"/>
          <w:sz w:val="21"/>
        </w:rPr>
        <w:t> </w:t>
      </w:r>
      <w:r>
        <w:rPr>
          <w:rFonts w:ascii="Arial"/>
          <w:color w:val="010202"/>
          <w:sz w:val="21"/>
        </w:rPr>
        <w:t>are:</w:t>
      </w:r>
    </w:p>
    <w:p>
      <w:pPr>
        <w:pStyle w:val="ListParagraph"/>
        <w:numPr>
          <w:ilvl w:val="0"/>
          <w:numId w:val="27"/>
        </w:numPr>
        <w:tabs>
          <w:tab w:pos="699" w:val="left" w:leader="none"/>
          <w:tab w:pos="700" w:val="left" w:leader="none"/>
        </w:tabs>
        <w:spacing w:line="259" w:lineRule="auto" w:before="133" w:after="0"/>
        <w:ind w:left="699" w:right="4442" w:hanging="360"/>
        <w:jc w:val="left"/>
        <w:rPr>
          <w:rFonts w:ascii="Arial" w:hAnsi="Arial"/>
          <w:sz w:val="21"/>
        </w:rPr>
      </w:pPr>
      <w:r>
        <w:rPr>
          <w:rFonts w:ascii="Arial" w:hAnsi="Arial"/>
          <w:color w:val="010202"/>
          <w:sz w:val="21"/>
        </w:rPr>
        <w:t>Identify a program or practice issue needing improvement and a target</w:t>
      </w:r>
      <w:r>
        <w:rPr>
          <w:rFonts w:ascii="Arial" w:hAnsi="Arial"/>
          <w:color w:val="010202"/>
          <w:spacing w:val="-57"/>
          <w:sz w:val="21"/>
        </w:rPr>
        <w:t> </w:t>
      </w:r>
      <w:r>
        <w:rPr>
          <w:rFonts w:ascii="Arial" w:hAnsi="Arial"/>
          <w:color w:val="010202"/>
          <w:sz w:val="21"/>
        </w:rPr>
        <w:t>improvement</w:t>
      </w:r>
      <w:r>
        <w:rPr>
          <w:rFonts w:ascii="Arial" w:hAnsi="Arial"/>
          <w:color w:val="010202"/>
          <w:spacing w:val="-2"/>
          <w:sz w:val="21"/>
        </w:rPr>
        <w:t> </w:t>
      </w:r>
      <w:r>
        <w:rPr>
          <w:rFonts w:ascii="Arial" w:hAnsi="Arial"/>
          <w:color w:val="010202"/>
          <w:sz w:val="21"/>
        </w:rPr>
        <w:t>goal</w:t>
      </w:r>
    </w:p>
    <w:p>
      <w:pPr>
        <w:pStyle w:val="ListParagraph"/>
        <w:numPr>
          <w:ilvl w:val="0"/>
          <w:numId w:val="27"/>
        </w:numPr>
        <w:tabs>
          <w:tab w:pos="699" w:val="left" w:leader="none"/>
          <w:tab w:pos="700" w:val="left" w:leader="none"/>
        </w:tabs>
        <w:spacing w:line="240" w:lineRule="exact" w:before="0" w:after="0"/>
        <w:ind w:left="699" w:right="0" w:hanging="360"/>
        <w:jc w:val="left"/>
        <w:rPr>
          <w:rFonts w:ascii="Arial" w:hAnsi="Arial"/>
          <w:sz w:val="21"/>
        </w:rPr>
      </w:pPr>
      <w:r>
        <w:rPr>
          <w:rFonts w:ascii="Arial" w:hAnsi="Arial"/>
          <w:color w:val="010202"/>
          <w:sz w:val="21"/>
        </w:rPr>
        <w:t>Analyze</w:t>
      </w:r>
      <w:r>
        <w:rPr>
          <w:rFonts w:ascii="Arial" w:hAnsi="Arial"/>
          <w:color w:val="010202"/>
          <w:spacing w:val="-2"/>
          <w:sz w:val="21"/>
        </w:rPr>
        <w:t> </w:t>
      </w:r>
      <w:r>
        <w:rPr>
          <w:rFonts w:ascii="Arial" w:hAnsi="Arial"/>
          <w:color w:val="010202"/>
          <w:sz w:val="21"/>
        </w:rPr>
        <w:t>the</w:t>
      </w:r>
      <w:r>
        <w:rPr>
          <w:rFonts w:ascii="Arial" w:hAnsi="Arial"/>
          <w:color w:val="010202"/>
          <w:spacing w:val="-1"/>
          <w:sz w:val="21"/>
        </w:rPr>
        <w:t> </w:t>
      </w:r>
      <w:r>
        <w:rPr>
          <w:rFonts w:ascii="Arial" w:hAnsi="Arial"/>
          <w:color w:val="010202"/>
          <w:sz w:val="21"/>
        </w:rPr>
        <w:t>issue</w:t>
      </w:r>
      <w:r>
        <w:rPr>
          <w:rFonts w:ascii="Arial" w:hAnsi="Arial"/>
          <w:color w:val="010202"/>
          <w:spacing w:val="-2"/>
          <w:sz w:val="21"/>
        </w:rPr>
        <w:t> </w:t>
      </w:r>
      <w:r>
        <w:rPr>
          <w:rFonts w:ascii="Arial" w:hAnsi="Arial"/>
          <w:color w:val="010202"/>
          <w:sz w:val="21"/>
        </w:rPr>
        <w:t>and</w:t>
      </w:r>
      <w:r>
        <w:rPr>
          <w:rFonts w:ascii="Arial" w:hAnsi="Arial"/>
          <w:color w:val="010202"/>
          <w:spacing w:val="-2"/>
          <w:sz w:val="21"/>
        </w:rPr>
        <w:t> </w:t>
      </w:r>
      <w:r>
        <w:rPr>
          <w:rFonts w:ascii="Arial" w:hAnsi="Arial"/>
          <w:color w:val="010202"/>
          <w:sz w:val="21"/>
        </w:rPr>
        <w:t>its</w:t>
      </w:r>
      <w:r>
        <w:rPr>
          <w:rFonts w:ascii="Arial" w:hAnsi="Arial"/>
          <w:color w:val="010202"/>
          <w:spacing w:val="-2"/>
          <w:sz w:val="21"/>
        </w:rPr>
        <w:t> </w:t>
      </w:r>
      <w:r>
        <w:rPr>
          <w:rFonts w:ascii="Arial" w:hAnsi="Arial"/>
          <w:color w:val="010202"/>
          <w:sz w:val="21"/>
        </w:rPr>
        <w:t>root</w:t>
      </w:r>
      <w:r>
        <w:rPr>
          <w:rFonts w:ascii="Arial" w:hAnsi="Arial"/>
          <w:color w:val="010202"/>
          <w:spacing w:val="-1"/>
          <w:sz w:val="21"/>
        </w:rPr>
        <w:t> </w:t>
      </w:r>
      <w:r>
        <w:rPr>
          <w:rFonts w:ascii="Arial" w:hAnsi="Arial"/>
          <w:color w:val="010202"/>
          <w:sz w:val="21"/>
        </w:rPr>
        <w:t>causes</w:t>
      </w:r>
    </w:p>
    <w:p>
      <w:pPr>
        <w:pStyle w:val="ListParagraph"/>
        <w:numPr>
          <w:ilvl w:val="0"/>
          <w:numId w:val="27"/>
        </w:numPr>
        <w:tabs>
          <w:tab w:pos="699" w:val="left" w:leader="none"/>
          <w:tab w:pos="700" w:val="left" w:leader="none"/>
        </w:tabs>
        <w:spacing w:line="240" w:lineRule="auto" w:before="18" w:after="0"/>
        <w:ind w:left="699" w:right="0" w:hanging="360"/>
        <w:jc w:val="left"/>
        <w:rPr>
          <w:rFonts w:ascii="Arial" w:hAnsi="Arial"/>
          <w:sz w:val="21"/>
        </w:rPr>
      </w:pPr>
      <w:r>
        <w:rPr>
          <w:rFonts w:ascii="Arial" w:hAnsi="Arial"/>
          <w:color w:val="010202"/>
          <w:sz w:val="21"/>
        </w:rPr>
        <w:t>Develop</w:t>
      </w:r>
      <w:r>
        <w:rPr>
          <w:rFonts w:ascii="Arial" w:hAnsi="Arial"/>
          <w:color w:val="010202"/>
          <w:spacing w:val="-4"/>
          <w:sz w:val="21"/>
        </w:rPr>
        <w:t> </w:t>
      </w:r>
      <w:r>
        <w:rPr>
          <w:rFonts w:ascii="Arial" w:hAnsi="Arial"/>
          <w:color w:val="010202"/>
          <w:sz w:val="21"/>
        </w:rPr>
        <w:t>an</w:t>
      </w:r>
      <w:r>
        <w:rPr>
          <w:rFonts w:ascii="Arial" w:hAnsi="Arial"/>
          <w:color w:val="010202"/>
          <w:spacing w:val="-3"/>
          <w:sz w:val="21"/>
        </w:rPr>
        <w:t> </w:t>
      </w:r>
      <w:r>
        <w:rPr>
          <w:rFonts w:ascii="Arial" w:hAnsi="Arial"/>
          <w:color w:val="010202"/>
          <w:sz w:val="21"/>
        </w:rPr>
        <w:t>action</w:t>
      </w:r>
      <w:r>
        <w:rPr>
          <w:rFonts w:ascii="Arial" w:hAnsi="Arial"/>
          <w:color w:val="010202"/>
          <w:spacing w:val="-4"/>
          <w:sz w:val="21"/>
        </w:rPr>
        <w:t> </w:t>
      </w:r>
      <w:r>
        <w:rPr>
          <w:rFonts w:ascii="Arial" w:hAnsi="Arial"/>
          <w:color w:val="010202"/>
          <w:sz w:val="21"/>
        </w:rPr>
        <w:t>plan</w:t>
      </w:r>
      <w:r>
        <w:rPr>
          <w:rFonts w:ascii="Arial" w:hAnsi="Arial"/>
          <w:color w:val="010202"/>
          <w:spacing w:val="-3"/>
          <w:sz w:val="21"/>
        </w:rPr>
        <w:t> </w:t>
      </w:r>
      <w:r>
        <w:rPr>
          <w:rFonts w:ascii="Arial" w:hAnsi="Arial"/>
          <w:color w:val="010202"/>
          <w:sz w:val="21"/>
        </w:rPr>
        <w:t>to</w:t>
      </w:r>
      <w:r>
        <w:rPr>
          <w:rFonts w:ascii="Arial" w:hAnsi="Arial"/>
          <w:color w:val="010202"/>
          <w:spacing w:val="-3"/>
          <w:sz w:val="21"/>
        </w:rPr>
        <w:t> </w:t>
      </w:r>
      <w:r>
        <w:rPr>
          <w:rFonts w:ascii="Arial" w:hAnsi="Arial"/>
          <w:color w:val="010202"/>
          <w:sz w:val="21"/>
        </w:rPr>
        <w:t>correct</w:t>
      </w:r>
      <w:r>
        <w:rPr>
          <w:rFonts w:ascii="Arial" w:hAnsi="Arial"/>
          <w:color w:val="010202"/>
          <w:spacing w:val="-2"/>
          <w:sz w:val="21"/>
        </w:rPr>
        <w:t> </w:t>
      </w:r>
      <w:r>
        <w:rPr>
          <w:rFonts w:ascii="Arial" w:hAnsi="Arial"/>
          <w:color w:val="010202"/>
          <w:sz w:val="21"/>
        </w:rPr>
        <w:t>the</w:t>
      </w:r>
      <w:r>
        <w:rPr>
          <w:rFonts w:ascii="Arial" w:hAnsi="Arial"/>
          <w:color w:val="010202"/>
          <w:spacing w:val="-2"/>
          <w:sz w:val="21"/>
        </w:rPr>
        <w:t> </w:t>
      </w:r>
      <w:r>
        <w:rPr>
          <w:rFonts w:ascii="Arial" w:hAnsi="Arial"/>
          <w:color w:val="010202"/>
          <w:sz w:val="21"/>
        </w:rPr>
        <w:t>root</w:t>
      </w:r>
      <w:r>
        <w:rPr>
          <w:rFonts w:ascii="Arial" w:hAnsi="Arial"/>
          <w:color w:val="010202"/>
          <w:spacing w:val="-3"/>
          <w:sz w:val="21"/>
        </w:rPr>
        <w:t> </w:t>
      </w:r>
      <w:r>
        <w:rPr>
          <w:rFonts w:ascii="Arial" w:hAnsi="Arial"/>
          <w:color w:val="010202"/>
          <w:sz w:val="21"/>
        </w:rPr>
        <w:t>causes</w:t>
      </w:r>
      <w:r>
        <w:rPr>
          <w:rFonts w:ascii="Arial" w:hAnsi="Arial"/>
          <w:color w:val="010202"/>
          <w:spacing w:val="-2"/>
          <w:sz w:val="21"/>
        </w:rPr>
        <w:t> </w:t>
      </w:r>
      <w:r>
        <w:rPr>
          <w:rFonts w:ascii="Arial" w:hAnsi="Arial"/>
          <w:color w:val="010202"/>
          <w:sz w:val="21"/>
        </w:rPr>
        <w:t>of</w:t>
      </w:r>
      <w:r>
        <w:rPr>
          <w:rFonts w:ascii="Arial" w:hAnsi="Arial"/>
          <w:color w:val="010202"/>
          <w:spacing w:val="-4"/>
          <w:sz w:val="21"/>
        </w:rPr>
        <w:t> </w:t>
      </w:r>
      <w:r>
        <w:rPr>
          <w:rFonts w:ascii="Arial" w:hAnsi="Arial"/>
          <w:color w:val="010202"/>
          <w:sz w:val="21"/>
        </w:rPr>
        <w:t>the</w:t>
      </w:r>
      <w:r>
        <w:rPr>
          <w:rFonts w:ascii="Arial" w:hAnsi="Arial"/>
          <w:color w:val="010202"/>
          <w:spacing w:val="-2"/>
          <w:sz w:val="21"/>
        </w:rPr>
        <w:t> </w:t>
      </w:r>
      <w:r>
        <w:rPr>
          <w:rFonts w:ascii="Arial" w:hAnsi="Arial"/>
          <w:color w:val="010202"/>
          <w:sz w:val="21"/>
        </w:rPr>
        <w:t>problem,</w:t>
      </w:r>
      <w:r>
        <w:rPr>
          <w:rFonts w:ascii="Arial" w:hAnsi="Arial"/>
          <w:color w:val="010202"/>
          <w:spacing w:val="-4"/>
          <w:sz w:val="21"/>
        </w:rPr>
        <w:t> </w:t>
      </w:r>
      <w:r>
        <w:rPr>
          <w:rFonts w:ascii="Arial" w:hAnsi="Arial"/>
          <w:color w:val="010202"/>
          <w:sz w:val="21"/>
        </w:rPr>
        <w:t>including</w:t>
      </w:r>
    </w:p>
    <w:p>
      <w:pPr>
        <w:spacing w:before="19"/>
        <w:ind w:left="699" w:right="0" w:firstLine="0"/>
        <w:jc w:val="left"/>
        <w:rPr>
          <w:rFonts w:ascii="Arial"/>
          <w:sz w:val="21"/>
        </w:rPr>
      </w:pPr>
      <w:r>
        <w:rPr>
          <w:rFonts w:ascii="Arial"/>
          <w:color w:val="010202"/>
          <w:sz w:val="21"/>
        </w:rPr>
        <w:t>specific</w:t>
      </w:r>
      <w:r>
        <w:rPr>
          <w:rFonts w:ascii="Arial"/>
          <w:color w:val="010202"/>
          <w:spacing w:val="-2"/>
          <w:sz w:val="21"/>
        </w:rPr>
        <w:t> </w:t>
      </w:r>
      <w:r>
        <w:rPr>
          <w:rFonts w:ascii="Arial"/>
          <w:color w:val="010202"/>
          <w:sz w:val="21"/>
        </w:rPr>
        <w:t>actions</w:t>
      </w:r>
      <w:r>
        <w:rPr>
          <w:rFonts w:ascii="Arial"/>
          <w:color w:val="010202"/>
          <w:spacing w:val="-2"/>
          <w:sz w:val="21"/>
        </w:rPr>
        <w:t> </w:t>
      </w:r>
      <w:r>
        <w:rPr>
          <w:rFonts w:ascii="Arial"/>
          <w:color w:val="010202"/>
          <w:sz w:val="21"/>
        </w:rPr>
        <w:t>to</w:t>
      </w:r>
      <w:r>
        <w:rPr>
          <w:rFonts w:ascii="Arial"/>
          <w:color w:val="010202"/>
          <w:spacing w:val="-2"/>
          <w:sz w:val="21"/>
        </w:rPr>
        <w:t> </w:t>
      </w:r>
      <w:r>
        <w:rPr>
          <w:rFonts w:ascii="Arial"/>
          <w:color w:val="010202"/>
          <w:sz w:val="21"/>
        </w:rPr>
        <w:t>be</w:t>
      </w:r>
      <w:r>
        <w:rPr>
          <w:rFonts w:ascii="Arial"/>
          <w:color w:val="010202"/>
          <w:spacing w:val="-2"/>
          <w:sz w:val="21"/>
        </w:rPr>
        <w:t> </w:t>
      </w:r>
      <w:r>
        <w:rPr>
          <w:rFonts w:ascii="Arial"/>
          <w:color w:val="010202"/>
          <w:sz w:val="21"/>
        </w:rPr>
        <w:t>taken</w:t>
      </w:r>
    </w:p>
    <w:p>
      <w:pPr>
        <w:pStyle w:val="ListParagraph"/>
        <w:numPr>
          <w:ilvl w:val="0"/>
          <w:numId w:val="27"/>
        </w:numPr>
        <w:tabs>
          <w:tab w:pos="699" w:val="left" w:leader="none"/>
          <w:tab w:pos="700" w:val="left" w:leader="none"/>
        </w:tabs>
        <w:spacing w:line="240" w:lineRule="auto" w:before="18" w:after="0"/>
        <w:ind w:left="699" w:right="0" w:hanging="360"/>
        <w:jc w:val="left"/>
        <w:rPr>
          <w:rFonts w:ascii="Arial" w:hAnsi="Arial"/>
          <w:sz w:val="21"/>
        </w:rPr>
      </w:pPr>
      <w:r>
        <w:rPr>
          <w:rFonts w:ascii="Arial" w:hAnsi="Arial"/>
          <w:color w:val="010202"/>
          <w:sz w:val="21"/>
        </w:rPr>
        <w:t>Implement</w:t>
      </w:r>
      <w:r>
        <w:rPr>
          <w:rFonts w:ascii="Arial" w:hAnsi="Arial"/>
          <w:color w:val="010202"/>
          <w:spacing w:val="-3"/>
          <w:sz w:val="21"/>
        </w:rPr>
        <w:t> </w:t>
      </w:r>
      <w:r>
        <w:rPr>
          <w:rFonts w:ascii="Arial" w:hAnsi="Arial"/>
          <w:color w:val="010202"/>
          <w:sz w:val="21"/>
        </w:rPr>
        <w:t>the</w:t>
      </w:r>
      <w:r>
        <w:rPr>
          <w:rFonts w:ascii="Arial" w:hAnsi="Arial"/>
          <w:color w:val="010202"/>
          <w:spacing w:val="-2"/>
          <w:sz w:val="21"/>
        </w:rPr>
        <w:t> </w:t>
      </w:r>
      <w:r>
        <w:rPr>
          <w:rFonts w:ascii="Arial" w:hAnsi="Arial"/>
          <w:color w:val="010202"/>
          <w:sz w:val="21"/>
        </w:rPr>
        <w:t>actions</w:t>
      </w:r>
      <w:r>
        <w:rPr>
          <w:rFonts w:ascii="Arial" w:hAnsi="Arial"/>
          <w:color w:val="010202"/>
          <w:spacing w:val="-3"/>
          <w:sz w:val="21"/>
        </w:rPr>
        <w:t> </w:t>
      </w:r>
      <w:r>
        <w:rPr>
          <w:rFonts w:ascii="Arial" w:hAnsi="Arial"/>
          <w:color w:val="010202"/>
          <w:sz w:val="21"/>
        </w:rPr>
        <w:t>in</w:t>
      </w:r>
      <w:r>
        <w:rPr>
          <w:rFonts w:ascii="Arial" w:hAnsi="Arial"/>
          <w:color w:val="010202"/>
          <w:spacing w:val="-3"/>
          <w:sz w:val="21"/>
        </w:rPr>
        <w:t> </w:t>
      </w:r>
      <w:r>
        <w:rPr>
          <w:rFonts w:ascii="Arial" w:hAnsi="Arial"/>
          <w:color w:val="010202"/>
          <w:sz w:val="21"/>
        </w:rPr>
        <w:t>the</w:t>
      </w:r>
      <w:r>
        <w:rPr>
          <w:rFonts w:ascii="Arial" w:hAnsi="Arial"/>
          <w:color w:val="010202"/>
          <w:spacing w:val="-3"/>
          <w:sz w:val="21"/>
        </w:rPr>
        <w:t> </w:t>
      </w:r>
      <w:r>
        <w:rPr>
          <w:rFonts w:ascii="Arial" w:hAnsi="Arial"/>
          <w:color w:val="010202"/>
          <w:sz w:val="21"/>
        </w:rPr>
        <w:t>action</w:t>
      </w:r>
      <w:r>
        <w:rPr>
          <w:rFonts w:ascii="Arial" w:hAnsi="Arial"/>
          <w:color w:val="010202"/>
          <w:spacing w:val="-3"/>
          <w:sz w:val="21"/>
        </w:rPr>
        <w:t> </w:t>
      </w:r>
      <w:r>
        <w:rPr>
          <w:rFonts w:ascii="Arial" w:hAnsi="Arial"/>
          <w:color w:val="010202"/>
          <w:sz w:val="21"/>
        </w:rPr>
        <w:t>plan</w:t>
      </w:r>
    </w:p>
    <w:p>
      <w:pPr>
        <w:pStyle w:val="ListParagraph"/>
        <w:numPr>
          <w:ilvl w:val="0"/>
          <w:numId w:val="27"/>
        </w:numPr>
        <w:tabs>
          <w:tab w:pos="699" w:val="left" w:leader="none"/>
          <w:tab w:pos="700" w:val="left" w:leader="none"/>
        </w:tabs>
        <w:spacing w:line="240" w:lineRule="auto" w:before="19" w:after="0"/>
        <w:ind w:left="699" w:right="0" w:hanging="360"/>
        <w:jc w:val="left"/>
        <w:rPr>
          <w:rFonts w:ascii="Arial" w:hAnsi="Arial"/>
          <w:sz w:val="21"/>
        </w:rPr>
      </w:pPr>
      <w:r>
        <w:rPr>
          <w:rFonts w:ascii="Arial" w:hAnsi="Arial"/>
          <w:color w:val="010202"/>
          <w:sz w:val="21"/>
        </w:rPr>
        <w:t>Review</w:t>
      </w:r>
      <w:r>
        <w:rPr>
          <w:rFonts w:ascii="Arial" w:hAnsi="Arial"/>
          <w:color w:val="010202"/>
          <w:spacing w:val="-3"/>
          <w:sz w:val="21"/>
        </w:rPr>
        <w:t> </w:t>
      </w:r>
      <w:r>
        <w:rPr>
          <w:rFonts w:ascii="Arial" w:hAnsi="Arial"/>
          <w:color w:val="010202"/>
          <w:sz w:val="21"/>
        </w:rPr>
        <w:t>the</w:t>
      </w:r>
      <w:r>
        <w:rPr>
          <w:rFonts w:ascii="Arial" w:hAnsi="Arial"/>
          <w:color w:val="010202"/>
          <w:spacing w:val="-1"/>
          <w:sz w:val="21"/>
        </w:rPr>
        <w:t> </w:t>
      </w:r>
      <w:r>
        <w:rPr>
          <w:rFonts w:ascii="Arial" w:hAnsi="Arial"/>
          <w:color w:val="010202"/>
          <w:sz w:val="21"/>
        </w:rPr>
        <w:t>results</w:t>
      </w:r>
      <w:r>
        <w:rPr>
          <w:rFonts w:ascii="Arial" w:hAnsi="Arial"/>
          <w:color w:val="010202"/>
          <w:spacing w:val="-2"/>
          <w:sz w:val="21"/>
        </w:rPr>
        <w:t> </w:t>
      </w:r>
      <w:r>
        <w:rPr>
          <w:rFonts w:ascii="Arial" w:hAnsi="Arial"/>
          <w:color w:val="010202"/>
          <w:sz w:val="21"/>
        </w:rPr>
        <w:t>to</w:t>
      </w:r>
      <w:r>
        <w:rPr>
          <w:rFonts w:ascii="Arial" w:hAnsi="Arial"/>
          <w:color w:val="010202"/>
          <w:spacing w:val="-1"/>
          <w:sz w:val="21"/>
        </w:rPr>
        <w:t> </w:t>
      </w:r>
      <w:r>
        <w:rPr>
          <w:rFonts w:ascii="Arial" w:hAnsi="Arial"/>
          <w:color w:val="010202"/>
          <w:sz w:val="21"/>
        </w:rPr>
        <w:t>confirm</w:t>
      </w:r>
      <w:r>
        <w:rPr>
          <w:rFonts w:ascii="Arial" w:hAnsi="Arial"/>
          <w:color w:val="010202"/>
          <w:spacing w:val="-2"/>
          <w:sz w:val="21"/>
        </w:rPr>
        <w:t> </w:t>
      </w:r>
      <w:r>
        <w:rPr>
          <w:rFonts w:ascii="Arial" w:hAnsi="Arial"/>
          <w:color w:val="010202"/>
          <w:sz w:val="21"/>
        </w:rPr>
        <w:t>that</w:t>
      </w:r>
      <w:r>
        <w:rPr>
          <w:rFonts w:ascii="Arial" w:hAnsi="Arial"/>
          <w:color w:val="010202"/>
          <w:spacing w:val="-1"/>
          <w:sz w:val="21"/>
        </w:rPr>
        <w:t> </w:t>
      </w:r>
      <w:r>
        <w:rPr>
          <w:rFonts w:ascii="Arial" w:hAnsi="Arial"/>
          <w:color w:val="010202"/>
          <w:sz w:val="21"/>
        </w:rPr>
        <w:t>the</w:t>
      </w:r>
      <w:r>
        <w:rPr>
          <w:rFonts w:ascii="Arial" w:hAnsi="Arial"/>
          <w:color w:val="010202"/>
          <w:spacing w:val="-1"/>
          <w:sz w:val="21"/>
        </w:rPr>
        <w:t> </w:t>
      </w:r>
      <w:r>
        <w:rPr>
          <w:rFonts w:ascii="Arial" w:hAnsi="Arial"/>
          <w:color w:val="010202"/>
          <w:sz w:val="21"/>
        </w:rPr>
        <w:t>issue</w:t>
      </w:r>
      <w:r>
        <w:rPr>
          <w:rFonts w:ascii="Arial" w:hAnsi="Arial"/>
          <w:color w:val="010202"/>
          <w:spacing w:val="-3"/>
          <w:sz w:val="21"/>
        </w:rPr>
        <w:t> </w:t>
      </w:r>
      <w:r>
        <w:rPr>
          <w:rFonts w:ascii="Arial" w:hAnsi="Arial"/>
          <w:color w:val="010202"/>
          <w:sz w:val="21"/>
        </w:rPr>
        <w:t>and</w:t>
      </w:r>
      <w:r>
        <w:rPr>
          <w:rFonts w:ascii="Arial" w:hAnsi="Arial"/>
          <w:color w:val="010202"/>
          <w:spacing w:val="-2"/>
          <w:sz w:val="21"/>
        </w:rPr>
        <w:t> </w:t>
      </w:r>
      <w:r>
        <w:rPr>
          <w:rFonts w:ascii="Arial" w:hAnsi="Arial"/>
          <w:color w:val="010202"/>
          <w:sz w:val="21"/>
        </w:rPr>
        <w:t>its</w:t>
      </w:r>
      <w:r>
        <w:rPr>
          <w:rFonts w:ascii="Arial" w:hAnsi="Arial"/>
          <w:color w:val="010202"/>
          <w:spacing w:val="-3"/>
          <w:sz w:val="21"/>
        </w:rPr>
        <w:t> </w:t>
      </w:r>
      <w:r>
        <w:rPr>
          <w:rFonts w:ascii="Arial" w:hAnsi="Arial"/>
          <w:color w:val="010202"/>
          <w:sz w:val="21"/>
        </w:rPr>
        <w:t>root</w:t>
      </w:r>
      <w:r>
        <w:rPr>
          <w:rFonts w:ascii="Arial" w:hAnsi="Arial"/>
          <w:color w:val="010202"/>
          <w:spacing w:val="-1"/>
          <w:sz w:val="21"/>
        </w:rPr>
        <w:t> </w:t>
      </w:r>
      <w:r>
        <w:rPr>
          <w:rFonts w:ascii="Arial" w:hAnsi="Arial"/>
          <w:color w:val="010202"/>
          <w:sz w:val="21"/>
        </w:rPr>
        <w:t>causes</w:t>
      </w:r>
      <w:r>
        <w:rPr>
          <w:rFonts w:ascii="Arial" w:hAnsi="Arial"/>
          <w:color w:val="010202"/>
          <w:spacing w:val="-1"/>
          <w:sz w:val="21"/>
        </w:rPr>
        <w:t> </w:t>
      </w:r>
      <w:r>
        <w:rPr>
          <w:rFonts w:ascii="Arial" w:hAnsi="Arial"/>
          <w:color w:val="010202"/>
          <w:sz w:val="21"/>
        </w:rPr>
        <w:t>have</w:t>
      </w:r>
      <w:r>
        <w:rPr>
          <w:rFonts w:ascii="Arial" w:hAnsi="Arial"/>
          <w:color w:val="010202"/>
          <w:spacing w:val="-3"/>
          <w:sz w:val="21"/>
        </w:rPr>
        <w:t> </w:t>
      </w:r>
      <w:r>
        <w:rPr>
          <w:rFonts w:ascii="Arial" w:hAnsi="Arial"/>
          <w:color w:val="010202"/>
          <w:sz w:val="21"/>
        </w:rPr>
        <w:t>been</w:t>
      </w:r>
    </w:p>
    <w:p>
      <w:pPr>
        <w:spacing w:before="18"/>
        <w:ind w:left="699" w:right="0" w:firstLine="0"/>
        <w:jc w:val="left"/>
        <w:rPr>
          <w:rFonts w:ascii="Arial"/>
          <w:sz w:val="21"/>
        </w:rPr>
      </w:pPr>
      <w:r>
        <w:rPr>
          <w:rFonts w:ascii="Arial"/>
          <w:color w:val="010202"/>
          <w:sz w:val="21"/>
        </w:rPr>
        <w:t>addressed</w:t>
      </w:r>
      <w:r>
        <w:rPr>
          <w:rFonts w:ascii="Arial"/>
          <w:color w:val="010202"/>
          <w:spacing w:val="-6"/>
          <w:sz w:val="21"/>
        </w:rPr>
        <w:t> </w:t>
      </w:r>
      <w:r>
        <w:rPr>
          <w:rFonts w:ascii="Arial"/>
          <w:color w:val="010202"/>
          <w:sz w:val="21"/>
        </w:rPr>
        <w:t>and</w:t>
      </w:r>
      <w:r>
        <w:rPr>
          <w:rFonts w:ascii="Arial"/>
          <w:color w:val="010202"/>
          <w:spacing w:val="-6"/>
          <w:sz w:val="21"/>
        </w:rPr>
        <w:t> </w:t>
      </w:r>
      <w:r>
        <w:rPr>
          <w:rFonts w:ascii="Arial"/>
          <w:color w:val="010202"/>
          <w:sz w:val="21"/>
        </w:rPr>
        <w:t>short-term</w:t>
      </w:r>
      <w:r>
        <w:rPr>
          <w:rFonts w:ascii="Arial"/>
          <w:color w:val="010202"/>
          <w:spacing w:val="-5"/>
          <w:sz w:val="21"/>
        </w:rPr>
        <w:t> </w:t>
      </w:r>
      <w:r>
        <w:rPr>
          <w:rFonts w:ascii="Arial"/>
          <w:color w:val="010202"/>
          <w:sz w:val="21"/>
        </w:rPr>
        <w:t>and</w:t>
      </w:r>
      <w:r>
        <w:rPr>
          <w:rFonts w:ascii="Arial"/>
          <w:color w:val="010202"/>
          <w:spacing w:val="-5"/>
          <w:sz w:val="21"/>
        </w:rPr>
        <w:t> </w:t>
      </w:r>
      <w:r>
        <w:rPr>
          <w:rFonts w:ascii="Arial"/>
          <w:color w:val="010202"/>
          <w:sz w:val="21"/>
        </w:rPr>
        <w:t>long-term</w:t>
      </w:r>
      <w:r>
        <w:rPr>
          <w:rFonts w:ascii="Arial"/>
          <w:color w:val="010202"/>
          <w:spacing w:val="-6"/>
          <w:sz w:val="21"/>
        </w:rPr>
        <w:t> </w:t>
      </w:r>
      <w:r>
        <w:rPr>
          <w:rFonts w:ascii="Arial"/>
          <w:color w:val="010202"/>
          <w:sz w:val="21"/>
        </w:rPr>
        <w:t>treatment</w:t>
      </w:r>
      <w:r>
        <w:rPr>
          <w:rFonts w:ascii="Arial"/>
          <w:color w:val="010202"/>
          <w:spacing w:val="-5"/>
          <w:sz w:val="21"/>
        </w:rPr>
        <w:t> </w:t>
      </w:r>
      <w:r>
        <w:rPr>
          <w:rFonts w:ascii="Arial"/>
          <w:color w:val="010202"/>
          <w:sz w:val="21"/>
        </w:rPr>
        <w:t>outcomes</w:t>
      </w:r>
      <w:r>
        <w:rPr>
          <w:rFonts w:ascii="Arial"/>
          <w:color w:val="010202"/>
          <w:spacing w:val="-6"/>
          <w:sz w:val="21"/>
        </w:rPr>
        <w:t> </w:t>
      </w:r>
      <w:r>
        <w:rPr>
          <w:rFonts w:ascii="Arial"/>
          <w:color w:val="010202"/>
          <w:sz w:val="21"/>
        </w:rPr>
        <w:t>have</w:t>
      </w:r>
      <w:r>
        <w:rPr>
          <w:rFonts w:ascii="Arial"/>
          <w:color w:val="010202"/>
          <w:spacing w:val="-5"/>
          <w:sz w:val="21"/>
        </w:rPr>
        <w:t> </w:t>
      </w:r>
      <w:r>
        <w:rPr>
          <w:rFonts w:ascii="Arial"/>
          <w:color w:val="010202"/>
          <w:sz w:val="21"/>
        </w:rPr>
        <w:t>improved</w:t>
      </w:r>
    </w:p>
    <w:p>
      <w:pPr>
        <w:pStyle w:val="ListParagraph"/>
        <w:numPr>
          <w:ilvl w:val="0"/>
          <w:numId w:val="27"/>
        </w:numPr>
        <w:tabs>
          <w:tab w:pos="699" w:val="left" w:leader="none"/>
          <w:tab w:pos="700" w:val="left" w:leader="none"/>
        </w:tabs>
        <w:spacing w:line="240" w:lineRule="auto" w:before="19" w:after="0"/>
        <w:ind w:left="699" w:right="0" w:hanging="360"/>
        <w:jc w:val="left"/>
        <w:rPr>
          <w:rFonts w:ascii="Arial" w:hAnsi="Arial"/>
          <w:sz w:val="21"/>
        </w:rPr>
      </w:pPr>
      <w:r>
        <w:rPr>
          <w:rFonts w:ascii="Arial" w:hAnsi="Arial"/>
          <w:color w:val="010202"/>
          <w:sz w:val="21"/>
        </w:rPr>
        <w:t>Repeat</w:t>
      </w:r>
      <w:r>
        <w:rPr>
          <w:rFonts w:ascii="Arial" w:hAnsi="Arial"/>
          <w:color w:val="010202"/>
          <w:spacing w:val="-5"/>
          <w:sz w:val="21"/>
        </w:rPr>
        <w:t> </w:t>
      </w:r>
      <w:r>
        <w:rPr>
          <w:rFonts w:ascii="Arial" w:hAnsi="Arial"/>
          <w:color w:val="010202"/>
          <w:sz w:val="21"/>
        </w:rPr>
        <w:t>these</w:t>
      </w:r>
      <w:r>
        <w:rPr>
          <w:rFonts w:ascii="Arial" w:hAnsi="Arial"/>
          <w:color w:val="010202"/>
          <w:spacing w:val="-3"/>
          <w:sz w:val="21"/>
        </w:rPr>
        <w:t> </w:t>
      </w:r>
      <w:r>
        <w:rPr>
          <w:rFonts w:ascii="Arial" w:hAnsi="Arial"/>
          <w:color w:val="010202"/>
          <w:sz w:val="21"/>
        </w:rPr>
        <w:t>steps</w:t>
      </w:r>
      <w:r>
        <w:rPr>
          <w:rFonts w:ascii="Arial" w:hAnsi="Arial"/>
          <w:color w:val="010202"/>
          <w:spacing w:val="-3"/>
          <w:sz w:val="21"/>
        </w:rPr>
        <w:t> </w:t>
      </w:r>
      <w:r>
        <w:rPr>
          <w:rFonts w:ascii="Arial" w:hAnsi="Arial"/>
          <w:color w:val="010202"/>
          <w:sz w:val="21"/>
        </w:rPr>
        <w:t>to</w:t>
      </w:r>
      <w:r>
        <w:rPr>
          <w:rFonts w:ascii="Arial" w:hAnsi="Arial"/>
          <w:color w:val="010202"/>
          <w:spacing w:val="-3"/>
          <w:sz w:val="21"/>
        </w:rPr>
        <w:t> </w:t>
      </w:r>
      <w:r>
        <w:rPr>
          <w:rFonts w:ascii="Arial" w:hAnsi="Arial"/>
          <w:color w:val="010202"/>
          <w:sz w:val="21"/>
        </w:rPr>
        <w:t>identify</w:t>
      </w:r>
      <w:r>
        <w:rPr>
          <w:rFonts w:ascii="Arial" w:hAnsi="Arial"/>
          <w:color w:val="010202"/>
          <w:spacing w:val="-4"/>
          <w:sz w:val="21"/>
        </w:rPr>
        <w:t> </w:t>
      </w:r>
      <w:r>
        <w:rPr>
          <w:rFonts w:ascii="Arial" w:hAnsi="Arial"/>
          <w:color w:val="010202"/>
          <w:sz w:val="21"/>
        </w:rPr>
        <w:t>and</w:t>
      </w:r>
      <w:r>
        <w:rPr>
          <w:rFonts w:ascii="Arial" w:hAnsi="Arial"/>
          <w:color w:val="010202"/>
          <w:spacing w:val="-5"/>
          <w:sz w:val="21"/>
        </w:rPr>
        <w:t> </w:t>
      </w:r>
      <w:r>
        <w:rPr>
          <w:rFonts w:ascii="Arial" w:hAnsi="Arial"/>
          <w:color w:val="010202"/>
          <w:sz w:val="21"/>
        </w:rPr>
        <w:t>address</w:t>
      </w:r>
      <w:r>
        <w:rPr>
          <w:rFonts w:ascii="Arial" w:hAnsi="Arial"/>
          <w:color w:val="010202"/>
          <w:spacing w:val="-4"/>
          <w:sz w:val="21"/>
        </w:rPr>
        <w:t> </w:t>
      </w:r>
      <w:r>
        <w:rPr>
          <w:rFonts w:ascii="Arial" w:hAnsi="Arial"/>
          <w:color w:val="010202"/>
          <w:sz w:val="21"/>
        </w:rPr>
        <w:t>other</w:t>
      </w:r>
      <w:r>
        <w:rPr>
          <w:rFonts w:ascii="Arial" w:hAnsi="Arial"/>
          <w:color w:val="010202"/>
          <w:spacing w:val="-4"/>
          <w:sz w:val="21"/>
        </w:rPr>
        <w:t> </w:t>
      </w:r>
      <w:r>
        <w:rPr>
          <w:rFonts w:ascii="Arial" w:hAnsi="Arial"/>
          <w:color w:val="010202"/>
          <w:sz w:val="21"/>
        </w:rPr>
        <w:t>issues</w:t>
      </w:r>
      <w:r>
        <w:rPr>
          <w:rFonts w:ascii="Arial" w:hAnsi="Arial"/>
          <w:color w:val="010202"/>
          <w:spacing w:val="-4"/>
          <w:sz w:val="21"/>
        </w:rPr>
        <w:t> </w:t>
      </w:r>
      <w:r>
        <w:rPr>
          <w:rFonts w:ascii="Arial" w:hAnsi="Arial"/>
          <w:color w:val="010202"/>
          <w:sz w:val="21"/>
        </w:rPr>
        <w:t>as</w:t>
      </w:r>
      <w:r>
        <w:rPr>
          <w:rFonts w:ascii="Arial" w:hAnsi="Arial"/>
          <w:color w:val="010202"/>
          <w:spacing w:val="-4"/>
          <w:sz w:val="21"/>
        </w:rPr>
        <w:t> </w:t>
      </w:r>
      <w:r>
        <w:rPr>
          <w:rFonts w:ascii="Arial" w:hAnsi="Arial"/>
          <w:color w:val="010202"/>
          <w:sz w:val="21"/>
        </w:rPr>
        <w:t>they</w:t>
      </w:r>
      <w:r>
        <w:rPr>
          <w:rFonts w:ascii="Arial" w:hAnsi="Arial"/>
          <w:color w:val="010202"/>
          <w:spacing w:val="-3"/>
          <w:sz w:val="21"/>
        </w:rPr>
        <w:t> </w:t>
      </w:r>
      <w:r>
        <w:rPr>
          <w:rFonts w:ascii="Arial" w:hAnsi="Arial"/>
          <w:color w:val="010202"/>
          <w:sz w:val="21"/>
        </w:rPr>
        <w:t>arise</w:t>
      </w:r>
    </w:p>
    <w:p>
      <w:pPr>
        <w:spacing w:line="312" w:lineRule="auto" w:before="177"/>
        <w:ind w:left="705" w:right="898" w:hanging="269"/>
        <w:jc w:val="right"/>
        <w:rPr>
          <w:rFonts w:ascii="Arial Narrow"/>
          <w:sz w:val="16"/>
        </w:rPr>
      </w:pPr>
      <w:r>
        <w:rPr>
          <w:rFonts w:ascii="Arial Narrow"/>
          <w:color w:val="231F20"/>
          <w:spacing w:val="-2"/>
          <w:sz w:val="16"/>
        </w:rPr>
        <w:t>Institute for Healthcare Improvement. (n.d.). </w:t>
      </w:r>
      <w:r>
        <w:rPr>
          <w:rFonts w:ascii="Arial Narrow"/>
          <w:i/>
          <w:color w:val="231F20"/>
          <w:spacing w:val="-2"/>
          <w:sz w:val="16"/>
        </w:rPr>
        <w:t>Science of improvement: Testing changes. </w:t>
      </w:r>
      <w:hyperlink r:id="rId359">
        <w:r>
          <w:rPr>
            <w:rFonts w:ascii="Arial Narrow"/>
            <w:color w:val="3953A4"/>
            <w:spacing w:val="-2"/>
            <w:sz w:val="16"/>
            <w:u w:val="single" w:color="3953A4"/>
          </w:rPr>
          <w:t>http://www.ihi.org/resources/Pages/HowtoImprove/ScienceofImprovementTestingChanges.aspx</w:t>
        </w:r>
      </w:hyperlink>
      <w:r>
        <w:rPr>
          <w:rFonts w:ascii="Arial Narrow"/>
          <w:color w:val="3953A4"/>
          <w:spacing w:val="-1"/>
          <w:sz w:val="16"/>
        </w:rPr>
        <w:t> </w:t>
      </w:r>
      <w:r>
        <w:rPr>
          <w:rFonts w:ascii="Arial Narrow"/>
          <w:color w:val="231F20"/>
          <w:sz w:val="16"/>
        </w:rPr>
        <w:t>New</w:t>
      </w:r>
      <w:r>
        <w:rPr>
          <w:rFonts w:ascii="Arial Narrow"/>
          <w:color w:val="231F20"/>
          <w:spacing w:val="-3"/>
          <w:sz w:val="16"/>
        </w:rPr>
        <w:t> </w:t>
      </w:r>
      <w:r>
        <w:rPr>
          <w:rFonts w:ascii="Arial Narrow"/>
          <w:color w:val="231F20"/>
          <w:sz w:val="16"/>
        </w:rPr>
        <w:t>Jersey</w:t>
      </w:r>
      <w:r>
        <w:rPr>
          <w:rFonts w:ascii="Arial Narrow"/>
          <w:color w:val="231F20"/>
          <w:spacing w:val="-3"/>
          <w:sz w:val="16"/>
        </w:rPr>
        <w:t> </w:t>
      </w:r>
      <w:r>
        <w:rPr>
          <w:rFonts w:ascii="Arial Narrow"/>
          <w:color w:val="231F20"/>
          <w:sz w:val="16"/>
        </w:rPr>
        <w:t>Department</w:t>
      </w:r>
      <w:r>
        <w:rPr>
          <w:rFonts w:ascii="Arial Narrow"/>
          <w:color w:val="231F20"/>
          <w:spacing w:val="-3"/>
          <w:sz w:val="16"/>
        </w:rPr>
        <w:t> </w:t>
      </w:r>
      <w:r>
        <w:rPr>
          <w:rFonts w:ascii="Arial Narrow"/>
          <w:color w:val="231F20"/>
          <w:sz w:val="16"/>
        </w:rPr>
        <w:t>of</w:t>
      </w:r>
      <w:r>
        <w:rPr>
          <w:rFonts w:ascii="Arial Narrow"/>
          <w:color w:val="231F20"/>
          <w:spacing w:val="-3"/>
          <w:sz w:val="16"/>
        </w:rPr>
        <w:t> </w:t>
      </w:r>
      <w:r>
        <w:rPr>
          <w:rFonts w:ascii="Arial Narrow"/>
          <w:color w:val="231F20"/>
          <w:sz w:val="16"/>
        </w:rPr>
        <w:t>Children</w:t>
      </w:r>
      <w:r>
        <w:rPr>
          <w:rFonts w:ascii="Arial Narrow"/>
          <w:color w:val="231F20"/>
          <w:spacing w:val="-3"/>
          <w:sz w:val="16"/>
        </w:rPr>
        <w:t> </w:t>
      </w:r>
      <w:r>
        <w:rPr>
          <w:rFonts w:ascii="Arial Narrow"/>
          <w:color w:val="231F20"/>
          <w:sz w:val="16"/>
        </w:rPr>
        <w:t>and</w:t>
      </w:r>
      <w:r>
        <w:rPr>
          <w:rFonts w:ascii="Arial Narrow"/>
          <w:color w:val="231F20"/>
          <w:spacing w:val="-3"/>
          <w:sz w:val="16"/>
        </w:rPr>
        <w:t> </w:t>
      </w:r>
      <w:r>
        <w:rPr>
          <w:rFonts w:ascii="Arial Narrow"/>
          <w:color w:val="231F20"/>
          <w:sz w:val="16"/>
        </w:rPr>
        <w:t>Families.</w:t>
      </w:r>
      <w:r>
        <w:rPr>
          <w:rFonts w:ascii="Arial Narrow"/>
          <w:color w:val="231F20"/>
          <w:spacing w:val="-3"/>
          <w:sz w:val="16"/>
        </w:rPr>
        <w:t> </w:t>
      </w:r>
      <w:r>
        <w:rPr>
          <w:rFonts w:ascii="Arial Narrow"/>
          <w:color w:val="231F20"/>
          <w:sz w:val="16"/>
        </w:rPr>
        <w:t>(n.d.).</w:t>
      </w:r>
      <w:r>
        <w:rPr>
          <w:rFonts w:ascii="Arial Narrow"/>
          <w:color w:val="231F20"/>
          <w:spacing w:val="-4"/>
          <w:sz w:val="16"/>
        </w:rPr>
        <w:t> </w:t>
      </w:r>
      <w:r>
        <w:rPr>
          <w:rFonts w:ascii="Arial Narrow"/>
          <w:i/>
          <w:color w:val="231F20"/>
          <w:sz w:val="16"/>
        </w:rPr>
        <w:t>Five</w:t>
      </w:r>
      <w:r>
        <w:rPr>
          <w:rFonts w:ascii="Arial Narrow"/>
          <w:i/>
          <w:color w:val="231F20"/>
          <w:spacing w:val="-3"/>
          <w:sz w:val="16"/>
        </w:rPr>
        <w:t> </w:t>
      </w:r>
      <w:r>
        <w:rPr>
          <w:rFonts w:ascii="Arial Narrow"/>
          <w:i/>
          <w:color w:val="231F20"/>
          <w:sz w:val="16"/>
        </w:rPr>
        <w:t>Stages</w:t>
      </w:r>
      <w:r>
        <w:rPr>
          <w:rFonts w:ascii="Arial Narrow"/>
          <w:i/>
          <w:color w:val="231F20"/>
          <w:spacing w:val="-4"/>
          <w:sz w:val="16"/>
        </w:rPr>
        <w:t> </w:t>
      </w:r>
      <w:r>
        <w:rPr>
          <w:rFonts w:ascii="Arial Narrow"/>
          <w:i/>
          <w:color w:val="231F20"/>
          <w:sz w:val="16"/>
        </w:rPr>
        <w:t>of</w:t>
      </w:r>
      <w:r>
        <w:rPr>
          <w:rFonts w:ascii="Arial Narrow"/>
          <w:i/>
          <w:color w:val="231F20"/>
          <w:spacing w:val="18"/>
          <w:sz w:val="16"/>
        </w:rPr>
        <w:t> </w:t>
      </w:r>
      <w:r>
        <w:rPr>
          <w:rFonts w:ascii="Arial Narrow"/>
          <w:i/>
          <w:color w:val="231F20"/>
          <w:sz w:val="16"/>
        </w:rPr>
        <w:t>Continuous</w:t>
      </w:r>
      <w:r>
        <w:rPr>
          <w:rFonts w:ascii="Arial Narrow"/>
          <w:i/>
          <w:color w:val="231F20"/>
          <w:spacing w:val="-4"/>
          <w:sz w:val="16"/>
        </w:rPr>
        <w:t> </w:t>
      </w:r>
      <w:r>
        <w:rPr>
          <w:rFonts w:ascii="Arial Narrow"/>
          <w:i/>
          <w:color w:val="231F20"/>
          <w:sz w:val="16"/>
        </w:rPr>
        <w:t>Quality</w:t>
      </w:r>
      <w:r>
        <w:rPr>
          <w:rFonts w:ascii="Arial Narrow"/>
          <w:i/>
          <w:color w:val="231F20"/>
          <w:spacing w:val="-3"/>
          <w:sz w:val="16"/>
        </w:rPr>
        <w:t> </w:t>
      </w:r>
      <w:r>
        <w:rPr>
          <w:rFonts w:ascii="Arial Narrow"/>
          <w:i/>
          <w:color w:val="231F20"/>
          <w:sz w:val="16"/>
        </w:rPr>
        <w:t>Improvement.</w:t>
      </w:r>
      <w:r>
        <w:rPr>
          <w:rFonts w:ascii="Arial Narrow"/>
          <w:i/>
          <w:color w:val="231F20"/>
          <w:spacing w:val="-3"/>
          <w:sz w:val="16"/>
        </w:rPr>
        <w:t> </w:t>
      </w:r>
      <w:hyperlink r:id="rId360">
        <w:r>
          <w:rPr>
            <w:rFonts w:ascii="Arial Narrow"/>
            <w:color w:val="3953A4"/>
            <w:sz w:val="16"/>
            <w:u w:val="single" w:color="3953A4"/>
          </w:rPr>
          <w:t>https://www.nj.gov/dcf/about/divisions/opma/CQI%20framework.pd</w:t>
        </w:r>
        <w:r>
          <w:rPr>
            <w:rFonts w:ascii="Arial Narrow"/>
            <w:color w:val="3953A4"/>
            <w:sz w:val="16"/>
          </w:rPr>
          <w:t>f</w:t>
        </w:r>
      </w:hyperlink>
      <w:r>
        <w:rPr>
          <w:rFonts w:ascii="Arial Narrow"/>
          <w:color w:val="3953A4"/>
          <w:spacing w:val="-33"/>
          <w:sz w:val="16"/>
        </w:rPr>
        <w:t> </w:t>
      </w:r>
      <w:r>
        <w:rPr>
          <w:rFonts w:ascii="Arial Narrow"/>
          <w:color w:val="231F20"/>
          <w:sz w:val="16"/>
        </w:rPr>
        <w:t>University</w:t>
      </w:r>
      <w:r>
        <w:rPr>
          <w:rFonts w:ascii="Arial Narrow"/>
          <w:color w:val="231F20"/>
          <w:spacing w:val="-1"/>
          <w:sz w:val="16"/>
        </w:rPr>
        <w:t> </w:t>
      </w:r>
      <w:r>
        <w:rPr>
          <w:rFonts w:ascii="Arial Narrow"/>
          <w:color w:val="231F20"/>
          <w:sz w:val="16"/>
        </w:rPr>
        <w:t>of</w:t>
      </w:r>
      <w:r>
        <w:rPr>
          <w:rFonts w:ascii="Arial Narrow"/>
          <w:color w:val="231F20"/>
          <w:spacing w:val="-1"/>
          <w:sz w:val="16"/>
        </w:rPr>
        <w:t> </w:t>
      </w:r>
      <w:r>
        <w:rPr>
          <w:rFonts w:ascii="Arial Narrow"/>
          <w:color w:val="231F20"/>
          <w:sz w:val="16"/>
        </w:rPr>
        <w:t>Wisconsin-Madison,</w:t>
      </w:r>
      <w:r>
        <w:rPr>
          <w:rFonts w:ascii="Arial Narrow"/>
          <w:color w:val="231F20"/>
          <w:spacing w:val="-1"/>
          <w:sz w:val="16"/>
        </w:rPr>
        <w:t> </w:t>
      </w:r>
      <w:r>
        <w:rPr>
          <w:rFonts w:ascii="Arial Narrow"/>
          <w:color w:val="231F20"/>
          <w:sz w:val="16"/>
        </w:rPr>
        <w:t>NIATx National</w:t>
      </w:r>
      <w:r>
        <w:rPr>
          <w:rFonts w:ascii="Arial Narrow"/>
          <w:color w:val="231F20"/>
          <w:spacing w:val="-1"/>
          <w:sz w:val="16"/>
        </w:rPr>
        <w:t> </w:t>
      </w:r>
      <w:r>
        <w:rPr>
          <w:rFonts w:ascii="Arial Narrow"/>
          <w:color w:val="231F20"/>
          <w:sz w:val="16"/>
        </w:rPr>
        <w:t>Program Office.</w:t>
      </w:r>
      <w:r>
        <w:rPr>
          <w:rFonts w:ascii="Arial Narrow"/>
          <w:color w:val="231F20"/>
          <w:spacing w:val="-1"/>
          <w:sz w:val="16"/>
        </w:rPr>
        <w:t> </w:t>
      </w:r>
      <w:r>
        <w:rPr>
          <w:rFonts w:ascii="Arial Narrow"/>
          <w:color w:val="231F20"/>
          <w:sz w:val="16"/>
        </w:rPr>
        <w:t>(n.d.).</w:t>
      </w:r>
      <w:r>
        <w:rPr>
          <w:rFonts w:ascii="Arial Narrow"/>
          <w:color w:val="231F20"/>
          <w:spacing w:val="-3"/>
          <w:sz w:val="16"/>
        </w:rPr>
        <w:t> </w:t>
      </w:r>
      <w:r>
        <w:rPr>
          <w:rFonts w:ascii="Arial Narrow"/>
          <w:i/>
          <w:color w:val="231F20"/>
          <w:sz w:val="16"/>
        </w:rPr>
        <w:t>What</w:t>
      </w:r>
      <w:r>
        <w:rPr>
          <w:rFonts w:ascii="Arial Narrow"/>
          <w:i/>
          <w:color w:val="231F20"/>
          <w:spacing w:val="-1"/>
          <w:sz w:val="16"/>
        </w:rPr>
        <w:t> </w:t>
      </w:r>
      <w:r>
        <w:rPr>
          <w:rFonts w:ascii="Arial Narrow"/>
          <w:i/>
          <w:color w:val="231F20"/>
          <w:sz w:val="16"/>
        </w:rPr>
        <w:t>is</w:t>
      </w:r>
      <w:r>
        <w:rPr>
          <w:rFonts w:ascii="Arial Narrow"/>
          <w:i/>
          <w:color w:val="231F20"/>
          <w:spacing w:val="-2"/>
          <w:sz w:val="16"/>
        </w:rPr>
        <w:t> </w:t>
      </w:r>
      <w:r>
        <w:rPr>
          <w:rFonts w:ascii="Arial Narrow"/>
          <w:i/>
          <w:color w:val="231F20"/>
          <w:sz w:val="16"/>
        </w:rPr>
        <w:t>NIATx?</w:t>
      </w:r>
      <w:r>
        <w:rPr>
          <w:rFonts w:ascii="Arial Narrow"/>
          <w:i/>
          <w:color w:val="231F20"/>
          <w:spacing w:val="-1"/>
          <w:sz w:val="16"/>
        </w:rPr>
        <w:t> </w:t>
      </w:r>
      <w:hyperlink r:id="rId357">
        <w:r>
          <w:rPr>
            <w:rFonts w:ascii="Arial Narrow"/>
            <w:color w:val="3953A4"/>
            <w:sz w:val="16"/>
            <w:u w:val="single" w:color="3953A4"/>
          </w:rPr>
          <w:t>https://www.niatx.net/what-is-niatx</w:t>
        </w:r>
        <w:r>
          <w:rPr>
            <w:rFonts w:ascii="Arial Narrow"/>
            <w:color w:val="3953A4"/>
            <w:sz w:val="16"/>
          </w:rPr>
          <w:t>/</w:t>
        </w:r>
      </w:hyperlink>
    </w:p>
    <w:p>
      <w:pPr>
        <w:spacing w:before="1"/>
        <w:ind w:left="0" w:right="895" w:firstLine="0"/>
        <w:jc w:val="right"/>
        <w:rPr>
          <w:rFonts w:ascii="Arial Narrow"/>
          <w:i/>
          <w:sz w:val="16"/>
        </w:rPr>
      </w:pPr>
      <w:r>
        <w:rPr>
          <w:rFonts w:ascii="Arial Narrow"/>
          <w:color w:val="231F20"/>
          <w:sz w:val="16"/>
        </w:rPr>
        <w:t>U.S.</w:t>
      </w:r>
      <w:r>
        <w:rPr>
          <w:rFonts w:ascii="Arial Narrow"/>
          <w:color w:val="231F20"/>
          <w:spacing w:val="-2"/>
          <w:sz w:val="16"/>
        </w:rPr>
        <w:t> </w:t>
      </w:r>
      <w:r>
        <w:rPr>
          <w:rFonts w:ascii="Arial Narrow"/>
          <w:color w:val="231F20"/>
          <w:sz w:val="16"/>
        </w:rPr>
        <w:t>Department</w:t>
      </w:r>
      <w:r>
        <w:rPr>
          <w:rFonts w:ascii="Arial Narrow"/>
          <w:color w:val="231F20"/>
          <w:spacing w:val="-1"/>
          <w:sz w:val="16"/>
        </w:rPr>
        <w:t> </w:t>
      </w:r>
      <w:r>
        <w:rPr>
          <w:rFonts w:ascii="Arial Narrow"/>
          <w:color w:val="231F20"/>
          <w:sz w:val="16"/>
        </w:rPr>
        <w:t>of</w:t>
      </w:r>
      <w:r>
        <w:rPr>
          <w:rFonts w:ascii="Arial Narrow"/>
          <w:color w:val="231F20"/>
          <w:spacing w:val="-2"/>
          <w:sz w:val="16"/>
        </w:rPr>
        <w:t> </w:t>
      </w:r>
      <w:r>
        <w:rPr>
          <w:rFonts w:ascii="Arial Narrow"/>
          <w:color w:val="231F20"/>
          <w:sz w:val="16"/>
        </w:rPr>
        <w:t>Health</w:t>
      </w:r>
      <w:r>
        <w:rPr>
          <w:rFonts w:ascii="Arial Narrow"/>
          <w:color w:val="231F20"/>
          <w:spacing w:val="-1"/>
          <w:sz w:val="16"/>
        </w:rPr>
        <w:t> </w:t>
      </w:r>
      <w:r>
        <w:rPr>
          <w:rFonts w:ascii="Arial Narrow"/>
          <w:color w:val="231F20"/>
          <w:sz w:val="16"/>
        </w:rPr>
        <w:t>&amp;</w:t>
      </w:r>
      <w:r>
        <w:rPr>
          <w:rFonts w:ascii="Arial Narrow"/>
          <w:color w:val="231F20"/>
          <w:spacing w:val="-1"/>
          <w:sz w:val="16"/>
        </w:rPr>
        <w:t> </w:t>
      </w:r>
      <w:r>
        <w:rPr>
          <w:rFonts w:ascii="Arial Narrow"/>
          <w:color w:val="231F20"/>
          <w:sz w:val="16"/>
        </w:rPr>
        <w:t>Human</w:t>
      </w:r>
      <w:r>
        <w:rPr>
          <w:rFonts w:ascii="Arial Narrow"/>
          <w:color w:val="231F20"/>
          <w:spacing w:val="-2"/>
          <w:sz w:val="16"/>
        </w:rPr>
        <w:t> </w:t>
      </w:r>
      <w:r>
        <w:rPr>
          <w:rFonts w:ascii="Arial Narrow"/>
          <w:color w:val="231F20"/>
          <w:sz w:val="16"/>
        </w:rPr>
        <w:t>Services</w:t>
      </w:r>
      <w:r>
        <w:rPr>
          <w:rFonts w:ascii="Arial Narrow"/>
          <w:color w:val="231F20"/>
          <w:spacing w:val="-1"/>
          <w:sz w:val="16"/>
        </w:rPr>
        <w:t> </w:t>
      </w:r>
      <w:r>
        <w:rPr>
          <w:rFonts w:ascii="Arial Narrow"/>
          <w:color w:val="231F20"/>
          <w:sz w:val="16"/>
        </w:rPr>
        <w:t>Office</w:t>
      </w:r>
      <w:r>
        <w:rPr>
          <w:rFonts w:ascii="Arial Narrow"/>
          <w:color w:val="231F20"/>
          <w:spacing w:val="-2"/>
          <w:sz w:val="16"/>
        </w:rPr>
        <w:t> </w:t>
      </w:r>
      <w:r>
        <w:rPr>
          <w:rFonts w:ascii="Arial Narrow"/>
          <w:color w:val="231F20"/>
          <w:sz w:val="16"/>
        </w:rPr>
        <w:t>of</w:t>
      </w:r>
      <w:r>
        <w:rPr>
          <w:rFonts w:ascii="Arial Narrow"/>
          <w:color w:val="231F20"/>
          <w:spacing w:val="-8"/>
          <w:sz w:val="16"/>
        </w:rPr>
        <w:t> </w:t>
      </w:r>
      <w:r>
        <w:rPr>
          <w:rFonts w:ascii="Arial Narrow"/>
          <w:color w:val="231F20"/>
          <w:sz w:val="16"/>
        </w:rPr>
        <w:t>Adolescent</w:t>
      </w:r>
      <w:r>
        <w:rPr>
          <w:rFonts w:ascii="Arial Narrow"/>
          <w:color w:val="231F20"/>
          <w:spacing w:val="-1"/>
          <w:sz w:val="16"/>
        </w:rPr>
        <w:t> </w:t>
      </w:r>
      <w:r>
        <w:rPr>
          <w:rFonts w:ascii="Arial Narrow"/>
          <w:color w:val="231F20"/>
          <w:sz w:val="16"/>
        </w:rPr>
        <w:t>Health.</w:t>
      </w:r>
      <w:r>
        <w:rPr>
          <w:rFonts w:ascii="Arial Narrow"/>
          <w:color w:val="231F20"/>
          <w:spacing w:val="-1"/>
          <w:sz w:val="16"/>
        </w:rPr>
        <w:t> </w:t>
      </w:r>
      <w:r>
        <w:rPr>
          <w:rFonts w:ascii="Arial Narrow"/>
          <w:color w:val="231F20"/>
          <w:sz w:val="16"/>
        </w:rPr>
        <w:t>(n.d.).</w:t>
      </w:r>
      <w:r>
        <w:rPr>
          <w:rFonts w:ascii="Arial Narrow"/>
          <w:color w:val="231F20"/>
          <w:spacing w:val="-2"/>
          <w:sz w:val="16"/>
        </w:rPr>
        <w:t> </w:t>
      </w:r>
      <w:r>
        <w:rPr>
          <w:rFonts w:ascii="Arial Narrow"/>
          <w:i/>
          <w:color w:val="231F20"/>
          <w:sz w:val="16"/>
        </w:rPr>
        <w:t>Continuous</w:t>
      </w:r>
      <w:r>
        <w:rPr>
          <w:rFonts w:ascii="Arial Narrow"/>
          <w:i/>
          <w:color w:val="231F20"/>
          <w:spacing w:val="-2"/>
          <w:sz w:val="16"/>
        </w:rPr>
        <w:t> </w:t>
      </w:r>
      <w:r>
        <w:rPr>
          <w:rFonts w:ascii="Arial Narrow"/>
          <w:i/>
          <w:color w:val="231F20"/>
          <w:sz w:val="16"/>
        </w:rPr>
        <w:t>Quality</w:t>
      </w:r>
      <w:r>
        <w:rPr>
          <w:rFonts w:ascii="Arial Narrow"/>
          <w:i/>
          <w:color w:val="231F20"/>
          <w:spacing w:val="-2"/>
          <w:sz w:val="16"/>
        </w:rPr>
        <w:t> </w:t>
      </w:r>
      <w:r>
        <w:rPr>
          <w:rFonts w:ascii="Arial Narrow"/>
          <w:i/>
          <w:color w:val="231F20"/>
          <w:sz w:val="16"/>
        </w:rPr>
        <w:t>Improvement,</w:t>
      </w:r>
      <w:r>
        <w:rPr>
          <w:rFonts w:ascii="Arial Narrow"/>
          <w:i/>
          <w:color w:val="231F20"/>
          <w:spacing w:val="-2"/>
          <w:sz w:val="16"/>
        </w:rPr>
        <w:t> </w:t>
      </w:r>
      <w:r>
        <w:rPr>
          <w:rFonts w:ascii="Arial Narrow"/>
          <w:i/>
          <w:color w:val="231F20"/>
          <w:sz w:val="16"/>
        </w:rPr>
        <w:t>Part</w:t>
      </w:r>
      <w:r>
        <w:rPr>
          <w:rFonts w:ascii="Arial Narrow"/>
          <w:i/>
          <w:color w:val="231F20"/>
          <w:spacing w:val="-2"/>
          <w:sz w:val="16"/>
        </w:rPr>
        <w:t> </w:t>
      </w:r>
      <w:r>
        <w:rPr>
          <w:rFonts w:ascii="Arial Narrow"/>
          <w:i/>
          <w:color w:val="231F20"/>
          <w:sz w:val="16"/>
        </w:rPr>
        <w:t>1:</w:t>
      </w:r>
      <w:r>
        <w:rPr>
          <w:rFonts w:ascii="Arial Narrow"/>
          <w:i/>
          <w:color w:val="231F20"/>
          <w:spacing w:val="-2"/>
          <w:sz w:val="16"/>
        </w:rPr>
        <w:t> </w:t>
      </w:r>
      <w:r>
        <w:rPr>
          <w:rFonts w:ascii="Arial Narrow"/>
          <w:i/>
          <w:color w:val="231F20"/>
          <w:sz w:val="16"/>
        </w:rPr>
        <w:t>Basics</w:t>
      </w:r>
      <w:r>
        <w:rPr>
          <w:rFonts w:ascii="Arial Narrow"/>
          <w:i/>
          <w:color w:val="231F20"/>
          <w:spacing w:val="-2"/>
          <w:sz w:val="16"/>
        </w:rPr>
        <w:t> </w:t>
      </w:r>
      <w:r>
        <w:rPr>
          <w:rFonts w:ascii="Arial Narrow"/>
          <w:i/>
          <w:color w:val="231F20"/>
          <w:sz w:val="16"/>
        </w:rPr>
        <w:t>for</w:t>
      </w:r>
      <w:r>
        <w:rPr>
          <w:rFonts w:ascii="Arial Narrow"/>
          <w:i/>
          <w:color w:val="231F20"/>
          <w:spacing w:val="-3"/>
          <w:sz w:val="16"/>
        </w:rPr>
        <w:t> </w:t>
      </w:r>
      <w:r>
        <w:rPr>
          <w:rFonts w:ascii="Arial Narrow"/>
          <w:i/>
          <w:color w:val="231F20"/>
          <w:sz w:val="16"/>
        </w:rPr>
        <w:t>Pregnancy</w:t>
      </w:r>
      <w:r>
        <w:rPr>
          <w:rFonts w:ascii="Arial Narrow"/>
          <w:i/>
          <w:color w:val="231F20"/>
          <w:spacing w:val="-2"/>
          <w:sz w:val="16"/>
        </w:rPr>
        <w:t> </w:t>
      </w:r>
      <w:r>
        <w:rPr>
          <w:rFonts w:ascii="Arial Narrow"/>
          <w:i/>
          <w:color w:val="231F20"/>
          <w:sz w:val="16"/>
        </w:rPr>
        <w:t>Assistance</w:t>
      </w:r>
      <w:r>
        <w:rPr>
          <w:rFonts w:ascii="Arial Narrow"/>
          <w:i/>
          <w:color w:val="231F20"/>
          <w:spacing w:val="-2"/>
          <w:sz w:val="16"/>
        </w:rPr>
        <w:t> </w:t>
      </w:r>
      <w:r>
        <w:rPr>
          <w:rFonts w:ascii="Arial Narrow"/>
          <w:i/>
          <w:color w:val="231F20"/>
          <w:sz w:val="16"/>
        </w:rPr>
        <w:t>Fund</w:t>
      </w:r>
      <w:r>
        <w:rPr>
          <w:rFonts w:ascii="Arial Narrow"/>
          <w:i/>
          <w:color w:val="231F20"/>
          <w:spacing w:val="-2"/>
          <w:sz w:val="16"/>
        </w:rPr>
        <w:t> </w:t>
      </w:r>
      <w:r>
        <w:rPr>
          <w:rFonts w:ascii="Arial Narrow"/>
          <w:i/>
          <w:color w:val="231F20"/>
          <w:sz w:val="16"/>
        </w:rPr>
        <w:t>Programs.</w:t>
      </w:r>
    </w:p>
    <w:p>
      <w:pPr>
        <w:spacing w:before="8"/>
        <w:ind w:left="0" w:right="898" w:firstLine="0"/>
        <w:jc w:val="right"/>
        <w:rPr>
          <w:rFonts w:ascii="Arial Narrow"/>
          <w:sz w:val="16"/>
        </w:rPr>
      </w:pPr>
      <w:hyperlink r:id="rId361">
        <w:r>
          <w:rPr>
            <w:rFonts w:ascii="Arial Narrow"/>
            <w:color w:val="3953A4"/>
            <w:sz w:val="16"/>
            <w:u w:val="single" w:color="3953A4"/>
          </w:rPr>
          <w:t>https://www.hhs.gov/ash/oah/sites/default/files/cqi-intro.p</w:t>
        </w:r>
        <w:r>
          <w:rPr>
            <w:rFonts w:ascii="Arial Narrow"/>
            <w:color w:val="3953A4"/>
            <w:sz w:val="16"/>
          </w:rPr>
          <w:t>df</w:t>
        </w:r>
      </w:hyperlink>
    </w:p>
    <w:p>
      <w:pPr>
        <w:spacing w:after="0"/>
        <w:jc w:val="right"/>
        <w:rPr>
          <w:rFonts w:ascii="Arial Narrow"/>
          <w:sz w:val="16"/>
        </w:rPr>
        <w:sectPr>
          <w:type w:val="continuous"/>
          <w:pgSz w:w="12240" w:h="15840"/>
          <w:pgMar w:header="0" w:footer="587" w:top="1500" w:bottom="0" w:left="560" w:right="0"/>
        </w:sectPr>
      </w:pPr>
    </w:p>
    <w:p>
      <w:pPr>
        <w:pStyle w:val="BodyText"/>
        <w:rPr>
          <w:rFonts w:ascii="Arial Narrow"/>
          <w:sz w:val="20"/>
        </w:rPr>
      </w:pPr>
    </w:p>
    <w:p>
      <w:pPr>
        <w:pStyle w:val="BodyText"/>
        <w:spacing w:before="8"/>
        <w:rPr>
          <w:rFonts w:ascii="Arial Narrow"/>
          <w:sz w:val="27"/>
        </w:rPr>
      </w:pPr>
    </w:p>
    <w:p>
      <w:pPr>
        <w:spacing w:after="0"/>
        <w:rPr>
          <w:rFonts w:ascii="Arial Narrow"/>
          <w:sz w:val="27"/>
        </w:rPr>
        <w:sectPr>
          <w:pgSz w:w="12240" w:h="15840"/>
          <w:pgMar w:header="0" w:footer="587" w:top="380" w:bottom="860" w:left="560" w:right="0"/>
        </w:sectPr>
      </w:pPr>
    </w:p>
    <w:p>
      <w:pPr>
        <w:pStyle w:val="Heading6"/>
        <w:spacing w:before="93"/>
      </w:pPr>
      <w:bookmarkStart w:name="Preparing to Collect Data" w:id="142"/>
      <w:bookmarkEnd w:id="142"/>
      <w:r>
        <w:rPr>
          <w:b w:val="0"/>
        </w:rPr>
      </w:r>
      <w:bookmarkStart w:name="1. Determine if the purpose of the data " w:id="143"/>
      <w:bookmarkEnd w:id="143"/>
      <w:r>
        <w:rPr>
          <w:b w:val="0"/>
        </w:rPr>
      </w:r>
      <w:bookmarkStart w:name="2. Identify team members to conduct eval" w:id="144"/>
      <w:bookmarkEnd w:id="144"/>
      <w:r>
        <w:rPr>
          <w:b w:val="0"/>
        </w:rPr>
      </w:r>
      <w:bookmarkStart w:name="3. Determine outcomes of interest." w:id="145"/>
      <w:bookmarkEnd w:id="145"/>
      <w:r>
        <w:rPr>
          <w:b w:val="0"/>
        </w:rPr>
      </w:r>
      <w:bookmarkStart w:name="Outcomes" w:id="146"/>
      <w:bookmarkEnd w:id="146"/>
      <w:r>
        <w:rPr>
          <w:b w:val="0"/>
        </w:rPr>
      </w:r>
      <w:r>
        <w:rPr>
          <w:color w:val="CE384B"/>
        </w:rPr>
        <w:t>Preparing</w:t>
      </w:r>
      <w:r>
        <w:rPr>
          <w:color w:val="CE384B"/>
          <w:spacing w:val="-4"/>
        </w:rPr>
        <w:t> </w:t>
      </w:r>
      <w:r>
        <w:rPr>
          <w:color w:val="CE384B"/>
        </w:rPr>
        <w:t>to</w:t>
      </w:r>
      <w:r>
        <w:rPr>
          <w:color w:val="CE384B"/>
          <w:spacing w:val="-3"/>
        </w:rPr>
        <w:t> </w:t>
      </w:r>
      <w:r>
        <w:rPr>
          <w:color w:val="CE384B"/>
        </w:rPr>
        <w:t>Collect</w:t>
      </w:r>
      <w:r>
        <w:rPr>
          <w:color w:val="CE384B"/>
          <w:spacing w:val="-4"/>
        </w:rPr>
        <w:t> </w:t>
      </w:r>
      <w:r>
        <w:rPr>
          <w:color w:val="CE384B"/>
        </w:rPr>
        <w:t>Data</w:t>
      </w:r>
    </w:p>
    <w:p>
      <w:pPr>
        <w:pStyle w:val="BodyText"/>
        <w:spacing w:before="118"/>
        <w:ind w:left="160"/>
      </w:pPr>
      <w:r>
        <w:rPr>
          <w:color w:val="231F20"/>
          <w:spacing w:val="-1"/>
        </w:rPr>
        <w:t>The</w:t>
      </w:r>
      <w:r>
        <w:rPr>
          <w:color w:val="231F20"/>
          <w:spacing w:val="-13"/>
        </w:rPr>
        <w:t> </w:t>
      </w:r>
      <w:r>
        <w:rPr>
          <w:color w:val="231F20"/>
          <w:spacing w:val="-1"/>
        </w:rPr>
        <w:t>following</w:t>
      </w:r>
      <w:r>
        <w:rPr>
          <w:color w:val="231F20"/>
          <w:spacing w:val="-13"/>
        </w:rPr>
        <w:t> </w:t>
      </w:r>
      <w:r>
        <w:rPr>
          <w:color w:val="231F20"/>
        </w:rPr>
        <w:t>steps</w:t>
      </w:r>
      <w:r>
        <w:rPr>
          <w:color w:val="231F20"/>
          <w:spacing w:val="-13"/>
        </w:rPr>
        <w:t> </w:t>
      </w:r>
      <w:r>
        <w:rPr>
          <w:color w:val="231F20"/>
        </w:rPr>
        <w:t>can</w:t>
      </w:r>
      <w:r>
        <w:rPr>
          <w:color w:val="231F20"/>
          <w:spacing w:val="-13"/>
        </w:rPr>
        <w:t> </w:t>
      </w:r>
      <w:r>
        <w:rPr>
          <w:color w:val="231F20"/>
        </w:rPr>
        <w:t>help</w:t>
      </w:r>
      <w:r>
        <w:rPr>
          <w:color w:val="231F20"/>
          <w:spacing w:val="-12"/>
        </w:rPr>
        <w:t> </w:t>
      </w:r>
      <w:r>
        <w:rPr>
          <w:color w:val="231F20"/>
        </w:rPr>
        <w:t>clinics</w:t>
      </w:r>
      <w:r>
        <w:rPr>
          <w:color w:val="231F20"/>
          <w:spacing w:val="-13"/>
        </w:rPr>
        <w:t> </w:t>
      </w:r>
      <w:r>
        <w:rPr>
          <w:color w:val="231F20"/>
        </w:rPr>
        <w:t>and</w:t>
      </w:r>
      <w:r>
        <w:rPr>
          <w:color w:val="231F20"/>
          <w:spacing w:val="-12"/>
        </w:rPr>
        <w:t> </w:t>
      </w:r>
      <w:r>
        <w:rPr>
          <w:color w:val="231F20"/>
        </w:rPr>
        <w:t>practitioners</w:t>
      </w:r>
    </w:p>
    <w:p>
      <w:pPr>
        <w:pStyle w:val="BodyText"/>
        <w:spacing w:before="27"/>
        <w:ind w:left="160"/>
      </w:pPr>
      <w:r>
        <w:rPr>
          <w:color w:val="231F20"/>
        </w:rPr>
        <w:t>prepare</w:t>
      </w:r>
      <w:r>
        <w:rPr>
          <w:color w:val="231F20"/>
          <w:spacing w:val="-13"/>
        </w:rPr>
        <w:t> </w:t>
      </w:r>
      <w:r>
        <w:rPr>
          <w:color w:val="231F20"/>
        </w:rPr>
        <w:t>to</w:t>
      </w:r>
      <w:r>
        <w:rPr>
          <w:color w:val="231F20"/>
          <w:spacing w:val="-12"/>
        </w:rPr>
        <w:t> </w:t>
      </w:r>
      <w:r>
        <w:rPr>
          <w:color w:val="231F20"/>
        </w:rPr>
        <w:t>collect</w:t>
      </w:r>
      <w:r>
        <w:rPr>
          <w:color w:val="231F20"/>
          <w:spacing w:val="-12"/>
        </w:rPr>
        <w:t> </w:t>
      </w:r>
      <w:r>
        <w:rPr>
          <w:color w:val="231F20"/>
        </w:rPr>
        <w:t>and</w:t>
      </w:r>
      <w:r>
        <w:rPr>
          <w:color w:val="231F20"/>
          <w:spacing w:val="-12"/>
        </w:rPr>
        <w:t> </w:t>
      </w:r>
      <w:r>
        <w:rPr>
          <w:color w:val="231F20"/>
        </w:rPr>
        <w:t>analyze</w:t>
      </w:r>
      <w:r>
        <w:rPr>
          <w:color w:val="231F20"/>
          <w:spacing w:val="-12"/>
        </w:rPr>
        <w:t> </w:t>
      </w:r>
      <w:r>
        <w:rPr>
          <w:color w:val="231F20"/>
        </w:rPr>
        <w:t>data:</w:t>
      </w:r>
    </w:p>
    <w:p>
      <w:pPr>
        <w:pStyle w:val="Heading6"/>
        <w:numPr>
          <w:ilvl w:val="0"/>
          <w:numId w:val="28"/>
        </w:numPr>
        <w:tabs>
          <w:tab w:pos="880" w:val="left" w:leader="none"/>
        </w:tabs>
        <w:spacing w:line="249" w:lineRule="auto" w:before="191" w:after="0"/>
        <w:ind w:left="879" w:right="956" w:hanging="360"/>
        <w:jc w:val="left"/>
        <w:rPr>
          <w:rFonts w:ascii="Times New Roman"/>
        </w:rPr>
      </w:pPr>
      <w:r>
        <w:rPr>
          <w:rFonts w:ascii="Times New Roman"/>
          <w:color w:val="010202"/>
        </w:rPr>
        <w:t>Determine</w:t>
      </w:r>
      <w:r>
        <w:rPr>
          <w:rFonts w:ascii="Times New Roman"/>
          <w:color w:val="010202"/>
          <w:spacing w:val="-4"/>
        </w:rPr>
        <w:t> </w:t>
      </w:r>
      <w:r>
        <w:rPr>
          <w:rFonts w:ascii="Times New Roman"/>
          <w:color w:val="010202"/>
        </w:rPr>
        <w:t>if</w:t>
      </w:r>
      <w:r>
        <w:rPr>
          <w:rFonts w:ascii="Times New Roman"/>
          <w:color w:val="010202"/>
          <w:spacing w:val="-3"/>
        </w:rPr>
        <w:t> </w:t>
      </w:r>
      <w:r>
        <w:rPr>
          <w:rFonts w:ascii="Times New Roman"/>
          <w:color w:val="010202"/>
        </w:rPr>
        <w:t>the</w:t>
      </w:r>
      <w:r>
        <w:rPr>
          <w:rFonts w:ascii="Times New Roman"/>
          <w:color w:val="010202"/>
          <w:spacing w:val="-3"/>
        </w:rPr>
        <w:t> </w:t>
      </w:r>
      <w:r>
        <w:rPr>
          <w:rFonts w:ascii="Times New Roman"/>
          <w:color w:val="010202"/>
        </w:rPr>
        <w:t>purpose</w:t>
      </w:r>
      <w:r>
        <w:rPr>
          <w:rFonts w:ascii="Times New Roman"/>
          <w:color w:val="010202"/>
          <w:spacing w:val="-4"/>
        </w:rPr>
        <w:t> </w:t>
      </w:r>
      <w:r>
        <w:rPr>
          <w:rFonts w:ascii="Times New Roman"/>
          <w:color w:val="010202"/>
        </w:rPr>
        <w:t>of</w:t>
      </w:r>
      <w:r>
        <w:rPr>
          <w:rFonts w:ascii="Times New Roman"/>
          <w:color w:val="010202"/>
          <w:spacing w:val="-3"/>
        </w:rPr>
        <w:t> </w:t>
      </w:r>
      <w:r>
        <w:rPr>
          <w:rFonts w:ascii="Times New Roman"/>
          <w:color w:val="010202"/>
        </w:rPr>
        <w:t>the</w:t>
      </w:r>
      <w:r>
        <w:rPr>
          <w:rFonts w:ascii="Times New Roman"/>
          <w:color w:val="010202"/>
          <w:spacing w:val="-2"/>
        </w:rPr>
        <w:t> </w:t>
      </w:r>
      <w:r>
        <w:rPr>
          <w:rFonts w:ascii="Times New Roman"/>
          <w:color w:val="010202"/>
        </w:rPr>
        <w:t>data</w:t>
      </w:r>
      <w:r>
        <w:rPr>
          <w:rFonts w:ascii="Times New Roman"/>
          <w:color w:val="010202"/>
          <w:spacing w:val="-52"/>
        </w:rPr>
        <w:t> </w:t>
      </w:r>
      <w:r>
        <w:rPr>
          <w:rFonts w:ascii="Times New Roman"/>
          <w:color w:val="010202"/>
        </w:rPr>
        <w:t>collection</w:t>
      </w:r>
      <w:r>
        <w:rPr>
          <w:rFonts w:ascii="Times New Roman"/>
          <w:color w:val="010202"/>
          <w:spacing w:val="-2"/>
        </w:rPr>
        <w:t> </w:t>
      </w:r>
      <w:r>
        <w:rPr>
          <w:rFonts w:ascii="Times New Roman"/>
          <w:color w:val="010202"/>
        </w:rPr>
        <w:t>is</w:t>
      </w:r>
      <w:r>
        <w:rPr>
          <w:rFonts w:ascii="Times New Roman"/>
          <w:color w:val="010202"/>
          <w:spacing w:val="-2"/>
        </w:rPr>
        <w:t> </w:t>
      </w:r>
      <w:r>
        <w:rPr>
          <w:rFonts w:ascii="Times New Roman"/>
          <w:color w:val="010202"/>
        </w:rPr>
        <w:t>evaluation</w:t>
      </w:r>
      <w:r>
        <w:rPr>
          <w:rFonts w:ascii="Times New Roman"/>
          <w:color w:val="010202"/>
          <w:spacing w:val="-1"/>
        </w:rPr>
        <w:t> </w:t>
      </w:r>
      <w:r>
        <w:rPr>
          <w:rFonts w:ascii="Times New Roman"/>
          <w:color w:val="010202"/>
        </w:rPr>
        <w:t>or</w:t>
      </w:r>
      <w:r>
        <w:rPr>
          <w:rFonts w:ascii="Times New Roman"/>
          <w:color w:val="010202"/>
          <w:spacing w:val="-6"/>
        </w:rPr>
        <w:t> </w:t>
      </w:r>
      <w:r>
        <w:rPr>
          <w:rFonts w:ascii="Times New Roman"/>
          <w:color w:val="010202"/>
        </w:rPr>
        <w:t>research.</w:t>
      </w:r>
    </w:p>
    <w:p>
      <w:pPr>
        <w:pStyle w:val="BodyText"/>
        <w:spacing w:line="266" w:lineRule="auto" w:before="64"/>
        <w:ind w:left="879" w:right="187"/>
      </w:pPr>
      <w:r>
        <w:rPr>
          <w:color w:val="231F20"/>
        </w:rPr>
        <w:t>Qualitative and quantitative evaluation and</w:t>
      </w:r>
      <w:r>
        <w:rPr>
          <w:color w:val="231F20"/>
          <w:spacing w:val="1"/>
        </w:rPr>
        <w:t> </w:t>
      </w:r>
      <w:r>
        <w:rPr>
          <w:color w:val="231F20"/>
        </w:rPr>
        <w:t>research enables managers and clinicians to</w:t>
      </w:r>
      <w:r>
        <w:rPr>
          <w:color w:val="231F20"/>
          <w:spacing w:val="1"/>
        </w:rPr>
        <w:t> </w:t>
      </w:r>
      <w:r>
        <w:rPr>
          <w:color w:val="231F20"/>
        </w:rPr>
        <w:t>learn from clients and obtain the perspective of</w:t>
      </w:r>
      <w:r>
        <w:rPr>
          <w:color w:val="231F20"/>
          <w:spacing w:val="-52"/>
        </w:rPr>
        <w:t> </w:t>
      </w:r>
      <w:r>
        <w:rPr>
          <w:color w:val="231F20"/>
        </w:rPr>
        <w:t>those with lived experiences. Both evaluation</w:t>
      </w:r>
      <w:r>
        <w:rPr>
          <w:color w:val="231F20"/>
          <w:spacing w:val="1"/>
        </w:rPr>
        <w:t> </w:t>
      </w:r>
      <w:r>
        <w:rPr>
          <w:color w:val="231F20"/>
        </w:rPr>
        <w:t>and research can also involve collecting data</w:t>
      </w:r>
      <w:r>
        <w:rPr>
          <w:color w:val="231F20"/>
          <w:spacing w:val="1"/>
        </w:rPr>
        <w:t> </w:t>
      </w:r>
      <w:r>
        <w:rPr>
          <w:color w:val="231F20"/>
        </w:rPr>
        <w:t>from staff who deliver the new treatment to</w:t>
      </w:r>
      <w:r>
        <w:rPr>
          <w:color w:val="231F20"/>
          <w:spacing w:val="1"/>
        </w:rPr>
        <w:t> </w:t>
      </w:r>
      <w:r>
        <w:rPr>
          <w:color w:val="231F20"/>
        </w:rPr>
        <w:t>obtain their perspectives on facilitators and</w:t>
      </w:r>
      <w:r>
        <w:rPr>
          <w:color w:val="231F20"/>
          <w:spacing w:val="1"/>
        </w:rPr>
        <w:t> </w:t>
      </w:r>
      <w:r>
        <w:rPr>
          <w:color w:val="231F20"/>
        </w:rPr>
        <w:t>challenges to practice implementation.</w:t>
      </w:r>
    </w:p>
    <w:p>
      <w:pPr>
        <w:pStyle w:val="BodyText"/>
        <w:spacing w:line="266" w:lineRule="auto" w:before="174"/>
        <w:ind w:left="879" w:right="20"/>
      </w:pPr>
      <w:r>
        <w:rPr>
          <w:color w:val="231F20"/>
        </w:rPr>
        <w:t>Program evaluation supports program</w:t>
      </w:r>
      <w:r>
        <w:rPr>
          <w:color w:val="231F20"/>
          <w:spacing w:val="1"/>
        </w:rPr>
        <w:t> </w:t>
      </w:r>
      <w:r>
        <w:rPr>
          <w:color w:val="231F20"/>
        </w:rPr>
        <w:t>improvement. Research contributes to</w:t>
      </w:r>
      <w:r>
        <w:rPr>
          <w:color w:val="231F20"/>
          <w:spacing w:val="1"/>
        </w:rPr>
        <w:t> </w:t>
      </w:r>
      <w:r>
        <w:rPr>
          <w:color w:val="231F20"/>
          <w:spacing w:val="-3"/>
        </w:rPr>
        <w:t>generalizable knowledge by implementing </w:t>
      </w:r>
      <w:r>
        <w:rPr>
          <w:color w:val="231F20"/>
          <w:spacing w:val="-2"/>
        </w:rPr>
        <w:t>study</w:t>
      </w:r>
      <w:r>
        <w:rPr>
          <w:color w:val="231F20"/>
          <w:spacing w:val="-1"/>
        </w:rPr>
        <w:t> </w:t>
      </w:r>
      <w:r>
        <w:rPr>
          <w:color w:val="231F20"/>
          <w:spacing w:val="-4"/>
        </w:rPr>
        <w:t>protocols and </w:t>
      </w:r>
      <w:r>
        <w:rPr>
          <w:color w:val="231F20"/>
          <w:spacing w:val="-3"/>
        </w:rPr>
        <w:t>procedures approved by Institutional</w:t>
      </w:r>
      <w:r>
        <w:rPr>
          <w:color w:val="231F20"/>
          <w:spacing w:val="-53"/>
        </w:rPr>
        <w:t> </w:t>
      </w:r>
      <w:r>
        <w:rPr>
          <w:color w:val="231F20"/>
        </w:rPr>
        <w:t>Review Boards (IRB) that adhere to human</w:t>
      </w:r>
      <w:r>
        <w:rPr>
          <w:color w:val="231F20"/>
          <w:spacing w:val="1"/>
        </w:rPr>
        <w:t> </w:t>
      </w:r>
      <w:r>
        <w:rPr>
          <w:color w:val="231F20"/>
          <w:spacing w:val="-4"/>
        </w:rPr>
        <w:t>subject research protections. </w:t>
      </w:r>
      <w:r>
        <w:rPr>
          <w:color w:val="231F20"/>
          <w:spacing w:val="-3"/>
        </w:rPr>
        <w:t>When designing</w:t>
      </w:r>
      <w:r>
        <w:rPr>
          <w:color w:val="231F20"/>
          <w:spacing w:val="-2"/>
        </w:rPr>
        <w:t> </w:t>
      </w:r>
      <w:r>
        <w:rPr>
          <w:color w:val="231F20"/>
          <w:spacing w:val="-3"/>
        </w:rPr>
        <w:t>program evaluations, researchers should </w:t>
      </w:r>
      <w:r>
        <w:rPr>
          <w:color w:val="231F20"/>
          <w:spacing w:val="-2"/>
        </w:rPr>
        <w:t>consult</w:t>
      </w:r>
      <w:r>
        <w:rPr>
          <w:color w:val="231F20"/>
          <w:spacing w:val="-1"/>
        </w:rPr>
        <w:t> </w:t>
      </w:r>
      <w:r>
        <w:rPr>
          <w:color w:val="231F20"/>
          <w:spacing w:val="-3"/>
        </w:rPr>
        <w:t>with their institutions to ensure </w:t>
      </w:r>
      <w:r>
        <w:rPr>
          <w:color w:val="231F20"/>
          <w:spacing w:val="-2"/>
        </w:rPr>
        <w:t>they are following</w:t>
      </w:r>
      <w:r>
        <w:rPr>
          <w:color w:val="231F20"/>
          <w:spacing w:val="-52"/>
        </w:rPr>
        <w:t> </w:t>
      </w:r>
      <w:r>
        <w:rPr>
          <w:color w:val="231F20"/>
        </w:rPr>
        <w:t>appropriate</w:t>
      </w:r>
      <w:r>
        <w:rPr>
          <w:color w:val="231F20"/>
          <w:spacing w:val="-13"/>
        </w:rPr>
        <w:t> </w:t>
      </w:r>
      <w:r>
        <w:rPr>
          <w:color w:val="231F20"/>
        </w:rPr>
        <w:t>data</w:t>
      </w:r>
      <w:r>
        <w:rPr>
          <w:color w:val="231F20"/>
          <w:spacing w:val="-12"/>
        </w:rPr>
        <w:t> </w:t>
      </w:r>
      <w:r>
        <w:rPr>
          <w:color w:val="231F20"/>
        </w:rPr>
        <w:t>collection</w:t>
      </w:r>
      <w:r>
        <w:rPr>
          <w:color w:val="231F20"/>
          <w:spacing w:val="-12"/>
        </w:rPr>
        <w:t> </w:t>
      </w:r>
      <w:r>
        <w:rPr>
          <w:color w:val="231F20"/>
        </w:rPr>
        <w:t>procedures.</w:t>
      </w:r>
    </w:p>
    <w:p>
      <w:pPr>
        <w:pStyle w:val="Heading6"/>
        <w:numPr>
          <w:ilvl w:val="0"/>
          <w:numId w:val="28"/>
        </w:numPr>
        <w:tabs>
          <w:tab w:pos="880" w:val="left" w:leader="none"/>
        </w:tabs>
        <w:spacing w:line="249" w:lineRule="auto" w:before="157" w:after="0"/>
        <w:ind w:left="879" w:right="92" w:hanging="360"/>
        <w:jc w:val="left"/>
        <w:rPr>
          <w:rFonts w:ascii="Times New Roman"/>
        </w:rPr>
      </w:pPr>
      <w:r>
        <w:rPr>
          <w:rFonts w:ascii="Times New Roman"/>
          <w:color w:val="010202"/>
        </w:rPr>
        <w:t>Identify team members to conduct evaluation</w:t>
      </w:r>
      <w:r>
        <w:rPr>
          <w:rFonts w:ascii="Times New Roman"/>
          <w:color w:val="010202"/>
          <w:spacing w:val="-52"/>
        </w:rPr>
        <w:t> </w:t>
      </w:r>
      <w:r>
        <w:rPr>
          <w:rFonts w:ascii="Times New Roman"/>
          <w:color w:val="010202"/>
        </w:rPr>
        <w:t>activities.</w:t>
      </w:r>
    </w:p>
    <w:p>
      <w:pPr>
        <w:pStyle w:val="BodyText"/>
        <w:spacing w:before="64"/>
        <w:ind w:left="879"/>
      </w:pPr>
      <w:r>
        <w:rPr>
          <w:color w:val="231F20"/>
        </w:rPr>
        <w:t>Regardless of the type of evaluation conducted,</w:t>
      </w:r>
    </w:p>
    <w:p>
      <w:pPr>
        <w:pStyle w:val="BodyText"/>
        <w:spacing w:line="266" w:lineRule="auto" w:before="27"/>
        <w:ind w:left="879" w:right="278"/>
        <w:rPr>
          <w:b/>
        </w:rPr>
      </w:pPr>
      <w:r>
        <w:rPr>
          <w:color w:val="231F20"/>
        </w:rPr>
        <w:t>collecting and analyzing data takes time.</w:t>
      </w:r>
      <w:r>
        <w:rPr>
          <w:color w:val="231F20"/>
          <w:spacing w:val="1"/>
        </w:rPr>
        <w:t> </w:t>
      </w:r>
      <w:r>
        <w:rPr>
          <w:color w:val="231F20"/>
        </w:rPr>
        <w:t>Programs need to identify team members who</w:t>
      </w:r>
      <w:r>
        <w:rPr>
          <w:color w:val="231F20"/>
          <w:spacing w:val="-52"/>
        </w:rPr>
        <w:t> </w:t>
      </w:r>
      <w:r>
        <w:rPr>
          <w:color w:val="231F20"/>
        </w:rPr>
        <w:t>can conduct evaluation activities and secure</w:t>
      </w:r>
      <w:r>
        <w:rPr>
          <w:color w:val="231F20"/>
          <w:spacing w:val="1"/>
        </w:rPr>
        <w:t> </w:t>
      </w:r>
      <w:r>
        <w:rPr>
          <w:color w:val="231F20"/>
        </w:rPr>
        <w:t>funding to protect their time for evaluation</w:t>
      </w:r>
      <w:r>
        <w:rPr>
          <w:color w:val="231F20"/>
          <w:spacing w:val="1"/>
        </w:rPr>
        <w:t> </w:t>
      </w:r>
      <w:r>
        <w:rPr>
          <w:color w:val="231F20"/>
        </w:rPr>
        <w:t>trainings,</w:t>
      </w:r>
      <w:r>
        <w:rPr>
          <w:color w:val="231F20"/>
          <w:spacing w:val="-1"/>
        </w:rPr>
        <w:t> </w:t>
      </w:r>
      <w:r>
        <w:rPr>
          <w:color w:val="231F20"/>
        </w:rPr>
        <w:t>data collection, and data</w:t>
      </w:r>
      <w:r>
        <w:rPr>
          <w:color w:val="231F20"/>
          <w:spacing w:val="-1"/>
        </w:rPr>
        <w:t> </w:t>
      </w:r>
      <w:r>
        <w:rPr>
          <w:color w:val="231F20"/>
        </w:rPr>
        <w:t>analysis</w:t>
      </w:r>
      <w:r>
        <w:rPr>
          <w:b/>
          <w:color w:val="231F20"/>
        </w:rPr>
        <w:t>.</w:t>
      </w:r>
    </w:p>
    <w:p>
      <w:pPr>
        <w:pStyle w:val="Heading6"/>
        <w:numPr>
          <w:ilvl w:val="0"/>
          <w:numId w:val="28"/>
        </w:numPr>
        <w:tabs>
          <w:tab w:pos="880" w:val="left" w:leader="none"/>
        </w:tabs>
        <w:spacing w:line="240" w:lineRule="auto" w:before="160" w:after="0"/>
        <w:ind w:left="879" w:right="0" w:hanging="361"/>
        <w:jc w:val="left"/>
        <w:rPr>
          <w:rFonts w:ascii="Times New Roman"/>
        </w:rPr>
      </w:pPr>
      <w:r>
        <w:rPr>
          <w:rFonts w:ascii="Times New Roman"/>
          <w:color w:val="010202"/>
        </w:rPr>
        <w:t>Determine</w:t>
      </w:r>
      <w:r>
        <w:rPr>
          <w:rFonts w:ascii="Times New Roman"/>
          <w:color w:val="010202"/>
          <w:spacing w:val="-6"/>
        </w:rPr>
        <w:t> </w:t>
      </w:r>
      <w:r>
        <w:rPr>
          <w:rFonts w:ascii="Times New Roman"/>
          <w:color w:val="010202"/>
        </w:rPr>
        <w:t>outcomes</w:t>
      </w:r>
      <w:r>
        <w:rPr>
          <w:rFonts w:ascii="Times New Roman"/>
          <w:color w:val="010202"/>
          <w:spacing w:val="-4"/>
        </w:rPr>
        <w:t> </w:t>
      </w:r>
      <w:r>
        <w:rPr>
          <w:rFonts w:ascii="Times New Roman"/>
          <w:color w:val="010202"/>
        </w:rPr>
        <w:t>of</w:t>
      </w:r>
      <w:r>
        <w:rPr>
          <w:rFonts w:ascii="Times New Roman"/>
          <w:color w:val="010202"/>
          <w:spacing w:val="-4"/>
        </w:rPr>
        <w:t> </w:t>
      </w:r>
      <w:r>
        <w:rPr>
          <w:rFonts w:ascii="Times New Roman"/>
          <w:color w:val="010202"/>
        </w:rPr>
        <w:t>interest.</w:t>
      </w:r>
    </w:p>
    <w:p>
      <w:pPr>
        <w:pStyle w:val="BodyText"/>
        <w:spacing w:line="266" w:lineRule="auto" w:before="74"/>
        <w:ind w:left="879" w:right="29"/>
      </w:pPr>
      <w:r>
        <w:rPr>
          <w:color w:val="231F20"/>
          <w:spacing w:val="-3"/>
        </w:rPr>
        <w:t>A challenging step in the </w:t>
      </w:r>
      <w:r>
        <w:rPr>
          <w:color w:val="231F20"/>
          <w:spacing w:val="-2"/>
        </w:rPr>
        <w:t>process of implementing</w:t>
      </w:r>
      <w:r>
        <w:rPr>
          <w:color w:val="231F20"/>
          <w:spacing w:val="-52"/>
        </w:rPr>
        <w:t> </w:t>
      </w:r>
      <w:r>
        <w:rPr>
          <w:color w:val="231F20"/>
          <w:spacing w:val="-2"/>
        </w:rPr>
        <w:t>new</w:t>
      </w:r>
      <w:r>
        <w:rPr>
          <w:color w:val="231F20"/>
          <w:spacing w:val="-12"/>
        </w:rPr>
        <w:t> </w:t>
      </w:r>
      <w:r>
        <w:rPr>
          <w:color w:val="231F20"/>
          <w:spacing w:val="-2"/>
        </w:rPr>
        <w:t>practices</w:t>
      </w:r>
      <w:r>
        <w:rPr>
          <w:color w:val="231F20"/>
          <w:spacing w:val="-12"/>
        </w:rPr>
        <w:t> </w:t>
      </w:r>
      <w:r>
        <w:rPr>
          <w:color w:val="231F20"/>
          <w:spacing w:val="-1"/>
        </w:rPr>
        <w:t>is</w:t>
      </w:r>
      <w:r>
        <w:rPr>
          <w:color w:val="231F20"/>
          <w:spacing w:val="-11"/>
        </w:rPr>
        <w:t> </w:t>
      </w:r>
      <w:r>
        <w:rPr>
          <w:color w:val="231F20"/>
          <w:spacing w:val="-1"/>
        </w:rPr>
        <w:t>to</w:t>
      </w:r>
      <w:r>
        <w:rPr>
          <w:color w:val="231F20"/>
          <w:spacing w:val="-12"/>
        </w:rPr>
        <w:t> </w:t>
      </w:r>
      <w:r>
        <w:rPr>
          <w:color w:val="231F20"/>
          <w:spacing w:val="-1"/>
        </w:rPr>
        <w:t>determine</w:t>
      </w:r>
      <w:r>
        <w:rPr>
          <w:color w:val="231F20"/>
          <w:spacing w:val="-11"/>
        </w:rPr>
        <w:t> </w:t>
      </w:r>
      <w:r>
        <w:rPr>
          <w:color w:val="231F20"/>
          <w:spacing w:val="-1"/>
        </w:rPr>
        <w:t>whether</w:t>
      </w:r>
      <w:r>
        <w:rPr>
          <w:color w:val="231F20"/>
          <w:spacing w:val="-12"/>
        </w:rPr>
        <w:t> </w:t>
      </w:r>
      <w:r>
        <w:rPr>
          <w:color w:val="231F20"/>
          <w:spacing w:val="-1"/>
        </w:rPr>
        <w:t>the</w:t>
      </w:r>
      <w:r>
        <w:rPr>
          <w:color w:val="231F20"/>
          <w:spacing w:val="-12"/>
        </w:rPr>
        <w:t> </w:t>
      </w:r>
      <w:r>
        <w:rPr>
          <w:color w:val="231F20"/>
          <w:spacing w:val="-1"/>
        </w:rPr>
        <w:t>practice</w:t>
      </w:r>
    </w:p>
    <w:p>
      <w:pPr>
        <w:spacing w:line="240" w:lineRule="auto" w:before="0" w:after="24"/>
        <w:rPr>
          <w:sz w:val="10"/>
        </w:rPr>
      </w:pPr>
      <w:r>
        <w:rPr/>
        <w:br w:type="column"/>
      </w:r>
      <w:r>
        <w:rPr>
          <w:sz w:val="10"/>
        </w:rPr>
      </w:r>
    </w:p>
    <w:p>
      <w:pPr>
        <w:pStyle w:val="BodyText"/>
        <w:ind w:left="160"/>
        <w:rPr>
          <w:sz w:val="20"/>
        </w:rPr>
      </w:pPr>
      <w:r>
        <w:rPr>
          <w:sz w:val="20"/>
        </w:rPr>
        <w:pict>
          <v:group style="width:252.05pt;height:259.4pt;mso-position-horizontal-relative:char;mso-position-vertical-relative:line" id="docshapegroup199" coordorigin="0,0" coordsize="5041,5188">
            <v:shape style="position:absolute;left:0;top:0;width:5041;height:5188" id="docshape200" coordorigin="0,0" coordsize="5041,5188" path="m4951,0l90,0,55,7,26,26,7,55,0,90,0,5097,7,5132,26,5161,55,5180,90,5187,4951,5187,4986,5180,5015,5161,5034,5132,5041,5097,5041,90,5034,55,5015,26,4986,7,4951,0xe" filled="true" fillcolor="#f7e0e0" stroked="false">
              <v:path arrowok="t"/>
              <v:fill type="solid"/>
            </v:shape>
            <v:shape style="position:absolute;left:0;top:0;width:5041;height:5188" type="#_x0000_t202" id="docshape201" filled="false" stroked="false">
              <v:textbox inset="0,0,0,0">
                <w:txbxContent>
                  <w:p>
                    <w:pPr>
                      <w:spacing w:line="259" w:lineRule="auto" w:before="156"/>
                      <w:ind w:left="180" w:right="418" w:firstLine="0"/>
                      <w:jc w:val="left"/>
                      <w:rPr>
                        <w:rFonts w:ascii="Arial"/>
                        <w:sz w:val="21"/>
                      </w:rPr>
                    </w:pPr>
                    <w:r>
                      <w:rPr>
                        <w:rFonts w:ascii="Arial"/>
                        <w:b/>
                        <w:color w:val="CE384B"/>
                        <w:sz w:val="21"/>
                      </w:rPr>
                      <w:t>Qualitative and quantitative data </w:t>
                    </w:r>
                    <w:r>
                      <w:rPr>
                        <w:rFonts w:ascii="Arial"/>
                        <w:color w:val="010202"/>
                        <w:sz w:val="21"/>
                      </w:rPr>
                      <w:t>are</w:t>
                    </w:r>
                    <w:r>
                      <w:rPr>
                        <w:rFonts w:ascii="Arial"/>
                        <w:color w:val="010202"/>
                        <w:spacing w:val="1"/>
                        <w:sz w:val="21"/>
                      </w:rPr>
                      <w:t> </w:t>
                    </w:r>
                    <w:r>
                      <w:rPr>
                        <w:rFonts w:ascii="Arial"/>
                        <w:color w:val="010202"/>
                        <w:sz w:val="21"/>
                      </w:rPr>
                      <w:t>complementary. Each provides critical insight</w:t>
                    </w:r>
                    <w:r>
                      <w:rPr>
                        <w:rFonts w:ascii="Arial"/>
                        <w:color w:val="010202"/>
                        <w:spacing w:val="1"/>
                        <w:sz w:val="21"/>
                      </w:rPr>
                      <w:t> </w:t>
                    </w:r>
                    <w:r>
                      <w:rPr>
                        <w:rFonts w:ascii="Arial"/>
                        <w:color w:val="010202"/>
                        <w:sz w:val="21"/>
                      </w:rPr>
                      <w:t>into</w:t>
                    </w:r>
                    <w:r>
                      <w:rPr>
                        <w:rFonts w:ascii="Arial"/>
                        <w:color w:val="010202"/>
                        <w:spacing w:val="-5"/>
                        <w:sz w:val="21"/>
                      </w:rPr>
                      <w:t> </w:t>
                    </w:r>
                    <w:r>
                      <w:rPr>
                        <w:rFonts w:ascii="Arial"/>
                        <w:color w:val="010202"/>
                        <w:sz w:val="21"/>
                      </w:rPr>
                      <w:t>if</w:t>
                    </w:r>
                    <w:r>
                      <w:rPr>
                        <w:rFonts w:ascii="Arial"/>
                        <w:color w:val="010202"/>
                        <w:spacing w:val="-5"/>
                        <w:sz w:val="21"/>
                      </w:rPr>
                      <w:t> </w:t>
                    </w:r>
                    <w:r>
                      <w:rPr>
                        <w:rFonts w:ascii="Arial"/>
                        <w:color w:val="010202"/>
                        <w:sz w:val="21"/>
                      </w:rPr>
                      <w:t>and</w:t>
                    </w:r>
                    <w:r>
                      <w:rPr>
                        <w:rFonts w:ascii="Arial"/>
                        <w:color w:val="010202"/>
                        <w:spacing w:val="-4"/>
                        <w:sz w:val="21"/>
                      </w:rPr>
                      <w:t> </w:t>
                    </w:r>
                    <w:r>
                      <w:rPr>
                        <w:rFonts w:ascii="Arial"/>
                        <w:color w:val="010202"/>
                        <w:sz w:val="21"/>
                      </w:rPr>
                      <w:t>how</w:t>
                    </w:r>
                    <w:r>
                      <w:rPr>
                        <w:rFonts w:ascii="Arial"/>
                        <w:color w:val="010202"/>
                        <w:spacing w:val="-5"/>
                        <w:sz w:val="21"/>
                      </w:rPr>
                      <w:t> </w:t>
                    </w:r>
                    <w:r>
                      <w:rPr>
                        <w:rFonts w:ascii="Arial"/>
                        <w:color w:val="010202"/>
                        <w:sz w:val="21"/>
                      </w:rPr>
                      <w:t>the</w:t>
                    </w:r>
                    <w:r>
                      <w:rPr>
                        <w:rFonts w:ascii="Arial"/>
                        <w:color w:val="010202"/>
                        <w:spacing w:val="-3"/>
                        <w:sz w:val="21"/>
                      </w:rPr>
                      <w:t> </w:t>
                    </w:r>
                    <w:r>
                      <w:rPr>
                        <w:rFonts w:ascii="Arial"/>
                        <w:color w:val="010202"/>
                        <w:sz w:val="21"/>
                      </w:rPr>
                      <w:t>intervention</w:t>
                    </w:r>
                    <w:r>
                      <w:rPr>
                        <w:rFonts w:ascii="Arial"/>
                        <w:color w:val="010202"/>
                        <w:spacing w:val="-5"/>
                        <w:sz w:val="21"/>
                      </w:rPr>
                      <w:t> </w:t>
                    </w:r>
                    <w:r>
                      <w:rPr>
                        <w:rFonts w:ascii="Arial"/>
                        <w:color w:val="010202"/>
                        <w:sz w:val="21"/>
                      </w:rPr>
                      <w:t>is</w:t>
                    </w:r>
                    <w:r>
                      <w:rPr>
                        <w:rFonts w:ascii="Arial"/>
                        <w:color w:val="010202"/>
                        <w:spacing w:val="-5"/>
                        <w:sz w:val="21"/>
                      </w:rPr>
                      <w:t> </w:t>
                    </w:r>
                    <w:r>
                      <w:rPr>
                        <w:rFonts w:ascii="Arial"/>
                        <w:color w:val="010202"/>
                        <w:sz w:val="21"/>
                      </w:rPr>
                      <w:t>operating</w:t>
                    </w:r>
                    <w:r>
                      <w:rPr>
                        <w:rFonts w:ascii="Arial"/>
                        <w:color w:val="010202"/>
                        <w:spacing w:val="-4"/>
                        <w:sz w:val="21"/>
                      </w:rPr>
                      <w:t> </w:t>
                    </w:r>
                    <w:r>
                      <w:rPr>
                        <w:rFonts w:ascii="Arial"/>
                        <w:color w:val="010202"/>
                        <w:sz w:val="21"/>
                      </w:rPr>
                      <w:t>and</w:t>
                    </w:r>
                    <w:r>
                      <w:rPr>
                        <w:rFonts w:ascii="Arial"/>
                        <w:color w:val="010202"/>
                        <w:spacing w:val="-56"/>
                        <w:sz w:val="21"/>
                      </w:rPr>
                      <w:t> </w:t>
                    </w:r>
                    <w:r>
                      <w:rPr>
                        <w:rFonts w:ascii="Arial"/>
                        <w:color w:val="010202"/>
                        <w:sz w:val="21"/>
                      </w:rPr>
                      <w:t>achieving</w:t>
                    </w:r>
                    <w:r>
                      <w:rPr>
                        <w:rFonts w:ascii="Arial"/>
                        <w:color w:val="010202"/>
                        <w:spacing w:val="-3"/>
                        <w:sz w:val="21"/>
                      </w:rPr>
                      <w:t> </w:t>
                    </w:r>
                    <w:r>
                      <w:rPr>
                        <w:rFonts w:ascii="Arial"/>
                        <w:color w:val="010202"/>
                        <w:sz w:val="21"/>
                      </w:rPr>
                      <w:t>the</w:t>
                    </w:r>
                    <w:r>
                      <w:rPr>
                        <w:rFonts w:ascii="Arial"/>
                        <w:color w:val="010202"/>
                        <w:spacing w:val="-1"/>
                        <w:sz w:val="21"/>
                      </w:rPr>
                      <w:t> </w:t>
                    </w:r>
                    <w:r>
                      <w:rPr>
                        <w:rFonts w:ascii="Arial"/>
                        <w:color w:val="010202"/>
                        <w:sz w:val="21"/>
                      </w:rPr>
                      <w:t>intended</w:t>
                    </w:r>
                    <w:r>
                      <w:rPr>
                        <w:rFonts w:ascii="Arial"/>
                        <w:color w:val="010202"/>
                        <w:spacing w:val="-2"/>
                        <w:sz w:val="21"/>
                      </w:rPr>
                      <w:t> </w:t>
                    </w:r>
                    <w:r>
                      <w:rPr>
                        <w:rFonts w:ascii="Arial"/>
                        <w:color w:val="010202"/>
                        <w:sz w:val="21"/>
                      </w:rPr>
                      <w:t>objectives.</w:t>
                    </w:r>
                  </w:p>
                  <w:p>
                    <w:pPr>
                      <w:spacing w:line="259" w:lineRule="auto" w:before="176"/>
                      <w:ind w:left="180" w:right="598" w:firstLine="0"/>
                      <w:jc w:val="left"/>
                      <w:rPr>
                        <w:rFonts w:ascii="Arial"/>
                        <w:sz w:val="21"/>
                      </w:rPr>
                    </w:pPr>
                    <w:r>
                      <w:rPr>
                        <w:rFonts w:ascii="Arial"/>
                        <w:b/>
                        <w:color w:val="CE384B"/>
                        <w:sz w:val="21"/>
                      </w:rPr>
                      <w:t>Qualitative data </w:t>
                    </w:r>
                    <w:r>
                      <w:rPr>
                        <w:rFonts w:ascii="Arial"/>
                        <w:color w:val="010202"/>
                        <w:sz w:val="21"/>
                      </w:rPr>
                      <w:t>include any non-numeric,</w:t>
                    </w:r>
                    <w:r>
                      <w:rPr>
                        <w:rFonts w:ascii="Arial"/>
                        <w:color w:val="010202"/>
                        <w:spacing w:val="1"/>
                        <w:sz w:val="21"/>
                      </w:rPr>
                      <w:t> </w:t>
                    </w:r>
                    <w:r>
                      <w:rPr>
                        <w:rFonts w:ascii="Arial"/>
                        <w:color w:val="010202"/>
                        <w:sz w:val="21"/>
                      </w:rPr>
                      <w:t>text-based information, such as verbal, visual,</w:t>
                    </w:r>
                    <w:r>
                      <w:rPr>
                        <w:rFonts w:ascii="Arial"/>
                        <w:color w:val="010202"/>
                        <w:spacing w:val="-57"/>
                        <w:sz w:val="21"/>
                      </w:rPr>
                      <w:t> </w:t>
                    </w:r>
                    <w:r>
                      <w:rPr>
                        <w:rFonts w:ascii="Arial"/>
                        <w:color w:val="010202"/>
                        <w:sz w:val="21"/>
                      </w:rPr>
                      <w:t>or</w:t>
                    </w:r>
                    <w:r>
                      <w:rPr>
                        <w:rFonts w:ascii="Arial"/>
                        <w:color w:val="010202"/>
                        <w:spacing w:val="-3"/>
                        <w:sz w:val="21"/>
                      </w:rPr>
                      <w:t> </w:t>
                    </w:r>
                    <w:r>
                      <w:rPr>
                        <w:rFonts w:ascii="Arial"/>
                        <w:color w:val="010202"/>
                        <w:sz w:val="21"/>
                      </w:rPr>
                      <w:t>written</w:t>
                    </w:r>
                    <w:r>
                      <w:rPr>
                        <w:rFonts w:ascii="Arial"/>
                        <w:color w:val="010202"/>
                        <w:spacing w:val="-2"/>
                        <w:sz w:val="21"/>
                      </w:rPr>
                      <w:t> </w:t>
                    </w:r>
                    <w:r>
                      <w:rPr>
                        <w:rFonts w:ascii="Arial"/>
                        <w:color w:val="010202"/>
                        <w:sz w:val="21"/>
                      </w:rPr>
                      <w:t>data.</w:t>
                    </w:r>
                    <w:r>
                      <w:rPr>
                        <w:rFonts w:ascii="Arial"/>
                        <w:color w:val="010202"/>
                        <w:spacing w:val="-2"/>
                        <w:sz w:val="21"/>
                      </w:rPr>
                      <w:t> </w:t>
                    </w:r>
                    <w:r>
                      <w:rPr>
                        <w:rFonts w:ascii="Arial"/>
                        <w:color w:val="010202"/>
                        <w:sz w:val="21"/>
                      </w:rPr>
                      <w:t>Qualitative</w:t>
                    </w:r>
                    <w:r>
                      <w:rPr>
                        <w:rFonts w:ascii="Arial"/>
                        <w:color w:val="010202"/>
                        <w:spacing w:val="-1"/>
                        <w:sz w:val="21"/>
                      </w:rPr>
                      <w:t> </w:t>
                    </w:r>
                    <w:r>
                      <w:rPr>
                        <w:rFonts w:ascii="Arial"/>
                        <w:color w:val="010202"/>
                        <w:sz w:val="21"/>
                      </w:rPr>
                      <w:t>data</w:t>
                    </w:r>
                    <w:r>
                      <w:rPr>
                        <w:rFonts w:ascii="Arial"/>
                        <w:color w:val="010202"/>
                        <w:spacing w:val="-2"/>
                        <w:sz w:val="21"/>
                      </w:rPr>
                      <w:t> </w:t>
                    </w:r>
                    <w:r>
                      <w:rPr>
                        <w:rFonts w:ascii="Arial"/>
                        <w:color w:val="010202"/>
                        <w:sz w:val="21"/>
                      </w:rPr>
                      <w:t>collection</w:t>
                    </w:r>
                  </w:p>
                  <w:p>
                    <w:pPr>
                      <w:spacing w:line="259" w:lineRule="auto" w:before="0"/>
                      <w:ind w:left="180" w:right="91" w:firstLine="0"/>
                      <w:jc w:val="left"/>
                      <w:rPr>
                        <w:rFonts w:ascii="Arial"/>
                        <w:sz w:val="21"/>
                      </w:rPr>
                    </w:pPr>
                    <w:r>
                      <w:rPr>
                        <w:rFonts w:ascii="Arial"/>
                        <w:color w:val="010202"/>
                        <w:sz w:val="21"/>
                      </w:rPr>
                      <w:t>methods include interviews, focus groups, clinical</w:t>
                    </w:r>
                    <w:r>
                      <w:rPr>
                        <w:rFonts w:ascii="Arial"/>
                        <w:color w:val="010202"/>
                        <w:spacing w:val="-56"/>
                        <w:sz w:val="21"/>
                      </w:rPr>
                      <w:t> </w:t>
                    </w:r>
                    <w:r>
                      <w:rPr>
                        <w:rFonts w:ascii="Arial"/>
                        <w:color w:val="010202"/>
                        <w:sz w:val="21"/>
                      </w:rPr>
                      <w:t>observations,</w:t>
                    </w:r>
                    <w:r>
                      <w:rPr>
                        <w:rFonts w:ascii="Arial"/>
                        <w:color w:val="010202"/>
                        <w:spacing w:val="-7"/>
                        <w:sz w:val="21"/>
                      </w:rPr>
                      <w:t> </w:t>
                    </w:r>
                    <w:r>
                      <w:rPr>
                        <w:rFonts w:ascii="Arial"/>
                        <w:color w:val="010202"/>
                        <w:sz w:val="21"/>
                      </w:rPr>
                      <w:t>gathering</w:t>
                    </w:r>
                    <w:r>
                      <w:rPr>
                        <w:rFonts w:ascii="Arial"/>
                        <w:color w:val="010202"/>
                        <w:spacing w:val="-7"/>
                        <w:sz w:val="21"/>
                      </w:rPr>
                      <w:t> </w:t>
                    </w:r>
                    <w:r>
                      <w:rPr>
                        <w:rFonts w:ascii="Arial"/>
                        <w:color w:val="010202"/>
                        <w:sz w:val="21"/>
                      </w:rPr>
                      <w:t>data</w:t>
                    </w:r>
                    <w:r>
                      <w:rPr>
                        <w:rFonts w:ascii="Arial"/>
                        <w:color w:val="010202"/>
                        <w:spacing w:val="-7"/>
                        <w:sz w:val="21"/>
                      </w:rPr>
                      <w:t> </w:t>
                    </w:r>
                    <w:r>
                      <w:rPr>
                        <w:rFonts w:ascii="Arial"/>
                        <w:color w:val="010202"/>
                        <w:sz w:val="21"/>
                      </w:rPr>
                      <w:t>from</w:t>
                    </w:r>
                    <w:r>
                      <w:rPr>
                        <w:rFonts w:ascii="Arial"/>
                        <w:color w:val="010202"/>
                        <w:spacing w:val="-7"/>
                        <w:sz w:val="21"/>
                      </w:rPr>
                      <w:t> </w:t>
                    </w:r>
                    <w:r>
                      <w:rPr>
                        <w:rFonts w:ascii="Arial"/>
                        <w:color w:val="010202"/>
                        <w:sz w:val="21"/>
                      </w:rPr>
                      <w:t>documents</w:t>
                    </w:r>
                    <w:r>
                      <w:rPr>
                        <w:rFonts w:ascii="Arial"/>
                        <w:color w:val="010202"/>
                        <w:spacing w:val="-7"/>
                        <w:sz w:val="21"/>
                      </w:rPr>
                      <w:t> </w:t>
                    </w:r>
                    <w:r>
                      <w:rPr>
                        <w:rFonts w:ascii="Arial"/>
                        <w:color w:val="010202"/>
                        <w:sz w:val="21"/>
                      </w:rPr>
                      <w:t>and</w:t>
                    </w:r>
                    <w:r>
                      <w:rPr>
                        <w:rFonts w:ascii="Arial"/>
                        <w:color w:val="010202"/>
                        <w:spacing w:val="-56"/>
                        <w:sz w:val="21"/>
                      </w:rPr>
                      <w:t> </w:t>
                    </w:r>
                    <w:r>
                      <w:rPr>
                        <w:rFonts w:ascii="Arial"/>
                        <w:color w:val="010202"/>
                        <w:sz w:val="21"/>
                      </w:rPr>
                      <w:t>images, and open-ended survey questions and</w:t>
                    </w:r>
                    <w:r>
                      <w:rPr>
                        <w:rFonts w:ascii="Arial"/>
                        <w:color w:val="010202"/>
                        <w:spacing w:val="1"/>
                        <w:sz w:val="21"/>
                      </w:rPr>
                      <w:t> </w:t>
                    </w:r>
                    <w:r>
                      <w:rPr>
                        <w:rFonts w:ascii="Arial"/>
                        <w:color w:val="010202"/>
                        <w:sz w:val="21"/>
                      </w:rPr>
                      <w:t>polling</w:t>
                    </w:r>
                    <w:r>
                      <w:rPr>
                        <w:rFonts w:ascii="Arial"/>
                        <w:color w:val="010202"/>
                        <w:spacing w:val="-2"/>
                        <w:sz w:val="21"/>
                      </w:rPr>
                      <w:t> </w:t>
                    </w:r>
                    <w:r>
                      <w:rPr>
                        <w:rFonts w:ascii="Arial"/>
                        <w:color w:val="010202"/>
                        <w:sz w:val="21"/>
                      </w:rPr>
                      <w:t>responses.</w:t>
                    </w:r>
                  </w:p>
                  <w:p>
                    <w:pPr>
                      <w:spacing w:line="259" w:lineRule="auto" w:before="175"/>
                      <w:ind w:left="180" w:right="447" w:firstLine="0"/>
                      <w:jc w:val="left"/>
                      <w:rPr>
                        <w:rFonts w:ascii="Arial"/>
                        <w:sz w:val="21"/>
                      </w:rPr>
                    </w:pPr>
                    <w:r>
                      <w:rPr>
                        <w:rFonts w:ascii="Arial"/>
                        <w:b/>
                        <w:color w:val="CE384B"/>
                        <w:sz w:val="21"/>
                      </w:rPr>
                      <w:t>Quantitative data </w:t>
                    </w:r>
                    <w:r>
                      <w:rPr>
                        <w:rFonts w:ascii="Arial"/>
                        <w:color w:val="010202"/>
                        <w:sz w:val="21"/>
                      </w:rPr>
                      <w:t>are any numeric data that</w:t>
                    </w:r>
                    <w:r>
                      <w:rPr>
                        <w:rFonts w:ascii="Arial"/>
                        <w:color w:val="010202"/>
                        <w:spacing w:val="1"/>
                        <w:sz w:val="21"/>
                      </w:rPr>
                      <w:t> </w:t>
                    </w:r>
                    <w:r>
                      <w:rPr>
                        <w:rFonts w:ascii="Arial"/>
                        <w:color w:val="010202"/>
                        <w:sz w:val="21"/>
                      </w:rPr>
                      <w:t>can</w:t>
                    </w:r>
                    <w:r>
                      <w:rPr>
                        <w:rFonts w:ascii="Arial"/>
                        <w:color w:val="010202"/>
                        <w:spacing w:val="-2"/>
                        <w:sz w:val="21"/>
                      </w:rPr>
                      <w:t> </w:t>
                    </w:r>
                    <w:r>
                      <w:rPr>
                        <w:rFonts w:ascii="Arial"/>
                        <w:color w:val="010202"/>
                        <w:sz w:val="21"/>
                      </w:rPr>
                      <w:t>be</w:t>
                    </w:r>
                    <w:r>
                      <w:rPr>
                        <w:rFonts w:ascii="Arial"/>
                        <w:color w:val="010202"/>
                        <w:spacing w:val="-3"/>
                        <w:sz w:val="21"/>
                      </w:rPr>
                      <w:t> </w:t>
                    </w:r>
                    <w:r>
                      <w:rPr>
                        <w:rFonts w:ascii="Arial"/>
                        <w:color w:val="010202"/>
                        <w:sz w:val="21"/>
                      </w:rPr>
                      <w:t>processed</w:t>
                    </w:r>
                    <w:r>
                      <w:rPr>
                        <w:rFonts w:ascii="Arial"/>
                        <w:color w:val="010202"/>
                        <w:spacing w:val="-3"/>
                        <w:sz w:val="21"/>
                      </w:rPr>
                      <w:t> </w:t>
                    </w:r>
                    <w:r>
                      <w:rPr>
                        <w:rFonts w:ascii="Arial"/>
                        <w:color w:val="010202"/>
                        <w:sz w:val="21"/>
                      </w:rPr>
                      <w:t>by</w:t>
                    </w:r>
                    <w:r>
                      <w:rPr>
                        <w:rFonts w:ascii="Arial"/>
                        <w:color w:val="010202"/>
                        <w:spacing w:val="-2"/>
                        <w:sz w:val="21"/>
                      </w:rPr>
                      <w:t> </w:t>
                    </w:r>
                    <w:r>
                      <w:rPr>
                        <w:rFonts w:ascii="Arial"/>
                        <w:color w:val="010202"/>
                        <w:sz w:val="21"/>
                      </w:rPr>
                      <w:t>mathematical</w:t>
                    </w:r>
                    <w:r>
                      <w:rPr>
                        <w:rFonts w:ascii="Arial"/>
                        <w:color w:val="010202"/>
                        <w:spacing w:val="-2"/>
                        <w:sz w:val="21"/>
                      </w:rPr>
                      <w:t> </w:t>
                    </w:r>
                    <w:r>
                      <w:rPr>
                        <w:rFonts w:ascii="Arial"/>
                        <w:color w:val="010202"/>
                        <w:sz w:val="21"/>
                      </w:rPr>
                      <w:t>or</w:t>
                    </w:r>
                    <w:r>
                      <w:rPr>
                        <w:rFonts w:ascii="Arial"/>
                        <w:color w:val="010202"/>
                        <w:spacing w:val="-3"/>
                        <w:sz w:val="21"/>
                      </w:rPr>
                      <w:t> </w:t>
                    </w:r>
                    <w:r>
                      <w:rPr>
                        <w:rFonts w:ascii="Arial"/>
                        <w:color w:val="010202"/>
                        <w:sz w:val="21"/>
                      </w:rPr>
                      <w:t>statistical</w:t>
                    </w:r>
                    <w:r>
                      <w:rPr>
                        <w:rFonts w:ascii="Arial"/>
                        <w:color w:val="010202"/>
                        <w:spacing w:val="-56"/>
                        <w:sz w:val="21"/>
                      </w:rPr>
                      <w:t> </w:t>
                    </w:r>
                    <w:r>
                      <w:rPr>
                        <w:rFonts w:ascii="Arial"/>
                        <w:color w:val="010202"/>
                        <w:sz w:val="21"/>
                      </w:rPr>
                      <w:t>analysis. Quantitative data collection includes</w:t>
                    </w:r>
                    <w:r>
                      <w:rPr>
                        <w:rFonts w:ascii="Arial"/>
                        <w:color w:val="010202"/>
                        <w:spacing w:val="1"/>
                        <w:sz w:val="21"/>
                      </w:rPr>
                      <w:t> </w:t>
                    </w:r>
                    <w:r>
                      <w:rPr>
                        <w:rFonts w:ascii="Arial"/>
                        <w:color w:val="010202"/>
                        <w:sz w:val="21"/>
                      </w:rPr>
                      <w:t>close-ended survey questions and polling</w:t>
                    </w:r>
                    <w:r>
                      <w:rPr>
                        <w:rFonts w:ascii="Arial"/>
                        <w:color w:val="010202"/>
                        <w:spacing w:val="1"/>
                        <w:sz w:val="21"/>
                      </w:rPr>
                      <w:t> </w:t>
                    </w:r>
                    <w:r>
                      <w:rPr>
                        <w:rFonts w:ascii="Arial"/>
                        <w:color w:val="010202"/>
                        <w:sz w:val="21"/>
                      </w:rPr>
                      <w:t>responses, services and utilization data, and</w:t>
                    </w:r>
                    <w:r>
                      <w:rPr>
                        <w:rFonts w:ascii="Arial"/>
                        <w:color w:val="010202"/>
                        <w:spacing w:val="1"/>
                        <w:sz w:val="21"/>
                      </w:rPr>
                      <w:t> </w:t>
                    </w:r>
                    <w:r>
                      <w:rPr>
                        <w:rFonts w:ascii="Arial"/>
                        <w:color w:val="010202"/>
                        <w:sz w:val="21"/>
                      </w:rPr>
                      <w:t>claims</w:t>
                    </w:r>
                    <w:r>
                      <w:rPr>
                        <w:rFonts w:ascii="Arial"/>
                        <w:color w:val="010202"/>
                        <w:spacing w:val="-1"/>
                        <w:sz w:val="21"/>
                      </w:rPr>
                      <w:t> </w:t>
                    </w:r>
                    <w:r>
                      <w:rPr>
                        <w:rFonts w:ascii="Arial"/>
                        <w:color w:val="010202"/>
                        <w:sz w:val="21"/>
                      </w:rPr>
                      <w:t>and</w:t>
                    </w:r>
                    <w:r>
                      <w:rPr>
                        <w:rFonts w:ascii="Arial"/>
                        <w:color w:val="010202"/>
                        <w:spacing w:val="-1"/>
                        <w:sz w:val="21"/>
                      </w:rPr>
                      <w:t> </w:t>
                    </w:r>
                    <w:r>
                      <w:rPr>
                        <w:rFonts w:ascii="Arial"/>
                        <w:color w:val="010202"/>
                        <w:sz w:val="21"/>
                      </w:rPr>
                      <w:t>encounter</w:t>
                    </w:r>
                    <w:r>
                      <w:rPr>
                        <w:rFonts w:ascii="Arial"/>
                        <w:color w:val="010202"/>
                        <w:spacing w:val="-2"/>
                        <w:sz w:val="21"/>
                      </w:rPr>
                      <w:t> </w:t>
                    </w:r>
                    <w:r>
                      <w:rPr>
                        <w:rFonts w:ascii="Arial"/>
                        <w:color w:val="010202"/>
                        <w:sz w:val="21"/>
                      </w:rPr>
                      <w:t>data.</w:t>
                    </w:r>
                  </w:p>
                </w:txbxContent>
              </v:textbox>
              <w10:wrap type="none"/>
            </v:shape>
          </v:group>
        </w:pict>
      </w:r>
      <w:r>
        <w:rPr>
          <w:sz w:val="20"/>
        </w:rPr>
      </w:r>
    </w:p>
    <w:p>
      <w:pPr>
        <w:pStyle w:val="BodyText"/>
        <w:spacing w:before="7"/>
        <w:rPr>
          <w:sz w:val="23"/>
        </w:rPr>
      </w:pPr>
    </w:p>
    <w:p>
      <w:pPr>
        <w:pStyle w:val="BodyText"/>
        <w:spacing w:line="266" w:lineRule="auto"/>
        <w:ind w:left="879" w:right="844"/>
      </w:pPr>
      <w:r>
        <w:rPr>
          <w:color w:val="231F20"/>
          <w:spacing w:val="-3"/>
        </w:rPr>
        <w:t>has yielded desired outcomes. </w:t>
      </w:r>
      <w:r>
        <w:rPr>
          <w:color w:val="231F20"/>
          <w:spacing w:val="-2"/>
        </w:rPr>
        <w:t>An outcome is the</w:t>
      </w:r>
      <w:r>
        <w:rPr>
          <w:color w:val="231F20"/>
          <w:spacing w:val="-52"/>
        </w:rPr>
        <w:t> </w:t>
      </w:r>
      <w:r>
        <w:rPr>
          <w:color w:val="231F20"/>
          <w:spacing w:val="-1"/>
        </w:rPr>
        <w:t>change a program hopes to accomplish </w:t>
      </w:r>
      <w:r>
        <w:rPr>
          <w:color w:val="231F20"/>
        </w:rPr>
        <w:t>through</w:t>
      </w:r>
      <w:r>
        <w:rPr>
          <w:color w:val="231F20"/>
          <w:spacing w:val="1"/>
        </w:rPr>
        <w:t> </w:t>
      </w:r>
      <w:r>
        <w:rPr>
          <w:color w:val="231F20"/>
        </w:rPr>
        <w:t>the</w:t>
      </w:r>
      <w:r>
        <w:rPr>
          <w:color w:val="231F20"/>
          <w:spacing w:val="-8"/>
        </w:rPr>
        <w:t> </w:t>
      </w:r>
      <w:r>
        <w:rPr>
          <w:color w:val="231F20"/>
        </w:rPr>
        <w:t>implementation</w:t>
      </w:r>
      <w:r>
        <w:rPr>
          <w:color w:val="231F20"/>
          <w:spacing w:val="-7"/>
        </w:rPr>
        <w:t> </w:t>
      </w:r>
      <w:r>
        <w:rPr>
          <w:color w:val="231F20"/>
        </w:rPr>
        <w:t>of</w:t>
      </w:r>
      <w:r>
        <w:rPr>
          <w:color w:val="231F20"/>
          <w:spacing w:val="-8"/>
        </w:rPr>
        <w:t> </w:t>
      </w:r>
      <w:r>
        <w:rPr>
          <w:color w:val="231F20"/>
        </w:rPr>
        <w:t>a</w:t>
      </w:r>
      <w:r>
        <w:rPr>
          <w:color w:val="231F20"/>
          <w:spacing w:val="-7"/>
        </w:rPr>
        <w:t> </w:t>
      </w:r>
      <w:r>
        <w:rPr>
          <w:color w:val="231F20"/>
        </w:rPr>
        <w:t>practice.</w:t>
      </w:r>
    </w:p>
    <w:p>
      <w:pPr>
        <w:pStyle w:val="Heading2"/>
        <w:spacing w:before="138"/>
      </w:pPr>
      <w:r>
        <w:rPr>
          <w:color w:val="1C384B"/>
        </w:rPr>
        <w:t>Outcomes</w:t>
      </w:r>
    </w:p>
    <w:p>
      <w:pPr>
        <w:pStyle w:val="BodyText"/>
        <w:spacing w:line="266" w:lineRule="auto" w:before="86"/>
        <w:ind w:left="160" w:right="744"/>
      </w:pPr>
      <w:r>
        <w:rPr>
          <w:color w:val="231F20"/>
        </w:rPr>
        <w:t>The table below provides a list of potential outcomes,</w:t>
      </w:r>
      <w:r>
        <w:rPr>
          <w:color w:val="231F20"/>
          <w:spacing w:val="1"/>
        </w:rPr>
        <w:t> </w:t>
      </w:r>
      <w:r>
        <w:rPr>
          <w:color w:val="231F20"/>
        </w:rPr>
        <w:t>example outcome indicators, and qualitative and</w:t>
      </w:r>
      <w:r>
        <w:rPr>
          <w:color w:val="231F20"/>
          <w:spacing w:val="1"/>
        </w:rPr>
        <w:t> </w:t>
      </w:r>
      <w:r>
        <w:rPr>
          <w:color w:val="231F20"/>
        </w:rPr>
        <w:t>quantitative data sources that program managers,</w:t>
      </w:r>
      <w:r>
        <w:rPr>
          <w:color w:val="231F20"/>
          <w:spacing w:val="1"/>
        </w:rPr>
        <w:t> </w:t>
      </w:r>
      <w:r>
        <w:rPr>
          <w:color w:val="231F20"/>
        </w:rPr>
        <w:t>clinicians, and others may use to evaluate practices</w:t>
      </w:r>
      <w:r>
        <w:rPr>
          <w:color w:val="231F20"/>
          <w:spacing w:val="1"/>
        </w:rPr>
        <w:t> </w:t>
      </w:r>
      <w:r>
        <w:rPr>
          <w:color w:val="231F20"/>
        </w:rPr>
        <w:t>identified in Chapter 2. Some of the short- and</w:t>
      </w:r>
      <w:r>
        <w:rPr>
          <w:color w:val="231F20"/>
          <w:spacing w:val="1"/>
        </w:rPr>
        <w:t> </w:t>
      </w:r>
      <w:r>
        <w:rPr>
          <w:color w:val="231F20"/>
        </w:rPr>
        <w:t>intermediate-term outcomes may be tracked at baseline</w:t>
      </w:r>
      <w:r>
        <w:rPr>
          <w:color w:val="231F20"/>
          <w:spacing w:val="1"/>
        </w:rPr>
        <w:t> </w:t>
      </w:r>
      <w:r>
        <w:rPr>
          <w:color w:val="231F20"/>
        </w:rPr>
        <w:t>and throughout the practice or program duration through</w:t>
      </w:r>
      <w:r>
        <w:rPr>
          <w:color w:val="231F20"/>
          <w:spacing w:val="-52"/>
        </w:rPr>
        <w:t> </w:t>
      </w:r>
      <w:r>
        <w:rPr>
          <w:color w:val="231F20"/>
        </w:rPr>
        <w:t>an electronic health record, or through interviews with</w:t>
      </w:r>
      <w:r>
        <w:rPr>
          <w:color w:val="231F20"/>
          <w:spacing w:val="1"/>
        </w:rPr>
        <w:t> </w:t>
      </w:r>
      <w:r>
        <w:rPr>
          <w:color w:val="231F20"/>
        </w:rPr>
        <w:t>staff</w:t>
      </w:r>
      <w:r>
        <w:rPr>
          <w:color w:val="231F20"/>
          <w:spacing w:val="-4"/>
        </w:rPr>
        <w:t> </w:t>
      </w:r>
      <w:r>
        <w:rPr>
          <w:color w:val="231F20"/>
        </w:rPr>
        <w:t>and</w:t>
      </w:r>
      <w:r>
        <w:rPr>
          <w:color w:val="231F20"/>
          <w:spacing w:val="-3"/>
        </w:rPr>
        <w:t> </w:t>
      </w:r>
      <w:r>
        <w:rPr>
          <w:color w:val="231F20"/>
        </w:rPr>
        <w:t>clients.</w:t>
      </w:r>
      <w:r>
        <w:rPr>
          <w:color w:val="231F20"/>
          <w:spacing w:val="-4"/>
        </w:rPr>
        <w:t> </w:t>
      </w:r>
      <w:r>
        <w:rPr>
          <w:color w:val="231F20"/>
        </w:rPr>
        <w:t>Longer-term</w:t>
      </w:r>
      <w:r>
        <w:rPr>
          <w:color w:val="231F20"/>
          <w:spacing w:val="-3"/>
        </w:rPr>
        <w:t> </w:t>
      </w:r>
      <w:r>
        <w:rPr>
          <w:color w:val="231F20"/>
        </w:rPr>
        <w:t>outcomes</w:t>
      </w:r>
      <w:r>
        <w:rPr>
          <w:color w:val="231F20"/>
          <w:spacing w:val="-3"/>
        </w:rPr>
        <w:t> </w:t>
      </w:r>
      <w:r>
        <w:rPr>
          <w:color w:val="231F20"/>
        </w:rPr>
        <w:t>may</w:t>
      </w:r>
      <w:r>
        <w:rPr>
          <w:color w:val="231F20"/>
          <w:spacing w:val="-4"/>
        </w:rPr>
        <w:t> </w:t>
      </w:r>
      <w:r>
        <w:rPr>
          <w:color w:val="231F20"/>
        </w:rPr>
        <w:t>be</w:t>
      </w:r>
      <w:r>
        <w:rPr>
          <w:color w:val="231F20"/>
          <w:spacing w:val="-3"/>
        </w:rPr>
        <w:t> </w:t>
      </w:r>
      <w:r>
        <w:rPr>
          <w:color w:val="231F20"/>
        </w:rPr>
        <w:t>obtained</w:t>
      </w:r>
      <w:r>
        <w:rPr>
          <w:color w:val="231F20"/>
          <w:spacing w:val="-52"/>
        </w:rPr>
        <w:t> </w:t>
      </w:r>
      <w:r>
        <w:rPr>
          <w:color w:val="231F20"/>
        </w:rPr>
        <w:t>from</w:t>
      </w:r>
      <w:r>
        <w:rPr>
          <w:color w:val="231F20"/>
          <w:spacing w:val="-1"/>
        </w:rPr>
        <w:t> </w:t>
      </w:r>
      <w:r>
        <w:rPr>
          <w:color w:val="231F20"/>
        </w:rPr>
        <w:t>administrative and survey</w:t>
      </w:r>
      <w:r>
        <w:rPr>
          <w:color w:val="231F20"/>
          <w:spacing w:val="-1"/>
        </w:rPr>
        <w:t> </w:t>
      </w:r>
      <w:r>
        <w:rPr>
          <w:color w:val="231F20"/>
        </w:rPr>
        <w:t>data.</w:t>
      </w:r>
    </w:p>
    <w:p>
      <w:pPr>
        <w:spacing w:after="0" w:line="266" w:lineRule="auto"/>
        <w:sectPr>
          <w:type w:val="continuous"/>
          <w:pgSz w:w="12240" w:h="15840"/>
          <w:pgMar w:header="0" w:footer="587" w:top="1500" w:bottom="0" w:left="560" w:right="0"/>
          <w:cols w:num="2" w:equalWidth="0">
            <w:col w:w="5234" w:space="525"/>
            <w:col w:w="5921"/>
          </w:cols>
        </w:sectPr>
      </w:pPr>
    </w:p>
    <w:p>
      <w:pPr>
        <w:pStyle w:val="BodyText"/>
        <w:spacing w:before="2"/>
        <w:rPr>
          <w:sz w:val="21"/>
        </w:rPr>
      </w:pPr>
    </w:p>
    <w:p>
      <w:pPr>
        <w:pStyle w:val="BodyText"/>
        <w:ind w:left="160"/>
        <w:rPr>
          <w:sz w:val="20"/>
        </w:rPr>
      </w:pPr>
      <w:r>
        <w:rPr>
          <w:sz w:val="20"/>
        </w:rPr>
        <w:drawing>
          <wp:inline distT="0" distB="0" distL="0" distR="0">
            <wp:extent cx="6661997" cy="2078736"/>
            <wp:effectExtent l="0" t="0" r="0" b="0"/>
            <wp:docPr id="97" name="image40.jpeg"/>
            <wp:cNvGraphicFramePr>
              <a:graphicFrameLocks noChangeAspect="1"/>
            </wp:cNvGraphicFramePr>
            <a:graphic>
              <a:graphicData uri="http://schemas.openxmlformats.org/drawingml/2006/picture">
                <pic:pic>
                  <pic:nvPicPr>
                    <pic:cNvPr id="98" name="image40.jpeg"/>
                    <pic:cNvPicPr/>
                  </pic:nvPicPr>
                  <pic:blipFill>
                    <a:blip r:embed="rId362" cstate="print"/>
                    <a:stretch>
                      <a:fillRect/>
                    </a:stretch>
                  </pic:blipFill>
                  <pic:spPr>
                    <a:xfrm>
                      <a:off x="0" y="0"/>
                      <a:ext cx="6661997" cy="2078736"/>
                    </a:xfrm>
                    <a:prstGeom prst="rect">
                      <a:avLst/>
                    </a:prstGeom>
                  </pic:spPr>
                </pic:pic>
              </a:graphicData>
            </a:graphic>
          </wp:inline>
        </w:drawing>
      </w:r>
      <w:r>
        <w:rPr>
          <w:sz w:val="20"/>
        </w:rPr>
      </w:r>
    </w:p>
    <w:p>
      <w:pPr>
        <w:spacing w:after="0"/>
        <w:rPr>
          <w:sz w:val="20"/>
        </w:rPr>
        <w:sectPr>
          <w:type w:val="continuous"/>
          <w:pgSz w:w="12240" w:h="15840"/>
          <w:pgMar w:header="0" w:footer="587" w:top="1500" w:bottom="0" w:left="560" w:right="0"/>
        </w:sectPr>
      </w:pPr>
    </w:p>
    <w:p>
      <w:pPr>
        <w:pStyle w:val="BodyText"/>
        <w:rPr>
          <w:sz w:val="20"/>
        </w:rPr>
      </w:pPr>
    </w:p>
    <w:p>
      <w:pPr>
        <w:pStyle w:val="BodyText"/>
        <w:rPr>
          <w:sz w:val="20"/>
        </w:rPr>
      </w:pPr>
    </w:p>
    <w:p>
      <w:pPr>
        <w:pStyle w:val="BodyText"/>
        <w:spacing w:before="7" w:after="1"/>
        <w:rPr>
          <w:sz w:val="19"/>
        </w:rPr>
      </w:pPr>
    </w:p>
    <w:tbl>
      <w:tblPr>
        <w:tblW w:w="0" w:type="auto"/>
        <w:jc w:val="left"/>
        <w:tblInd w:w="18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982"/>
        <w:gridCol w:w="1000"/>
        <w:gridCol w:w="3850"/>
        <w:gridCol w:w="3951"/>
      </w:tblGrid>
      <w:tr>
        <w:trPr>
          <w:trHeight w:val="285" w:hRule="atLeast"/>
        </w:trPr>
        <w:tc>
          <w:tcPr>
            <w:tcW w:w="1982" w:type="dxa"/>
            <w:shd w:val="clear" w:color="auto" w:fill="CE372D"/>
          </w:tcPr>
          <w:p>
            <w:pPr>
              <w:pStyle w:val="TableParagraph"/>
              <w:spacing w:before="28"/>
              <w:ind w:left="590"/>
              <w:rPr>
                <w:sz w:val="20"/>
              </w:rPr>
            </w:pPr>
            <w:r>
              <w:rPr>
                <w:color w:val="FFFFFF"/>
                <w:sz w:val="20"/>
              </w:rPr>
              <w:t>Outcome</w:t>
            </w:r>
          </w:p>
        </w:tc>
        <w:tc>
          <w:tcPr>
            <w:tcW w:w="1000" w:type="dxa"/>
            <w:shd w:val="clear" w:color="auto" w:fill="CE372D"/>
          </w:tcPr>
          <w:p>
            <w:pPr>
              <w:pStyle w:val="TableParagraph"/>
              <w:spacing w:before="28"/>
              <w:ind w:left="137"/>
              <w:rPr>
                <w:sz w:val="20"/>
              </w:rPr>
            </w:pPr>
            <w:r>
              <w:rPr>
                <w:color w:val="FFFFFF"/>
                <w:sz w:val="20"/>
              </w:rPr>
              <w:t>Practice</w:t>
            </w:r>
          </w:p>
        </w:tc>
        <w:tc>
          <w:tcPr>
            <w:tcW w:w="3850" w:type="dxa"/>
            <w:shd w:val="clear" w:color="auto" w:fill="CE372D"/>
          </w:tcPr>
          <w:p>
            <w:pPr>
              <w:pStyle w:val="TableParagraph"/>
              <w:spacing w:before="28"/>
              <w:ind w:left="1006"/>
              <w:rPr>
                <w:sz w:val="20"/>
              </w:rPr>
            </w:pPr>
            <w:r>
              <w:rPr>
                <w:color w:val="FFFFFF"/>
                <w:sz w:val="20"/>
              </w:rPr>
              <w:t>Illustrative Indicators</w:t>
            </w:r>
          </w:p>
        </w:tc>
        <w:tc>
          <w:tcPr>
            <w:tcW w:w="3951" w:type="dxa"/>
            <w:shd w:val="clear" w:color="auto" w:fill="CE372D"/>
          </w:tcPr>
          <w:p>
            <w:pPr>
              <w:pStyle w:val="TableParagraph"/>
              <w:spacing w:before="28"/>
              <w:ind w:left="889"/>
              <w:rPr>
                <w:sz w:val="20"/>
              </w:rPr>
            </w:pPr>
            <w:r>
              <w:rPr>
                <w:color w:val="FFFFFF"/>
                <w:sz w:val="20"/>
              </w:rPr>
              <w:t>Illustrative</w:t>
            </w:r>
            <w:r>
              <w:rPr>
                <w:color w:val="FFFFFF"/>
                <w:spacing w:val="-1"/>
                <w:sz w:val="20"/>
              </w:rPr>
              <w:t> </w:t>
            </w:r>
            <w:r>
              <w:rPr>
                <w:color w:val="FFFFFF"/>
                <w:sz w:val="20"/>
              </w:rPr>
              <w:t>Data</w:t>
            </w:r>
            <w:r>
              <w:rPr>
                <w:color w:val="FFFFFF"/>
                <w:spacing w:val="-2"/>
                <w:sz w:val="20"/>
              </w:rPr>
              <w:t> </w:t>
            </w:r>
            <w:r>
              <w:rPr>
                <w:color w:val="FFFFFF"/>
                <w:sz w:val="20"/>
              </w:rPr>
              <w:t>Sources</w:t>
            </w:r>
          </w:p>
        </w:tc>
      </w:tr>
      <w:tr>
        <w:trPr>
          <w:trHeight w:val="285" w:hRule="atLeast"/>
        </w:trPr>
        <w:tc>
          <w:tcPr>
            <w:tcW w:w="10783" w:type="dxa"/>
            <w:gridSpan w:val="4"/>
            <w:shd w:val="clear" w:color="auto" w:fill="CBD3DD"/>
          </w:tcPr>
          <w:p>
            <w:pPr>
              <w:pStyle w:val="TableParagraph"/>
              <w:spacing w:before="28"/>
              <w:ind w:left="2807"/>
              <w:rPr>
                <w:b/>
                <w:sz w:val="20"/>
              </w:rPr>
            </w:pPr>
            <w:r>
              <w:rPr>
                <w:b/>
                <w:color w:val="010202"/>
                <w:sz w:val="20"/>
              </w:rPr>
              <w:t>Short-term</w:t>
            </w:r>
            <w:r>
              <w:rPr>
                <w:b/>
                <w:color w:val="010202"/>
                <w:spacing w:val="-1"/>
                <w:sz w:val="20"/>
              </w:rPr>
              <w:t> </w:t>
            </w:r>
            <w:r>
              <w:rPr>
                <w:b/>
                <w:color w:val="010202"/>
                <w:sz w:val="20"/>
              </w:rPr>
              <w:t>and</w:t>
            </w:r>
            <w:r>
              <w:rPr>
                <w:b/>
                <w:color w:val="010202"/>
                <w:spacing w:val="-1"/>
                <w:sz w:val="20"/>
              </w:rPr>
              <w:t> </w:t>
            </w:r>
            <w:r>
              <w:rPr>
                <w:b/>
                <w:color w:val="010202"/>
                <w:sz w:val="20"/>
              </w:rPr>
              <w:t>intermediate</w:t>
            </w:r>
            <w:r>
              <w:rPr>
                <w:b/>
                <w:color w:val="010202"/>
                <w:spacing w:val="-1"/>
                <w:sz w:val="20"/>
              </w:rPr>
              <w:t> </w:t>
            </w:r>
            <w:r>
              <w:rPr>
                <w:b/>
                <w:color w:val="010202"/>
                <w:sz w:val="20"/>
              </w:rPr>
              <w:t>outcomes</w:t>
            </w:r>
          </w:p>
        </w:tc>
      </w:tr>
      <w:tr>
        <w:trPr>
          <w:trHeight w:val="1440" w:hRule="atLeast"/>
        </w:trPr>
        <w:tc>
          <w:tcPr>
            <w:tcW w:w="1982" w:type="dxa"/>
            <w:vMerge w:val="restart"/>
          </w:tcPr>
          <w:p>
            <w:pPr>
              <w:pStyle w:val="TableParagraph"/>
              <w:spacing w:line="249" w:lineRule="auto" w:before="5"/>
              <w:ind w:left="43" w:right="465"/>
              <w:rPr>
                <w:b/>
                <w:sz w:val="20"/>
              </w:rPr>
            </w:pPr>
            <w:r>
              <w:rPr>
                <w:b/>
                <w:color w:val="231F20"/>
                <w:sz w:val="20"/>
              </w:rPr>
              <w:t>Engagement in</w:t>
            </w:r>
            <w:r>
              <w:rPr>
                <w:b/>
                <w:color w:val="231F20"/>
                <w:spacing w:val="-54"/>
                <w:sz w:val="20"/>
              </w:rPr>
              <w:t> </w:t>
            </w:r>
            <w:r>
              <w:rPr>
                <w:b/>
                <w:color w:val="231F20"/>
                <w:sz w:val="20"/>
              </w:rPr>
              <w:t>services</w:t>
            </w:r>
          </w:p>
        </w:tc>
        <w:tc>
          <w:tcPr>
            <w:tcW w:w="1000" w:type="dxa"/>
            <w:shd w:val="clear" w:color="auto" w:fill="70499D"/>
          </w:tcPr>
          <w:p>
            <w:pPr>
              <w:pStyle w:val="TableParagraph"/>
              <w:spacing w:before="5"/>
              <w:ind w:left="52"/>
              <w:rPr>
                <w:b/>
                <w:sz w:val="20"/>
              </w:rPr>
            </w:pPr>
            <w:r>
              <w:rPr>
                <w:b/>
                <w:color w:val="FFFFFF"/>
                <w:sz w:val="20"/>
              </w:rPr>
              <w:t>SSPs</w:t>
            </w:r>
          </w:p>
        </w:tc>
        <w:tc>
          <w:tcPr>
            <w:tcW w:w="3850" w:type="dxa"/>
          </w:tcPr>
          <w:p>
            <w:pPr>
              <w:pStyle w:val="TableParagraph"/>
              <w:numPr>
                <w:ilvl w:val="0"/>
                <w:numId w:val="29"/>
              </w:numPr>
              <w:tabs>
                <w:tab w:pos="391" w:val="left" w:leader="none"/>
                <w:tab w:pos="392" w:val="left" w:leader="none"/>
              </w:tabs>
              <w:spacing w:line="247" w:lineRule="auto" w:before="0" w:after="0"/>
              <w:ind w:left="391" w:right="571" w:hanging="360"/>
              <w:jc w:val="left"/>
              <w:rPr>
                <w:sz w:val="20"/>
              </w:rPr>
            </w:pPr>
            <w:r>
              <w:rPr>
                <w:color w:val="231F20"/>
                <w:sz w:val="20"/>
              </w:rPr>
              <w:t>Access</w:t>
            </w:r>
            <w:r>
              <w:rPr>
                <w:color w:val="231F20"/>
                <w:spacing w:val="-3"/>
                <w:sz w:val="20"/>
              </w:rPr>
              <w:t> </w:t>
            </w:r>
            <w:r>
              <w:rPr>
                <w:color w:val="231F20"/>
                <w:sz w:val="20"/>
              </w:rPr>
              <w:t>to</w:t>
            </w:r>
            <w:r>
              <w:rPr>
                <w:color w:val="231F20"/>
                <w:spacing w:val="-3"/>
                <w:sz w:val="20"/>
              </w:rPr>
              <w:t> </w:t>
            </w:r>
            <w:r>
              <w:rPr>
                <w:color w:val="231F20"/>
                <w:sz w:val="20"/>
              </w:rPr>
              <w:t>SSP</w:t>
            </w:r>
            <w:r>
              <w:rPr>
                <w:color w:val="231F20"/>
                <w:spacing w:val="-7"/>
                <w:sz w:val="20"/>
              </w:rPr>
              <w:t> </w:t>
            </w:r>
            <w:r>
              <w:rPr>
                <w:color w:val="231F20"/>
                <w:sz w:val="20"/>
              </w:rPr>
              <w:t>(number</w:t>
            </w:r>
            <w:r>
              <w:rPr>
                <w:color w:val="231F20"/>
                <w:spacing w:val="-3"/>
                <w:sz w:val="20"/>
              </w:rPr>
              <w:t> </w:t>
            </w:r>
            <w:r>
              <w:rPr>
                <w:color w:val="231F20"/>
                <w:sz w:val="20"/>
              </w:rPr>
              <w:t>of</w:t>
            </w:r>
            <w:r>
              <w:rPr>
                <w:color w:val="231F20"/>
                <w:spacing w:val="-3"/>
                <w:sz w:val="20"/>
              </w:rPr>
              <w:t> </w:t>
            </w:r>
            <w:r>
              <w:rPr>
                <w:color w:val="231F20"/>
                <w:sz w:val="20"/>
              </w:rPr>
              <w:t>sites,</w:t>
            </w:r>
            <w:r>
              <w:rPr>
                <w:color w:val="231F20"/>
                <w:spacing w:val="-53"/>
                <w:sz w:val="20"/>
              </w:rPr>
              <w:t> </w:t>
            </w:r>
            <w:r>
              <w:rPr>
                <w:color w:val="231F20"/>
                <w:sz w:val="20"/>
              </w:rPr>
              <w:t>hours</w:t>
            </w:r>
            <w:r>
              <w:rPr>
                <w:color w:val="231F20"/>
                <w:spacing w:val="-2"/>
                <w:sz w:val="20"/>
              </w:rPr>
              <w:t> </w:t>
            </w:r>
            <w:r>
              <w:rPr>
                <w:color w:val="231F20"/>
                <w:sz w:val="20"/>
              </w:rPr>
              <w:t>open)</w:t>
            </w:r>
          </w:p>
          <w:p>
            <w:pPr>
              <w:pStyle w:val="TableParagraph"/>
              <w:numPr>
                <w:ilvl w:val="0"/>
                <w:numId w:val="29"/>
              </w:numPr>
              <w:tabs>
                <w:tab w:pos="391" w:val="left" w:leader="none"/>
                <w:tab w:pos="392" w:val="left" w:leader="none"/>
              </w:tabs>
              <w:spacing w:line="247" w:lineRule="auto" w:before="0" w:after="0"/>
              <w:ind w:left="391" w:right="128" w:hanging="360"/>
              <w:jc w:val="left"/>
              <w:rPr>
                <w:sz w:val="20"/>
              </w:rPr>
            </w:pPr>
            <w:r>
              <w:rPr>
                <w:color w:val="231F20"/>
                <w:sz w:val="20"/>
              </w:rPr>
              <w:t>Clients</w:t>
            </w:r>
            <w:r>
              <w:rPr>
                <w:color w:val="231F20"/>
                <w:spacing w:val="-6"/>
                <w:sz w:val="20"/>
              </w:rPr>
              <w:t> </w:t>
            </w:r>
            <w:r>
              <w:rPr>
                <w:color w:val="231F20"/>
                <w:sz w:val="20"/>
              </w:rPr>
              <w:t>accessing</w:t>
            </w:r>
            <w:r>
              <w:rPr>
                <w:color w:val="231F20"/>
                <w:spacing w:val="-6"/>
                <w:sz w:val="20"/>
              </w:rPr>
              <w:t> </w:t>
            </w:r>
            <w:r>
              <w:rPr>
                <w:color w:val="231F20"/>
                <w:sz w:val="20"/>
              </w:rPr>
              <w:t>SSP</w:t>
            </w:r>
            <w:r>
              <w:rPr>
                <w:color w:val="231F20"/>
                <w:spacing w:val="-8"/>
                <w:sz w:val="20"/>
              </w:rPr>
              <w:t> </w:t>
            </w:r>
            <w:r>
              <w:rPr>
                <w:color w:val="231F20"/>
                <w:sz w:val="20"/>
              </w:rPr>
              <w:t>(visit</w:t>
            </w:r>
            <w:r>
              <w:rPr>
                <w:color w:val="231F20"/>
                <w:spacing w:val="-5"/>
                <w:sz w:val="20"/>
              </w:rPr>
              <w:t> </w:t>
            </w:r>
            <w:r>
              <w:rPr>
                <w:color w:val="231F20"/>
                <w:sz w:val="20"/>
              </w:rPr>
              <w:t>numbers</w:t>
            </w:r>
            <w:r>
              <w:rPr>
                <w:color w:val="231F20"/>
                <w:spacing w:val="-53"/>
                <w:sz w:val="20"/>
              </w:rPr>
              <w:t> </w:t>
            </w:r>
            <w:r>
              <w:rPr>
                <w:color w:val="231F20"/>
                <w:sz w:val="20"/>
              </w:rPr>
              <w:t>and</w:t>
            </w:r>
            <w:r>
              <w:rPr>
                <w:color w:val="231F20"/>
                <w:spacing w:val="-2"/>
                <w:sz w:val="20"/>
              </w:rPr>
              <w:t> </w:t>
            </w:r>
            <w:r>
              <w:rPr>
                <w:color w:val="231F20"/>
                <w:sz w:val="20"/>
              </w:rPr>
              <w:t>dates)</w:t>
            </w:r>
          </w:p>
          <w:p>
            <w:pPr>
              <w:pStyle w:val="TableParagraph"/>
              <w:numPr>
                <w:ilvl w:val="0"/>
                <w:numId w:val="29"/>
              </w:numPr>
              <w:tabs>
                <w:tab w:pos="391" w:val="left" w:leader="none"/>
                <w:tab w:pos="392" w:val="left" w:leader="none"/>
              </w:tabs>
              <w:spacing w:line="240" w:lineRule="exact" w:before="0" w:after="0"/>
              <w:ind w:left="391" w:right="201" w:hanging="360"/>
              <w:jc w:val="left"/>
              <w:rPr>
                <w:sz w:val="20"/>
              </w:rPr>
            </w:pPr>
            <w:r>
              <w:rPr>
                <w:color w:val="231F20"/>
                <w:sz w:val="20"/>
              </w:rPr>
              <w:t>Syringes distributed and returned for</w:t>
            </w:r>
            <w:r>
              <w:rPr>
                <w:color w:val="231F20"/>
                <w:spacing w:val="-54"/>
                <w:sz w:val="20"/>
              </w:rPr>
              <w:t> </w:t>
            </w:r>
            <w:r>
              <w:rPr>
                <w:color w:val="231F20"/>
                <w:sz w:val="20"/>
              </w:rPr>
              <w:t>disposal</w:t>
            </w:r>
          </w:p>
        </w:tc>
        <w:tc>
          <w:tcPr>
            <w:tcW w:w="3951" w:type="dxa"/>
          </w:tcPr>
          <w:p>
            <w:pPr>
              <w:pStyle w:val="TableParagraph"/>
              <w:numPr>
                <w:ilvl w:val="0"/>
                <w:numId w:val="30"/>
              </w:numPr>
              <w:tabs>
                <w:tab w:pos="400" w:val="left" w:leader="none"/>
                <w:tab w:pos="402" w:val="left" w:leader="none"/>
              </w:tabs>
              <w:spacing w:line="235" w:lineRule="exact" w:before="0" w:after="0"/>
              <w:ind w:left="401" w:right="0" w:hanging="361"/>
              <w:jc w:val="left"/>
              <w:rPr>
                <w:sz w:val="20"/>
              </w:rPr>
            </w:pPr>
            <w:r>
              <w:rPr>
                <w:color w:val="231F20"/>
                <w:sz w:val="20"/>
              </w:rPr>
              <w:t>Qualitative</w:t>
            </w:r>
            <w:r>
              <w:rPr>
                <w:color w:val="231F20"/>
                <w:spacing w:val="-3"/>
                <w:sz w:val="20"/>
              </w:rPr>
              <w:t> </w:t>
            </w:r>
            <w:r>
              <w:rPr>
                <w:color w:val="231F20"/>
                <w:sz w:val="20"/>
              </w:rPr>
              <w:t>interviews</w:t>
            </w:r>
            <w:r>
              <w:rPr>
                <w:color w:val="231F20"/>
                <w:spacing w:val="-4"/>
                <w:sz w:val="20"/>
              </w:rPr>
              <w:t> </w:t>
            </w:r>
            <w:r>
              <w:rPr>
                <w:color w:val="231F20"/>
                <w:sz w:val="20"/>
              </w:rPr>
              <w:t>(staff</w:t>
            </w:r>
            <w:r>
              <w:rPr>
                <w:color w:val="231F20"/>
                <w:spacing w:val="-3"/>
                <w:sz w:val="20"/>
              </w:rPr>
              <w:t> </w:t>
            </w:r>
            <w:r>
              <w:rPr>
                <w:color w:val="231F20"/>
                <w:sz w:val="20"/>
              </w:rPr>
              <w:t>and</w:t>
            </w:r>
            <w:r>
              <w:rPr>
                <w:color w:val="231F20"/>
                <w:spacing w:val="-4"/>
                <w:sz w:val="20"/>
              </w:rPr>
              <w:t> </w:t>
            </w:r>
            <w:r>
              <w:rPr>
                <w:color w:val="231F20"/>
                <w:sz w:val="20"/>
              </w:rPr>
              <w:t>clients)</w:t>
            </w:r>
          </w:p>
          <w:p>
            <w:pPr>
              <w:pStyle w:val="TableParagraph"/>
              <w:numPr>
                <w:ilvl w:val="0"/>
                <w:numId w:val="30"/>
              </w:numPr>
              <w:tabs>
                <w:tab w:pos="400" w:val="left" w:leader="none"/>
                <w:tab w:pos="402" w:val="left" w:leader="none"/>
              </w:tabs>
              <w:spacing w:line="240" w:lineRule="exact" w:before="0" w:after="0"/>
              <w:ind w:left="401" w:right="0" w:hanging="361"/>
              <w:jc w:val="left"/>
              <w:rPr>
                <w:sz w:val="20"/>
              </w:rPr>
            </w:pPr>
            <w:r>
              <w:rPr>
                <w:color w:val="231F20"/>
                <w:sz w:val="20"/>
              </w:rPr>
              <w:t>Administrative</w:t>
            </w:r>
            <w:r>
              <w:rPr>
                <w:color w:val="231F20"/>
                <w:spacing w:val="-2"/>
                <w:sz w:val="20"/>
              </w:rPr>
              <w:t> </w:t>
            </w:r>
            <w:r>
              <w:rPr>
                <w:color w:val="231F20"/>
                <w:sz w:val="20"/>
              </w:rPr>
              <w:t>data</w:t>
            </w:r>
          </w:p>
          <w:p>
            <w:pPr>
              <w:pStyle w:val="TableParagraph"/>
              <w:numPr>
                <w:ilvl w:val="0"/>
                <w:numId w:val="30"/>
              </w:numPr>
              <w:tabs>
                <w:tab w:pos="400" w:val="left" w:leader="none"/>
                <w:tab w:pos="402" w:val="left" w:leader="none"/>
              </w:tabs>
              <w:spacing w:line="243" w:lineRule="exact" w:before="0" w:after="0"/>
              <w:ind w:left="401" w:right="0" w:hanging="361"/>
              <w:jc w:val="left"/>
              <w:rPr>
                <w:sz w:val="20"/>
              </w:rPr>
            </w:pPr>
            <w:r>
              <w:rPr>
                <w:color w:val="231F20"/>
                <w:sz w:val="20"/>
              </w:rPr>
              <w:t>Intake/enrollment</w:t>
            </w:r>
            <w:r>
              <w:rPr>
                <w:color w:val="231F20"/>
                <w:spacing w:val="-2"/>
                <w:sz w:val="20"/>
              </w:rPr>
              <w:t> </w:t>
            </w:r>
            <w:r>
              <w:rPr>
                <w:color w:val="231F20"/>
                <w:sz w:val="20"/>
              </w:rPr>
              <w:t>data</w:t>
            </w:r>
          </w:p>
        </w:tc>
      </w:tr>
      <w:tr>
        <w:trPr>
          <w:trHeight w:val="222" w:hRule="atLeast"/>
        </w:trPr>
        <w:tc>
          <w:tcPr>
            <w:tcW w:w="1982" w:type="dxa"/>
            <w:vMerge/>
            <w:tcBorders>
              <w:top w:val="nil"/>
            </w:tcBorders>
          </w:tcPr>
          <w:p>
            <w:pPr>
              <w:rPr>
                <w:sz w:val="2"/>
                <w:szCs w:val="2"/>
              </w:rPr>
            </w:pPr>
          </w:p>
        </w:tc>
        <w:tc>
          <w:tcPr>
            <w:tcW w:w="1000" w:type="dxa"/>
            <w:shd w:val="clear" w:color="auto" w:fill="CE372D"/>
          </w:tcPr>
          <w:p>
            <w:pPr>
              <w:pStyle w:val="TableParagraph"/>
              <w:spacing w:line="203" w:lineRule="exact"/>
              <w:ind w:left="52"/>
              <w:rPr>
                <w:b/>
                <w:sz w:val="20"/>
              </w:rPr>
            </w:pPr>
            <w:r>
              <w:rPr>
                <w:b/>
                <w:color w:val="FFFFFF"/>
                <w:sz w:val="20"/>
              </w:rPr>
              <w:t>PrEP</w:t>
            </w:r>
          </w:p>
        </w:tc>
        <w:tc>
          <w:tcPr>
            <w:tcW w:w="3850" w:type="dxa"/>
            <w:vMerge w:val="restart"/>
          </w:tcPr>
          <w:p>
            <w:pPr>
              <w:pStyle w:val="TableParagraph"/>
              <w:numPr>
                <w:ilvl w:val="0"/>
                <w:numId w:val="31"/>
              </w:numPr>
              <w:tabs>
                <w:tab w:pos="391" w:val="left" w:leader="none"/>
                <w:tab w:pos="392" w:val="left" w:leader="none"/>
              </w:tabs>
              <w:spacing w:line="219" w:lineRule="exact" w:before="0" w:after="0"/>
              <w:ind w:left="391" w:right="0" w:hanging="361"/>
              <w:jc w:val="left"/>
              <w:rPr>
                <w:sz w:val="20"/>
              </w:rPr>
            </w:pPr>
            <w:r>
              <w:rPr>
                <w:color w:val="231F20"/>
                <w:sz w:val="20"/>
              </w:rPr>
              <w:t>Sessions</w:t>
            </w:r>
            <w:r>
              <w:rPr>
                <w:color w:val="231F20"/>
                <w:spacing w:val="-1"/>
                <w:sz w:val="20"/>
              </w:rPr>
              <w:t> </w:t>
            </w:r>
            <w:r>
              <w:rPr>
                <w:color w:val="231F20"/>
                <w:sz w:val="20"/>
              </w:rPr>
              <w:t>and</w:t>
            </w:r>
            <w:r>
              <w:rPr>
                <w:color w:val="231F20"/>
                <w:spacing w:val="-2"/>
                <w:sz w:val="20"/>
              </w:rPr>
              <w:t> </w:t>
            </w:r>
            <w:r>
              <w:rPr>
                <w:color w:val="231F20"/>
                <w:sz w:val="20"/>
              </w:rPr>
              <w:t>contacts</w:t>
            </w:r>
            <w:r>
              <w:rPr>
                <w:color w:val="231F20"/>
                <w:spacing w:val="-1"/>
                <w:sz w:val="20"/>
              </w:rPr>
              <w:t> </w:t>
            </w:r>
            <w:r>
              <w:rPr>
                <w:color w:val="231F20"/>
                <w:sz w:val="20"/>
              </w:rPr>
              <w:t>scheduled</w:t>
            </w:r>
            <w:r>
              <w:rPr>
                <w:color w:val="231F20"/>
                <w:spacing w:val="-1"/>
                <w:sz w:val="20"/>
              </w:rPr>
              <w:t> </w:t>
            </w:r>
            <w:r>
              <w:rPr>
                <w:color w:val="231F20"/>
                <w:sz w:val="20"/>
              </w:rPr>
              <w:t>and</w:t>
            </w:r>
          </w:p>
          <w:p>
            <w:pPr>
              <w:pStyle w:val="TableParagraph"/>
              <w:spacing w:before="8"/>
              <w:ind w:left="391"/>
              <w:rPr>
                <w:sz w:val="20"/>
              </w:rPr>
            </w:pPr>
            <w:r>
              <w:rPr>
                <w:color w:val="231F20"/>
                <w:sz w:val="20"/>
              </w:rPr>
              <w:t>completed</w:t>
            </w:r>
          </w:p>
        </w:tc>
        <w:tc>
          <w:tcPr>
            <w:tcW w:w="3951" w:type="dxa"/>
            <w:vMerge w:val="restart"/>
          </w:tcPr>
          <w:p>
            <w:pPr>
              <w:pStyle w:val="TableParagraph"/>
              <w:numPr>
                <w:ilvl w:val="0"/>
                <w:numId w:val="32"/>
              </w:numPr>
              <w:tabs>
                <w:tab w:pos="400" w:val="left" w:leader="none"/>
                <w:tab w:pos="402" w:val="left" w:leader="none"/>
              </w:tabs>
              <w:spacing w:line="219" w:lineRule="exact" w:before="0" w:after="0"/>
              <w:ind w:left="401" w:right="0" w:hanging="361"/>
              <w:jc w:val="left"/>
              <w:rPr>
                <w:sz w:val="20"/>
              </w:rPr>
            </w:pPr>
            <w:r>
              <w:rPr>
                <w:color w:val="231F20"/>
                <w:sz w:val="20"/>
              </w:rPr>
              <w:t>Administrative</w:t>
            </w:r>
            <w:r>
              <w:rPr>
                <w:color w:val="231F20"/>
                <w:spacing w:val="-2"/>
                <w:sz w:val="20"/>
              </w:rPr>
              <w:t> </w:t>
            </w:r>
            <w:r>
              <w:rPr>
                <w:color w:val="231F20"/>
                <w:sz w:val="20"/>
              </w:rPr>
              <w:t>data</w:t>
            </w:r>
          </w:p>
        </w:tc>
      </w:tr>
      <w:tr>
        <w:trPr>
          <w:trHeight w:val="240" w:hRule="atLeast"/>
        </w:trPr>
        <w:tc>
          <w:tcPr>
            <w:tcW w:w="1982" w:type="dxa"/>
            <w:vMerge/>
            <w:tcBorders>
              <w:top w:val="nil"/>
            </w:tcBorders>
          </w:tcPr>
          <w:p>
            <w:pPr>
              <w:rPr>
                <w:sz w:val="2"/>
                <w:szCs w:val="2"/>
              </w:rPr>
            </w:pPr>
          </w:p>
        </w:tc>
        <w:tc>
          <w:tcPr>
            <w:tcW w:w="1000" w:type="dxa"/>
            <w:shd w:val="clear" w:color="auto" w:fill="1C384B"/>
          </w:tcPr>
          <w:p>
            <w:pPr>
              <w:pStyle w:val="TableParagraph"/>
              <w:spacing w:line="215" w:lineRule="exact" w:before="5"/>
              <w:ind w:left="52"/>
              <w:rPr>
                <w:b/>
                <w:sz w:val="20"/>
              </w:rPr>
            </w:pPr>
            <w:r>
              <w:rPr>
                <w:b/>
                <w:color w:val="FFFFFF"/>
                <w:sz w:val="20"/>
              </w:rPr>
              <w:t>CBT</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240" w:hRule="atLeast"/>
        </w:trPr>
        <w:tc>
          <w:tcPr>
            <w:tcW w:w="1982" w:type="dxa"/>
            <w:vMerge/>
            <w:tcBorders>
              <w:top w:val="nil"/>
            </w:tcBorders>
          </w:tcPr>
          <w:p>
            <w:pPr>
              <w:rPr>
                <w:sz w:val="2"/>
                <w:szCs w:val="2"/>
              </w:rPr>
            </w:pPr>
          </w:p>
        </w:tc>
        <w:tc>
          <w:tcPr>
            <w:tcW w:w="1000" w:type="dxa"/>
            <w:shd w:val="clear" w:color="auto" w:fill="1D6889"/>
          </w:tcPr>
          <w:p>
            <w:pPr>
              <w:pStyle w:val="TableParagraph"/>
              <w:spacing w:line="215" w:lineRule="exact" w:before="5"/>
              <w:ind w:left="52"/>
              <w:rPr>
                <w:b/>
                <w:sz w:val="20"/>
              </w:rPr>
            </w:pPr>
            <w:r>
              <w:rPr>
                <w:b/>
                <w:color w:val="FFFFFF"/>
                <w:sz w:val="20"/>
              </w:rPr>
              <w:t>CM</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240" w:hRule="atLeast"/>
        </w:trPr>
        <w:tc>
          <w:tcPr>
            <w:tcW w:w="1982" w:type="dxa"/>
            <w:vMerge/>
            <w:tcBorders>
              <w:top w:val="nil"/>
            </w:tcBorders>
          </w:tcPr>
          <w:p>
            <w:pPr>
              <w:rPr>
                <w:sz w:val="2"/>
                <w:szCs w:val="2"/>
              </w:rPr>
            </w:pPr>
          </w:p>
        </w:tc>
        <w:tc>
          <w:tcPr>
            <w:tcW w:w="1000" w:type="dxa"/>
            <w:shd w:val="clear" w:color="auto" w:fill="659740"/>
          </w:tcPr>
          <w:p>
            <w:pPr>
              <w:pStyle w:val="TableParagraph"/>
              <w:spacing w:line="215" w:lineRule="exact" w:before="5"/>
              <w:ind w:left="52"/>
              <w:rPr>
                <w:b/>
                <w:sz w:val="20"/>
              </w:rPr>
            </w:pPr>
            <w:r>
              <w:rPr>
                <w:b/>
                <w:color w:val="FFFFFF"/>
                <w:sz w:val="20"/>
              </w:rPr>
              <w:t>PN</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240" w:hRule="atLeast"/>
        </w:trPr>
        <w:tc>
          <w:tcPr>
            <w:tcW w:w="1982" w:type="dxa"/>
            <w:vMerge w:val="restart"/>
          </w:tcPr>
          <w:p>
            <w:pPr>
              <w:pStyle w:val="TableParagraph"/>
              <w:spacing w:before="5"/>
              <w:ind w:left="43"/>
              <w:rPr>
                <w:b/>
                <w:sz w:val="20"/>
              </w:rPr>
            </w:pPr>
            <w:r>
              <w:rPr>
                <w:b/>
                <w:color w:val="231F20"/>
                <w:sz w:val="20"/>
              </w:rPr>
              <w:t>HIV</w:t>
            </w:r>
            <w:r>
              <w:rPr>
                <w:b/>
                <w:color w:val="231F20"/>
                <w:spacing w:val="-6"/>
                <w:sz w:val="20"/>
              </w:rPr>
              <w:t> </w:t>
            </w:r>
            <w:r>
              <w:rPr>
                <w:b/>
                <w:color w:val="231F20"/>
                <w:sz w:val="20"/>
              </w:rPr>
              <w:t>education</w:t>
            </w:r>
          </w:p>
        </w:tc>
        <w:tc>
          <w:tcPr>
            <w:tcW w:w="1000" w:type="dxa"/>
            <w:shd w:val="clear" w:color="auto" w:fill="1C384B"/>
          </w:tcPr>
          <w:p>
            <w:pPr>
              <w:pStyle w:val="TableParagraph"/>
              <w:spacing w:line="215" w:lineRule="exact" w:before="5"/>
              <w:ind w:left="52"/>
              <w:rPr>
                <w:b/>
                <w:sz w:val="20"/>
              </w:rPr>
            </w:pPr>
            <w:r>
              <w:rPr>
                <w:b/>
                <w:color w:val="FFFFFF"/>
                <w:sz w:val="20"/>
              </w:rPr>
              <w:t>CBT</w:t>
            </w:r>
          </w:p>
        </w:tc>
        <w:tc>
          <w:tcPr>
            <w:tcW w:w="3850" w:type="dxa"/>
            <w:vMerge w:val="restart"/>
          </w:tcPr>
          <w:p>
            <w:pPr>
              <w:pStyle w:val="TableParagraph"/>
              <w:numPr>
                <w:ilvl w:val="0"/>
                <w:numId w:val="33"/>
              </w:numPr>
              <w:tabs>
                <w:tab w:pos="392" w:val="left" w:leader="none"/>
              </w:tabs>
              <w:spacing w:line="249" w:lineRule="auto" w:before="0" w:after="0"/>
              <w:ind w:left="391" w:right="45" w:hanging="360"/>
              <w:jc w:val="both"/>
              <w:rPr>
                <w:sz w:val="20"/>
              </w:rPr>
            </w:pPr>
            <w:r>
              <w:rPr>
                <w:color w:val="231F20"/>
                <w:sz w:val="20"/>
              </w:rPr>
              <w:t>Change in knowledge, motivation, and</w:t>
            </w:r>
            <w:r>
              <w:rPr>
                <w:color w:val="231F20"/>
                <w:spacing w:val="-54"/>
                <w:sz w:val="20"/>
              </w:rPr>
              <w:t> </w:t>
            </w:r>
            <w:r>
              <w:rPr>
                <w:color w:val="231F20"/>
                <w:sz w:val="20"/>
              </w:rPr>
              <w:t>skills to engage in HIV preventive acts</w:t>
            </w:r>
            <w:r>
              <w:rPr>
                <w:color w:val="231F20"/>
                <w:spacing w:val="-53"/>
                <w:sz w:val="20"/>
              </w:rPr>
              <w:t> </w:t>
            </w:r>
            <w:r>
              <w:rPr>
                <w:color w:val="231F20"/>
                <w:sz w:val="20"/>
              </w:rPr>
              <w:t>(e.g.,</w:t>
            </w:r>
            <w:r>
              <w:rPr>
                <w:color w:val="231F20"/>
                <w:spacing w:val="-2"/>
                <w:sz w:val="20"/>
              </w:rPr>
              <w:t> </w:t>
            </w:r>
            <w:r>
              <w:rPr>
                <w:color w:val="231F20"/>
                <w:sz w:val="20"/>
              </w:rPr>
              <w:t>condom</w:t>
            </w:r>
            <w:r>
              <w:rPr>
                <w:color w:val="231F20"/>
                <w:spacing w:val="-1"/>
                <w:sz w:val="20"/>
              </w:rPr>
              <w:t> </w:t>
            </w:r>
            <w:r>
              <w:rPr>
                <w:color w:val="231F20"/>
                <w:sz w:val="20"/>
              </w:rPr>
              <w:t>attitudes</w:t>
            </w:r>
            <w:r>
              <w:rPr>
                <w:color w:val="231F20"/>
                <w:spacing w:val="-2"/>
                <w:sz w:val="20"/>
              </w:rPr>
              <w:t> </w:t>
            </w:r>
            <w:r>
              <w:rPr>
                <w:color w:val="231F20"/>
                <w:sz w:val="20"/>
              </w:rPr>
              <w:t>and</w:t>
            </w:r>
            <w:r>
              <w:rPr>
                <w:color w:val="231F20"/>
                <w:spacing w:val="-2"/>
                <w:sz w:val="20"/>
              </w:rPr>
              <w:t> </w:t>
            </w:r>
            <w:r>
              <w:rPr>
                <w:color w:val="231F20"/>
                <w:sz w:val="20"/>
              </w:rPr>
              <w:t>use),</w:t>
            </w:r>
          </w:p>
          <w:p>
            <w:pPr>
              <w:pStyle w:val="TableParagraph"/>
              <w:numPr>
                <w:ilvl w:val="0"/>
                <w:numId w:val="33"/>
              </w:numPr>
              <w:tabs>
                <w:tab w:pos="392" w:val="left" w:leader="none"/>
              </w:tabs>
              <w:spacing w:line="232" w:lineRule="exact" w:before="0" w:after="0"/>
              <w:ind w:left="391" w:right="0" w:hanging="361"/>
              <w:jc w:val="both"/>
              <w:rPr>
                <w:sz w:val="20"/>
              </w:rPr>
            </w:pPr>
            <w:r>
              <w:rPr>
                <w:color w:val="231F20"/>
                <w:sz w:val="20"/>
              </w:rPr>
              <w:t>Perceptions</w:t>
            </w:r>
            <w:r>
              <w:rPr>
                <w:color w:val="231F20"/>
                <w:spacing w:val="-2"/>
                <w:sz w:val="20"/>
              </w:rPr>
              <w:t> </w:t>
            </w:r>
            <w:r>
              <w:rPr>
                <w:color w:val="231F20"/>
                <w:sz w:val="20"/>
              </w:rPr>
              <w:t>of</w:t>
            </w:r>
            <w:r>
              <w:rPr>
                <w:color w:val="231F20"/>
                <w:spacing w:val="-3"/>
                <w:sz w:val="20"/>
              </w:rPr>
              <w:t> </w:t>
            </w:r>
            <w:r>
              <w:rPr>
                <w:color w:val="231F20"/>
                <w:sz w:val="20"/>
              </w:rPr>
              <w:t>personal</w:t>
            </w:r>
            <w:r>
              <w:rPr>
                <w:color w:val="231F20"/>
                <w:spacing w:val="-3"/>
                <w:sz w:val="20"/>
              </w:rPr>
              <w:t> </w:t>
            </w:r>
            <w:r>
              <w:rPr>
                <w:color w:val="231F20"/>
                <w:sz w:val="20"/>
              </w:rPr>
              <w:t>vulnerability</w:t>
            </w:r>
          </w:p>
          <w:p>
            <w:pPr>
              <w:pStyle w:val="TableParagraph"/>
              <w:spacing w:line="215" w:lineRule="exact"/>
              <w:ind w:left="391"/>
              <w:rPr>
                <w:sz w:val="20"/>
              </w:rPr>
            </w:pPr>
            <w:r>
              <w:rPr>
                <w:color w:val="231F20"/>
                <w:sz w:val="20"/>
              </w:rPr>
              <w:t>to</w:t>
            </w:r>
            <w:r>
              <w:rPr>
                <w:color w:val="231F20"/>
                <w:spacing w:val="-2"/>
                <w:sz w:val="20"/>
              </w:rPr>
              <w:t> </w:t>
            </w:r>
            <w:r>
              <w:rPr>
                <w:color w:val="231F20"/>
                <w:sz w:val="20"/>
              </w:rPr>
              <w:t>HIV</w:t>
            </w:r>
          </w:p>
        </w:tc>
        <w:tc>
          <w:tcPr>
            <w:tcW w:w="3951" w:type="dxa"/>
            <w:vMerge w:val="restart"/>
          </w:tcPr>
          <w:p>
            <w:pPr>
              <w:pStyle w:val="TableParagraph"/>
              <w:numPr>
                <w:ilvl w:val="0"/>
                <w:numId w:val="34"/>
              </w:numPr>
              <w:tabs>
                <w:tab w:pos="400" w:val="left" w:leader="none"/>
                <w:tab w:pos="402" w:val="left" w:leader="none"/>
              </w:tabs>
              <w:spacing w:line="235" w:lineRule="exact" w:before="0" w:after="0"/>
              <w:ind w:left="401" w:right="0" w:hanging="361"/>
              <w:jc w:val="left"/>
              <w:rPr>
                <w:sz w:val="20"/>
              </w:rPr>
            </w:pPr>
            <w:r>
              <w:rPr>
                <w:color w:val="231F20"/>
                <w:sz w:val="20"/>
              </w:rPr>
              <w:t>Qualitative</w:t>
            </w:r>
            <w:r>
              <w:rPr>
                <w:color w:val="231F20"/>
                <w:spacing w:val="-3"/>
                <w:sz w:val="20"/>
              </w:rPr>
              <w:t> </w:t>
            </w:r>
            <w:r>
              <w:rPr>
                <w:color w:val="231F20"/>
                <w:sz w:val="20"/>
              </w:rPr>
              <w:t>interviews</w:t>
            </w:r>
            <w:r>
              <w:rPr>
                <w:color w:val="231F20"/>
                <w:spacing w:val="-4"/>
                <w:sz w:val="20"/>
              </w:rPr>
              <w:t> </w:t>
            </w:r>
            <w:r>
              <w:rPr>
                <w:color w:val="231F20"/>
                <w:sz w:val="20"/>
              </w:rPr>
              <w:t>(staff</w:t>
            </w:r>
            <w:r>
              <w:rPr>
                <w:color w:val="231F20"/>
                <w:spacing w:val="-3"/>
                <w:sz w:val="20"/>
              </w:rPr>
              <w:t> </w:t>
            </w:r>
            <w:r>
              <w:rPr>
                <w:color w:val="231F20"/>
                <w:sz w:val="20"/>
              </w:rPr>
              <w:t>and</w:t>
            </w:r>
            <w:r>
              <w:rPr>
                <w:color w:val="231F20"/>
                <w:spacing w:val="-4"/>
                <w:sz w:val="20"/>
              </w:rPr>
              <w:t> </w:t>
            </w:r>
            <w:r>
              <w:rPr>
                <w:color w:val="231F20"/>
                <w:sz w:val="20"/>
              </w:rPr>
              <w:t>clients)</w:t>
            </w:r>
          </w:p>
          <w:p>
            <w:pPr>
              <w:pStyle w:val="TableParagraph"/>
              <w:numPr>
                <w:ilvl w:val="0"/>
                <w:numId w:val="34"/>
              </w:numPr>
              <w:tabs>
                <w:tab w:pos="400" w:val="left" w:leader="none"/>
                <w:tab w:pos="402" w:val="left" w:leader="none"/>
              </w:tabs>
              <w:spacing w:line="249" w:lineRule="auto" w:before="0" w:after="0"/>
              <w:ind w:left="401" w:right="371" w:hanging="360"/>
              <w:jc w:val="left"/>
              <w:rPr>
                <w:sz w:val="20"/>
              </w:rPr>
            </w:pPr>
            <w:r>
              <w:rPr>
                <w:color w:val="231F20"/>
                <w:sz w:val="20"/>
              </w:rPr>
              <w:t>Structured</w:t>
            </w:r>
            <w:r>
              <w:rPr>
                <w:color w:val="231F20"/>
                <w:spacing w:val="-4"/>
                <w:sz w:val="20"/>
              </w:rPr>
              <w:t> </w:t>
            </w:r>
            <w:r>
              <w:rPr>
                <w:color w:val="231F20"/>
                <w:sz w:val="20"/>
              </w:rPr>
              <w:t>scales</w:t>
            </w:r>
            <w:r>
              <w:rPr>
                <w:color w:val="231F20"/>
                <w:spacing w:val="-4"/>
                <w:sz w:val="20"/>
              </w:rPr>
              <w:t> </w:t>
            </w:r>
            <w:r>
              <w:rPr>
                <w:color w:val="231F20"/>
                <w:sz w:val="20"/>
              </w:rPr>
              <w:t>and</w:t>
            </w:r>
            <w:r>
              <w:rPr>
                <w:color w:val="231F20"/>
                <w:spacing w:val="-5"/>
                <w:sz w:val="20"/>
              </w:rPr>
              <w:t> </w:t>
            </w:r>
            <w:r>
              <w:rPr>
                <w:color w:val="231F20"/>
                <w:sz w:val="20"/>
              </w:rPr>
              <w:t>assessments</w:t>
            </w:r>
            <w:r>
              <w:rPr>
                <w:color w:val="231F20"/>
                <w:spacing w:val="-53"/>
                <w:sz w:val="20"/>
              </w:rPr>
              <w:t> </w:t>
            </w:r>
            <w:r>
              <w:rPr>
                <w:color w:val="231F20"/>
                <w:sz w:val="20"/>
              </w:rPr>
              <w:t>(e.g., Sexual Risk Behavior</w:t>
            </w:r>
            <w:r>
              <w:rPr>
                <w:color w:val="231F20"/>
                <w:spacing w:val="1"/>
                <w:sz w:val="20"/>
              </w:rPr>
              <w:t> </w:t>
            </w:r>
            <w:r>
              <w:rPr>
                <w:color w:val="231F20"/>
                <w:sz w:val="20"/>
              </w:rPr>
              <w:t>Assessment Schedule)</w:t>
            </w:r>
          </w:p>
        </w:tc>
      </w:tr>
      <w:tr>
        <w:trPr>
          <w:trHeight w:val="240" w:hRule="atLeast"/>
        </w:trPr>
        <w:tc>
          <w:tcPr>
            <w:tcW w:w="1982" w:type="dxa"/>
            <w:vMerge/>
            <w:tcBorders>
              <w:top w:val="nil"/>
            </w:tcBorders>
          </w:tcPr>
          <w:p>
            <w:pPr>
              <w:rPr>
                <w:sz w:val="2"/>
                <w:szCs w:val="2"/>
              </w:rPr>
            </w:pPr>
          </w:p>
        </w:tc>
        <w:tc>
          <w:tcPr>
            <w:tcW w:w="1000" w:type="dxa"/>
            <w:shd w:val="clear" w:color="auto" w:fill="1D6889"/>
          </w:tcPr>
          <w:p>
            <w:pPr>
              <w:pStyle w:val="TableParagraph"/>
              <w:spacing w:line="215" w:lineRule="exact" w:before="5"/>
              <w:ind w:left="52"/>
              <w:rPr>
                <w:b/>
                <w:sz w:val="20"/>
              </w:rPr>
            </w:pPr>
            <w:r>
              <w:rPr>
                <w:b/>
                <w:color w:val="FFFFFF"/>
                <w:sz w:val="20"/>
              </w:rPr>
              <w:t>CM</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679" w:hRule="atLeast"/>
        </w:trPr>
        <w:tc>
          <w:tcPr>
            <w:tcW w:w="1982" w:type="dxa"/>
            <w:vMerge/>
            <w:tcBorders>
              <w:top w:val="nil"/>
            </w:tcBorders>
          </w:tcPr>
          <w:p>
            <w:pPr>
              <w:rPr>
                <w:sz w:val="2"/>
                <w:szCs w:val="2"/>
              </w:rPr>
            </w:pPr>
          </w:p>
        </w:tc>
        <w:tc>
          <w:tcPr>
            <w:tcW w:w="1000" w:type="dxa"/>
            <w:shd w:val="clear" w:color="auto" w:fill="659740"/>
          </w:tcPr>
          <w:p>
            <w:pPr>
              <w:pStyle w:val="TableParagraph"/>
              <w:spacing w:before="5"/>
              <w:ind w:left="52"/>
              <w:rPr>
                <w:b/>
                <w:sz w:val="20"/>
              </w:rPr>
            </w:pPr>
            <w:r>
              <w:rPr>
                <w:b/>
                <w:color w:val="FFFFFF"/>
                <w:sz w:val="20"/>
              </w:rPr>
              <w:t>PN</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240" w:hRule="atLeast"/>
        </w:trPr>
        <w:tc>
          <w:tcPr>
            <w:tcW w:w="1982" w:type="dxa"/>
            <w:vMerge w:val="restart"/>
          </w:tcPr>
          <w:p>
            <w:pPr>
              <w:pStyle w:val="TableParagraph"/>
              <w:spacing w:line="249" w:lineRule="auto" w:before="5"/>
              <w:ind w:left="43"/>
              <w:rPr>
                <w:b/>
                <w:sz w:val="20"/>
              </w:rPr>
            </w:pPr>
            <w:r>
              <w:rPr>
                <w:b/>
                <w:color w:val="231F20"/>
                <w:sz w:val="20"/>
              </w:rPr>
              <w:t>Knowledge of HIV</w:t>
            </w:r>
            <w:r>
              <w:rPr>
                <w:b/>
                <w:color w:val="231F20"/>
                <w:spacing w:val="1"/>
                <w:sz w:val="20"/>
              </w:rPr>
              <w:t> </w:t>
            </w:r>
            <w:r>
              <w:rPr>
                <w:b/>
                <w:color w:val="231F20"/>
                <w:sz w:val="20"/>
              </w:rPr>
              <w:t>and SUD harm</w:t>
            </w:r>
            <w:r>
              <w:rPr>
                <w:b/>
                <w:color w:val="231F20"/>
                <w:spacing w:val="1"/>
                <w:sz w:val="20"/>
              </w:rPr>
              <w:t> </w:t>
            </w:r>
            <w:r>
              <w:rPr>
                <w:b/>
                <w:color w:val="231F20"/>
                <w:spacing w:val="-1"/>
                <w:sz w:val="20"/>
              </w:rPr>
              <w:t>reduction</w:t>
            </w:r>
            <w:r>
              <w:rPr>
                <w:b/>
                <w:color w:val="231F20"/>
                <w:spacing w:val="-7"/>
                <w:sz w:val="20"/>
              </w:rPr>
              <w:t> </w:t>
            </w:r>
            <w:r>
              <w:rPr>
                <w:b/>
                <w:color w:val="231F20"/>
                <w:spacing w:val="-1"/>
                <w:sz w:val="20"/>
              </w:rPr>
              <w:t>strategies</w:t>
            </w:r>
          </w:p>
        </w:tc>
        <w:tc>
          <w:tcPr>
            <w:tcW w:w="1000" w:type="dxa"/>
            <w:shd w:val="clear" w:color="auto" w:fill="70499D"/>
          </w:tcPr>
          <w:p>
            <w:pPr>
              <w:pStyle w:val="TableParagraph"/>
              <w:spacing w:line="215" w:lineRule="exact" w:before="5"/>
              <w:ind w:left="52"/>
              <w:rPr>
                <w:b/>
                <w:sz w:val="20"/>
              </w:rPr>
            </w:pPr>
            <w:r>
              <w:rPr>
                <w:b/>
                <w:color w:val="FFFFFF"/>
                <w:sz w:val="20"/>
              </w:rPr>
              <w:t>SSPs</w:t>
            </w:r>
          </w:p>
        </w:tc>
        <w:tc>
          <w:tcPr>
            <w:tcW w:w="3850" w:type="dxa"/>
            <w:vMerge w:val="restart"/>
          </w:tcPr>
          <w:p>
            <w:pPr>
              <w:pStyle w:val="TableParagraph"/>
              <w:numPr>
                <w:ilvl w:val="0"/>
                <w:numId w:val="35"/>
              </w:numPr>
              <w:tabs>
                <w:tab w:pos="391" w:val="left" w:leader="none"/>
                <w:tab w:pos="392" w:val="left" w:leader="none"/>
              </w:tabs>
              <w:spacing w:line="235" w:lineRule="exact" w:before="0" w:after="0"/>
              <w:ind w:left="391" w:right="0" w:hanging="361"/>
              <w:jc w:val="left"/>
              <w:rPr>
                <w:sz w:val="20"/>
              </w:rPr>
            </w:pPr>
            <w:r>
              <w:rPr>
                <w:color w:val="231F20"/>
                <w:sz w:val="20"/>
              </w:rPr>
              <w:t>Knowledge</w:t>
            </w:r>
            <w:r>
              <w:rPr>
                <w:color w:val="231F20"/>
                <w:spacing w:val="-4"/>
                <w:sz w:val="20"/>
              </w:rPr>
              <w:t> </w:t>
            </w:r>
            <w:r>
              <w:rPr>
                <w:color w:val="231F20"/>
                <w:sz w:val="20"/>
              </w:rPr>
              <w:t>of</w:t>
            </w:r>
            <w:r>
              <w:rPr>
                <w:color w:val="231F20"/>
                <w:spacing w:val="-4"/>
                <w:sz w:val="20"/>
              </w:rPr>
              <w:t> </w:t>
            </w:r>
            <w:r>
              <w:rPr>
                <w:color w:val="231F20"/>
                <w:sz w:val="20"/>
              </w:rPr>
              <w:t>safe</w:t>
            </w:r>
            <w:r>
              <w:rPr>
                <w:color w:val="231F20"/>
                <w:spacing w:val="-4"/>
                <w:sz w:val="20"/>
              </w:rPr>
              <w:t> </w:t>
            </w:r>
            <w:r>
              <w:rPr>
                <w:color w:val="231F20"/>
                <w:sz w:val="20"/>
              </w:rPr>
              <w:t>injection</w:t>
            </w:r>
            <w:r>
              <w:rPr>
                <w:color w:val="231F20"/>
                <w:spacing w:val="-4"/>
                <w:sz w:val="20"/>
              </w:rPr>
              <w:t> </w:t>
            </w:r>
            <w:r>
              <w:rPr>
                <w:color w:val="231F20"/>
                <w:sz w:val="20"/>
              </w:rPr>
              <w:t>practices</w:t>
            </w:r>
          </w:p>
          <w:p>
            <w:pPr>
              <w:pStyle w:val="TableParagraph"/>
              <w:numPr>
                <w:ilvl w:val="0"/>
                <w:numId w:val="35"/>
              </w:numPr>
              <w:tabs>
                <w:tab w:pos="391" w:val="left" w:leader="none"/>
                <w:tab w:pos="392" w:val="left" w:leader="none"/>
              </w:tabs>
              <w:spacing w:line="240" w:lineRule="exact" w:before="0" w:after="0"/>
              <w:ind w:left="391" w:right="0" w:hanging="361"/>
              <w:jc w:val="left"/>
              <w:rPr>
                <w:sz w:val="20"/>
              </w:rPr>
            </w:pPr>
            <w:r>
              <w:rPr>
                <w:color w:val="231F20"/>
                <w:sz w:val="20"/>
              </w:rPr>
              <w:t>Knowledge</w:t>
            </w:r>
            <w:r>
              <w:rPr>
                <w:color w:val="231F20"/>
                <w:spacing w:val="-2"/>
                <w:sz w:val="20"/>
              </w:rPr>
              <w:t> </w:t>
            </w:r>
            <w:r>
              <w:rPr>
                <w:color w:val="231F20"/>
                <w:sz w:val="20"/>
              </w:rPr>
              <w:t>about</w:t>
            </w:r>
            <w:r>
              <w:rPr>
                <w:color w:val="231F20"/>
                <w:spacing w:val="-2"/>
                <w:sz w:val="20"/>
              </w:rPr>
              <w:t> </w:t>
            </w:r>
            <w:r>
              <w:rPr>
                <w:color w:val="231F20"/>
                <w:sz w:val="20"/>
              </w:rPr>
              <w:t>HIV</w:t>
            </w:r>
            <w:r>
              <w:rPr>
                <w:color w:val="231F20"/>
                <w:spacing w:val="-3"/>
                <w:sz w:val="20"/>
              </w:rPr>
              <w:t> </w:t>
            </w:r>
            <w:r>
              <w:rPr>
                <w:color w:val="231F20"/>
                <w:sz w:val="20"/>
              </w:rPr>
              <w:t>transmission</w:t>
            </w:r>
          </w:p>
          <w:p>
            <w:pPr>
              <w:pStyle w:val="TableParagraph"/>
              <w:numPr>
                <w:ilvl w:val="0"/>
                <w:numId w:val="35"/>
              </w:numPr>
              <w:tabs>
                <w:tab w:pos="391" w:val="left" w:leader="none"/>
                <w:tab w:pos="392" w:val="left" w:leader="none"/>
              </w:tabs>
              <w:spacing w:line="240" w:lineRule="exact" w:before="0" w:after="0"/>
              <w:ind w:left="391" w:right="123" w:hanging="360"/>
              <w:jc w:val="left"/>
              <w:rPr>
                <w:sz w:val="20"/>
              </w:rPr>
            </w:pPr>
            <w:r>
              <w:rPr>
                <w:color w:val="231F20"/>
                <w:sz w:val="20"/>
              </w:rPr>
              <w:t>Knowledge of overdose prevention</w:t>
            </w:r>
            <w:r>
              <w:rPr>
                <w:color w:val="231F20"/>
                <w:spacing w:val="1"/>
                <w:sz w:val="20"/>
              </w:rPr>
              <w:t> </w:t>
            </w:r>
            <w:r>
              <w:rPr>
                <w:color w:val="231F20"/>
                <w:sz w:val="20"/>
              </w:rPr>
              <w:t>strategies (e.g., naloxone access and</w:t>
            </w:r>
            <w:r>
              <w:rPr>
                <w:color w:val="231F20"/>
                <w:spacing w:val="-54"/>
                <w:sz w:val="20"/>
              </w:rPr>
              <w:t> </w:t>
            </w:r>
            <w:r>
              <w:rPr>
                <w:color w:val="231F20"/>
                <w:sz w:val="20"/>
              </w:rPr>
              <w:t>trainings)</w:t>
            </w:r>
          </w:p>
        </w:tc>
        <w:tc>
          <w:tcPr>
            <w:tcW w:w="3951" w:type="dxa"/>
            <w:vMerge w:val="restart"/>
          </w:tcPr>
          <w:p>
            <w:pPr>
              <w:pStyle w:val="TableParagraph"/>
              <w:numPr>
                <w:ilvl w:val="0"/>
                <w:numId w:val="36"/>
              </w:numPr>
              <w:tabs>
                <w:tab w:pos="400" w:val="left" w:leader="none"/>
                <w:tab w:pos="402" w:val="left" w:leader="none"/>
              </w:tabs>
              <w:spacing w:line="235" w:lineRule="exact" w:before="0" w:after="0"/>
              <w:ind w:left="401" w:right="0" w:hanging="361"/>
              <w:jc w:val="left"/>
              <w:rPr>
                <w:sz w:val="20"/>
              </w:rPr>
            </w:pPr>
            <w:r>
              <w:rPr>
                <w:color w:val="231F20"/>
                <w:sz w:val="20"/>
              </w:rPr>
              <w:t>Qualitative</w:t>
            </w:r>
            <w:r>
              <w:rPr>
                <w:color w:val="231F20"/>
                <w:spacing w:val="-3"/>
                <w:sz w:val="20"/>
              </w:rPr>
              <w:t> </w:t>
            </w:r>
            <w:r>
              <w:rPr>
                <w:color w:val="231F20"/>
                <w:sz w:val="20"/>
              </w:rPr>
              <w:t>interviews</w:t>
            </w:r>
            <w:r>
              <w:rPr>
                <w:color w:val="231F20"/>
                <w:spacing w:val="-4"/>
                <w:sz w:val="20"/>
              </w:rPr>
              <w:t> </w:t>
            </w:r>
            <w:r>
              <w:rPr>
                <w:color w:val="231F20"/>
                <w:sz w:val="20"/>
              </w:rPr>
              <w:t>(staff</w:t>
            </w:r>
            <w:r>
              <w:rPr>
                <w:color w:val="231F20"/>
                <w:spacing w:val="-3"/>
                <w:sz w:val="20"/>
              </w:rPr>
              <w:t> </w:t>
            </w:r>
            <w:r>
              <w:rPr>
                <w:color w:val="231F20"/>
                <w:sz w:val="20"/>
              </w:rPr>
              <w:t>and</w:t>
            </w:r>
            <w:r>
              <w:rPr>
                <w:color w:val="231F20"/>
                <w:spacing w:val="-4"/>
                <w:sz w:val="20"/>
              </w:rPr>
              <w:t> </w:t>
            </w:r>
            <w:r>
              <w:rPr>
                <w:color w:val="231F20"/>
                <w:sz w:val="20"/>
              </w:rPr>
              <w:t>clients)</w:t>
            </w:r>
          </w:p>
          <w:p>
            <w:pPr>
              <w:pStyle w:val="TableParagraph"/>
              <w:numPr>
                <w:ilvl w:val="0"/>
                <w:numId w:val="36"/>
              </w:numPr>
              <w:tabs>
                <w:tab w:pos="400" w:val="left" w:leader="none"/>
                <w:tab w:pos="402" w:val="left" w:leader="none"/>
              </w:tabs>
              <w:spacing w:line="240" w:lineRule="exact" w:before="0" w:after="0"/>
              <w:ind w:left="401" w:right="0" w:hanging="361"/>
              <w:jc w:val="left"/>
              <w:rPr>
                <w:sz w:val="20"/>
              </w:rPr>
            </w:pPr>
            <w:r>
              <w:rPr>
                <w:color w:val="231F20"/>
                <w:sz w:val="20"/>
              </w:rPr>
              <w:t>Structured</w:t>
            </w:r>
            <w:r>
              <w:rPr>
                <w:color w:val="231F20"/>
                <w:spacing w:val="-4"/>
                <w:sz w:val="20"/>
              </w:rPr>
              <w:t> </w:t>
            </w:r>
            <w:r>
              <w:rPr>
                <w:color w:val="231F20"/>
                <w:sz w:val="20"/>
              </w:rPr>
              <w:t>scales</w:t>
            </w:r>
            <w:r>
              <w:rPr>
                <w:color w:val="231F20"/>
                <w:spacing w:val="-3"/>
                <w:sz w:val="20"/>
              </w:rPr>
              <w:t> </w:t>
            </w:r>
            <w:r>
              <w:rPr>
                <w:color w:val="231F20"/>
                <w:sz w:val="20"/>
              </w:rPr>
              <w:t>and</w:t>
            </w:r>
            <w:r>
              <w:rPr>
                <w:color w:val="231F20"/>
                <w:spacing w:val="-4"/>
                <w:sz w:val="20"/>
              </w:rPr>
              <w:t> </w:t>
            </w:r>
            <w:r>
              <w:rPr>
                <w:color w:val="231F20"/>
                <w:sz w:val="20"/>
              </w:rPr>
              <w:t>assessments</w:t>
            </w:r>
          </w:p>
          <w:p>
            <w:pPr>
              <w:pStyle w:val="TableParagraph"/>
              <w:numPr>
                <w:ilvl w:val="0"/>
                <w:numId w:val="36"/>
              </w:numPr>
              <w:tabs>
                <w:tab w:pos="400" w:val="left" w:leader="none"/>
                <w:tab w:pos="402" w:val="left" w:leader="none"/>
              </w:tabs>
              <w:spacing w:line="240" w:lineRule="exact" w:before="0" w:after="0"/>
              <w:ind w:left="401" w:right="0" w:hanging="361"/>
              <w:jc w:val="left"/>
              <w:rPr>
                <w:sz w:val="20"/>
              </w:rPr>
            </w:pPr>
            <w:r>
              <w:rPr>
                <w:color w:val="231F20"/>
                <w:sz w:val="20"/>
              </w:rPr>
              <w:t>Attendance/administrative</w:t>
            </w:r>
            <w:r>
              <w:rPr>
                <w:color w:val="231F20"/>
                <w:spacing w:val="-2"/>
                <w:sz w:val="20"/>
              </w:rPr>
              <w:t> </w:t>
            </w:r>
            <w:r>
              <w:rPr>
                <w:color w:val="231F20"/>
                <w:sz w:val="20"/>
              </w:rPr>
              <w:t>data</w:t>
            </w:r>
          </w:p>
          <w:p>
            <w:pPr>
              <w:pStyle w:val="TableParagraph"/>
              <w:numPr>
                <w:ilvl w:val="0"/>
                <w:numId w:val="36"/>
              </w:numPr>
              <w:tabs>
                <w:tab w:pos="400" w:val="left" w:leader="none"/>
                <w:tab w:pos="402" w:val="left" w:leader="none"/>
              </w:tabs>
              <w:spacing w:line="240" w:lineRule="exact" w:before="0" w:after="0"/>
              <w:ind w:left="401" w:right="526" w:hanging="360"/>
              <w:jc w:val="left"/>
              <w:rPr>
                <w:sz w:val="20"/>
              </w:rPr>
            </w:pPr>
            <w:r>
              <w:rPr>
                <w:color w:val="231F20"/>
                <w:sz w:val="20"/>
              </w:rPr>
              <w:t>Number of naloxone trainings and</w:t>
            </w:r>
            <w:r>
              <w:rPr>
                <w:color w:val="231F20"/>
                <w:spacing w:val="-54"/>
                <w:sz w:val="20"/>
              </w:rPr>
              <w:t> </w:t>
            </w:r>
            <w:r>
              <w:rPr>
                <w:color w:val="231F20"/>
                <w:sz w:val="20"/>
              </w:rPr>
              <w:t>naloxone</w:t>
            </w:r>
            <w:r>
              <w:rPr>
                <w:color w:val="231F20"/>
                <w:spacing w:val="-2"/>
                <w:sz w:val="20"/>
              </w:rPr>
              <w:t> </w:t>
            </w:r>
            <w:r>
              <w:rPr>
                <w:color w:val="231F20"/>
                <w:sz w:val="20"/>
              </w:rPr>
              <w:t>kits</w:t>
            </w:r>
            <w:r>
              <w:rPr>
                <w:color w:val="231F20"/>
                <w:spacing w:val="-1"/>
                <w:sz w:val="20"/>
              </w:rPr>
              <w:t> </w:t>
            </w:r>
            <w:r>
              <w:rPr>
                <w:color w:val="231F20"/>
                <w:sz w:val="20"/>
              </w:rPr>
              <w:t>distributed</w:t>
            </w:r>
          </w:p>
        </w:tc>
      </w:tr>
      <w:tr>
        <w:trPr>
          <w:trHeight w:val="940" w:hRule="atLeast"/>
        </w:trPr>
        <w:tc>
          <w:tcPr>
            <w:tcW w:w="1982" w:type="dxa"/>
            <w:vMerge/>
            <w:tcBorders>
              <w:top w:val="nil"/>
            </w:tcBorders>
          </w:tcPr>
          <w:p>
            <w:pPr>
              <w:rPr>
                <w:sz w:val="2"/>
                <w:szCs w:val="2"/>
              </w:rPr>
            </w:pPr>
          </w:p>
        </w:tc>
        <w:tc>
          <w:tcPr>
            <w:tcW w:w="1000" w:type="dxa"/>
            <w:shd w:val="clear" w:color="auto" w:fill="1C384B"/>
          </w:tcPr>
          <w:p>
            <w:pPr>
              <w:pStyle w:val="TableParagraph"/>
              <w:spacing w:before="5"/>
              <w:ind w:left="52"/>
              <w:rPr>
                <w:b/>
                <w:sz w:val="20"/>
              </w:rPr>
            </w:pPr>
            <w:r>
              <w:rPr>
                <w:b/>
                <w:color w:val="FFFFFF"/>
                <w:sz w:val="20"/>
              </w:rPr>
              <w:t>CBT</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480" w:hRule="atLeast"/>
        </w:trPr>
        <w:tc>
          <w:tcPr>
            <w:tcW w:w="1982" w:type="dxa"/>
          </w:tcPr>
          <w:p>
            <w:pPr>
              <w:pStyle w:val="TableParagraph"/>
              <w:spacing w:before="5"/>
              <w:ind w:left="43"/>
              <w:rPr>
                <w:b/>
                <w:sz w:val="20"/>
              </w:rPr>
            </w:pPr>
            <w:r>
              <w:rPr>
                <w:b/>
                <w:color w:val="231F20"/>
                <w:sz w:val="20"/>
              </w:rPr>
              <w:t>PrEP</w:t>
            </w:r>
            <w:r>
              <w:rPr>
                <w:b/>
                <w:color w:val="231F20"/>
                <w:spacing w:val="-4"/>
                <w:sz w:val="20"/>
              </w:rPr>
              <w:t> </w:t>
            </w:r>
            <w:r>
              <w:rPr>
                <w:b/>
                <w:color w:val="231F20"/>
                <w:sz w:val="20"/>
              </w:rPr>
              <w:t>uptake</w:t>
            </w:r>
          </w:p>
        </w:tc>
        <w:tc>
          <w:tcPr>
            <w:tcW w:w="1000" w:type="dxa"/>
            <w:shd w:val="clear" w:color="auto" w:fill="CE372D"/>
          </w:tcPr>
          <w:p>
            <w:pPr>
              <w:pStyle w:val="TableParagraph"/>
              <w:spacing w:before="5"/>
              <w:ind w:left="52"/>
              <w:rPr>
                <w:b/>
                <w:sz w:val="20"/>
              </w:rPr>
            </w:pPr>
            <w:r>
              <w:rPr>
                <w:b/>
                <w:color w:val="FFFFFF"/>
                <w:sz w:val="20"/>
              </w:rPr>
              <w:t>PrEP</w:t>
            </w:r>
          </w:p>
        </w:tc>
        <w:tc>
          <w:tcPr>
            <w:tcW w:w="3850" w:type="dxa"/>
          </w:tcPr>
          <w:p>
            <w:pPr>
              <w:pStyle w:val="TableParagraph"/>
              <w:numPr>
                <w:ilvl w:val="0"/>
                <w:numId w:val="37"/>
              </w:numPr>
              <w:tabs>
                <w:tab w:pos="391" w:val="left" w:leader="none"/>
                <w:tab w:pos="392" w:val="left" w:leader="none"/>
              </w:tabs>
              <w:spacing w:line="237" w:lineRule="exact" w:before="0" w:after="0"/>
              <w:ind w:left="391" w:right="0" w:hanging="361"/>
              <w:jc w:val="left"/>
              <w:rPr>
                <w:sz w:val="20"/>
              </w:rPr>
            </w:pPr>
            <w:r>
              <w:rPr>
                <w:color w:val="231F20"/>
                <w:sz w:val="20"/>
              </w:rPr>
              <w:t>Number</w:t>
            </w:r>
            <w:r>
              <w:rPr>
                <w:color w:val="231F20"/>
                <w:spacing w:val="-6"/>
                <w:sz w:val="20"/>
              </w:rPr>
              <w:t> </w:t>
            </w:r>
            <w:r>
              <w:rPr>
                <w:color w:val="231F20"/>
                <w:sz w:val="20"/>
              </w:rPr>
              <w:t>of</w:t>
            </w:r>
            <w:r>
              <w:rPr>
                <w:color w:val="231F20"/>
                <w:spacing w:val="-6"/>
                <w:sz w:val="20"/>
              </w:rPr>
              <w:t> </w:t>
            </w:r>
            <w:r>
              <w:rPr>
                <w:color w:val="231F20"/>
                <w:sz w:val="20"/>
              </w:rPr>
              <w:t>PrEP</w:t>
            </w:r>
            <w:r>
              <w:rPr>
                <w:color w:val="231F20"/>
                <w:spacing w:val="-8"/>
                <w:sz w:val="20"/>
              </w:rPr>
              <w:t> </w:t>
            </w:r>
            <w:r>
              <w:rPr>
                <w:color w:val="231F20"/>
                <w:sz w:val="20"/>
              </w:rPr>
              <w:t>prescriptions</w:t>
            </w:r>
          </w:p>
          <w:p>
            <w:pPr>
              <w:pStyle w:val="TableParagraph"/>
              <w:spacing w:line="215" w:lineRule="exact" w:before="8"/>
              <w:ind w:left="391"/>
              <w:rPr>
                <w:sz w:val="20"/>
              </w:rPr>
            </w:pPr>
            <w:r>
              <w:rPr>
                <w:color w:val="231F20"/>
                <w:sz w:val="20"/>
              </w:rPr>
              <w:t>provided</w:t>
            </w:r>
            <w:r>
              <w:rPr>
                <w:color w:val="231F20"/>
                <w:spacing w:val="-4"/>
                <w:sz w:val="20"/>
              </w:rPr>
              <w:t> </w:t>
            </w:r>
            <w:r>
              <w:rPr>
                <w:color w:val="231F20"/>
                <w:sz w:val="20"/>
              </w:rPr>
              <w:t>and</w:t>
            </w:r>
            <w:r>
              <w:rPr>
                <w:color w:val="231F20"/>
                <w:spacing w:val="-4"/>
                <w:sz w:val="20"/>
              </w:rPr>
              <w:t> </w:t>
            </w:r>
            <w:r>
              <w:rPr>
                <w:color w:val="231F20"/>
                <w:sz w:val="20"/>
              </w:rPr>
              <w:t>filled</w:t>
            </w:r>
          </w:p>
        </w:tc>
        <w:tc>
          <w:tcPr>
            <w:tcW w:w="3951" w:type="dxa"/>
          </w:tcPr>
          <w:p>
            <w:pPr>
              <w:pStyle w:val="TableParagraph"/>
              <w:numPr>
                <w:ilvl w:val="0"/>
                <w:numId w:val="38"/>
              </w:numPr>
              <w:tabs>
                <w:tab w:pos="400" w:val="left" w:leader="none"/>
                <w:tab w:pos="402" w:val="left" w:leader="none"/>
              </w:tabs>
              <w:spacing w:line="235" w:lineRule="exact" w:before="0" w:after="0"/>
              <w:ind w:left="401" w:right="0" w:hanging="361"/>
              <w:jc w:val="left"/>
              <w:rPr>
                <w:sz w:val="20"/>
              </w:rPr>
            </w:pPr>
            <w:r>
              <w:rPr>
                <w:color w:val="231F20"/>
                <w:sz w:val="20"/>
              </w:rPr>
              <w:t>Medical records</w:t>
            </w:r>
          </w:p>
          <w:p>
            <w:pPr>
              <w:pStyle w:val="TableParagraph"/>
              <w:numPr>
                <w:ilvl w:val="0"/>
                <w:numId w:val="38"/>
              </w:numPr>
              <w:tabs>
                <w:tab w:pos="400" w:val="left" w:leader="none"/>
                <w:tab w:pos="402" w:val="left" w:leader="none"/>
              </w:tabs>
              <w:spacing w:line="226" w:lineRule="exact" w:before="0" w:after="0"/>
              <w:ind w:left="401" w:right="0" w:hanging="361"/>
              <w:jc w:val="left"/>
              <w:rPr>
                <w:sz w:val="20"/>
              </w:rPr>
            </w:pPr>
            <w:r>
              <w:rPr>
                <w:color w:val="231F20"/>
                <w:sz w:val="20"/>
              </w:rPr>
              <w:t>Pharmacy records</w:t>
            </w:r>
          </w:p>
        </w:tc>
      </w:tr>
      <w:tr>
        <w:trPr>
          <w:trHeight w:val="240" w:hRule="atLeast"/>
        </w:trPr>
        <w:tc>
          <w:tcPr>
            <w:tcW w:w="1982" w:type="dxa"/>
            <w:vMerge w:val="restart"/>
          </w:tcPr>
          <w:p>
            <w:pPr>
              <w:pStyle w:val="TableParagraph"/>
              <w:spacing w:line="249" w:lineRule="auto" w:before="5"/>
              <w:ind w:left="43" w:right="125"/>
              <w:rPr>
                <w:b/>
                <w:sz w:val="20"/>
              </w:rPr>
            </w:pPr>
            <w:r>
              <w:rPr>
                <w:b/>
                <w:color w:val="231F20"/>
                <w:sz w:val="20"/>
              </w:rPr>
              <w:t>Linkage or re-</w:t>
            </w:r>
            <w:r>
              <w:rPr>
                <w:b/>
                <w:color w:val="231F20"/>
                <w:spacing w:val="1"/>
                <w:sz w:val="20"/>
              </w:rPr>
              <w:t> </w:t>
            </w:r>
            <w:r>
              <w:rPr>
                <w:b/>
                <w:color w:val="231F20"/>
                <w:sz w:val="20"/>
              </w:rPr>
              <w:t>linkage</w:t>
            </w:r>
            <w:r>
              <w:rPr>
                <w:b/>
                <w:color w:val="231F20"/>
                <w:spacing w:val="-5"/>
                <w:sz w:val="20"/>
              </w:rPr>
              <w:t> </w:t>
            </w:r>
            <w:r>
              <w:rPr>
                <w:b/>
                <w:color w:val="231F20"/>
                <w:sz w:val="20"/>
              </w:rPr>
              <w:t>to</w:t>
            </w:r>
            <w:r>
              <w:rPr>
                <w:b/>
                <w:color w:val="231F20"/>
                <w:spacing w:val="-5"/>
                <w:sz w:val="20"/>
              </w:rPr>
              <w:t> </w:t>
            </w:r>
            <w:r>
              <w:rPr>
                <w:b/>
                <w:color w:val="231F20"/>
                <w:sz w:val="20"/>
              </w:rPr>
              <w:t>HIV</w:t>
            </w:r>
            <w:r>
              <w:rPr>
                <w:b/>
                <w:color w:val="231F20"/>
                <w:spacing w:val="-6"/>
                <w:sz w:val="20"/>
              </w:rPr>
              <w:t> </w:t>
            </w:r>
            <w:r>
              <w:rPr>
                <w:b/>
                <w:color w:val="231F20"/>
                <w:sz w:val="20"/>
              </w:rPr>
              <w:t>care</w:t>
            </w:r>
          </w:p>
        </w:tc>
        <w:tc>
          <w:tcPr>
            <w:tcW w:w="1000" w:type="dxa"/>
            <w:shd w:val="clear" w:color="auto" w:fill="70499D"/>
          </w:tcPr>
          <w:p>
            <w:pPr>
              <w:pStyle w:val="TableParagraph"/>
              <w:spacing w:line="215" w:lineRule="exact" w:before="5"/>
              <w:ind w:left="52"/>
              <w:rPr>
                <w:b/>
                <w:sz w:val="20"/>
              </w:rPr>
            </w:pPr>
            <w:r>
              <w:rPr>
                <w:b/>
                <w:color w:val="FFFFFF"/>
                <w:sz w:val="20"/>
              </w:rPr>
              <w:t>SSPs</w:t>
            </w:r>
          </w:p>
        </w:tc>
        <w:tc>
          <w:tcPr>
            <w:tcW w:w="3850" w:type="dxa"/>
            <w:vMerge w:val="restart"/>
          </w:tcPr>
          <w:p>
            <w:pPr>
              <w:pStyle w:val="TableParagraph"/>
              <w:numPr>
                <w:ilvl w:val="0"/>
                <w:numId w:val="39"/>
              </w:numPr>
              <w:tabs>
                <w:tab w:pos="391" w:val="left" w:leader="none"/>
                <w:tab w:pos="392" w:val="left" w:leader="none"/>
              </w:tabs>
              <w:spacing w:line="247" w:lineRule="auto" w:before="0" w:after="0"/>
              <w:ind w:left="391" w:right="236" w:hanging="360"/>
              <w:jc w:val="left"/>
              <w:rPr>
                <w:sz w:val="20"/>
              </w:rPr>
            </w:pPr>
            <w:r>
              <w:rPr>
                <w:color w:val="231F20"/>
                <w:sz w:val="20"/>
              </w:rPr>
              <w:t>Number</w:t>
            </w:r>
            <w:r>
              <w:rPr>
                <w:color w:val="231F20"/>
                <w:spacing w:val="-6"/>
                <w:sz w:val="20"/>
              </w:rPr>
              <w:t> </w:t>
            </w:r>
            <w:r>
              <w:rPr>
                <w:color w:val="231F20"/>
                <w:sz w:val="20"/>
              </w:rPr>
              <w:t>of</w:t>
            </w:r>
            <w:r>
              <w:rPr>
                <w:color w:val="231F20"/>
                <w:spacing w:val="-6"/>
                <w:sz w:val="20"/>
              </w:rPr>
              <w:t> </w:t>
            </w:r>
            <w:r>
              <w:rPr>
                <w:color w:val="231F20"/>
                <w:sz w:val="20"/>
              </w:rPr>
              <w:t>HIV</w:t>
            </w:r>
            <w:r>
              <w:rPr>
                <w:color w:val="231F20"/>
                <w:spacing w:val="-6"/>
                <w:sz w:val="20"/>
              </w:rPr>
              <w:t> </w:t>
            </w:r>
            <w:r>
              <w:rPr>
                <w:color w:val="231F20"/>
                <w:sz w:val="20"/>
              </w:rPr>
              <w:t>linkage-to-care</w:t>
            </w:r>
            <w:r>
              <w:rPr>
                <w:color w:val="231F20"/>
                <w:spacing w:val="-6"/>
                <w:sz w:val="20"/>
              </w:rPr>
              <w:t> </w:t>
            </w:r>
            <w:r>
              <w:rPr>
                <w:color w:val="231F20"/>
                <w:sz w:val="20"/>
              </w:rPr>
              <w:t>visits</w:t>
            </w:r>
            <w:r>
              <w:rPr>
                <w:color w:val="231F20"/>
                <w:spacing w:val="-53"/>
                <w:sz w:val="20"/>
              </w:rPr>
              <w:t> </w:t>
            </w:r>
            <w:r>
              <w:rPr>
                <w:color w:val="231F20"/>
                <w:sz w:val="20"/>
              </w:rPr>
              <w:t>scheduled</w:t>
            </w:r>
            <w:r>
              <w:rPr>
                <w:color w:val="231F20"/>
                <w:spacing w:val="-1"/>
                <w:sz w:val="20"/>
              </w:rPr>
              <w:t> </w:t>
            </w:r>
            <w:r>
              <w:rPr>
                <w:color w:val="231F20"/>
                <w:sz w:val="20"/>
              </w:rPr>
              <w:t>and</w:t>
            </w:r>
            <w:r>
              <w:rPr>
                <w:color w:val="231F20"/>
                <w:spacing w:val="-1"/>
                <w:sz w:val="20"/>
              </w:rPr>
              <w:t> </w:t>
            </w:r>
            <w:r>
              <w:rPr>
                <w:color w:val="231F20"/>
                <w:sz w:val="20"/>
              </w:rPr>
              <w:t>completed</w:t>
            </w:r>
          </w:p>
        </w:tc>
        <w:tc>
          <w:tcPr>
            <w:tcW w:w="3951" w:type="dxa"/>
            <w:vMerge w:val="restart"/>
          </w:tcPr>
          <w:p>
            <w:pPr>
              <w:pStyle w:val="TableParagraph"/>
              <w:numPr>
                <w:ilvl w:val="0"/>
                <w:numId w:val="40"/>
              </w:numPr>
              <w:tabs>
                <w:tab w:pos="400" w:val="left" w:leader="none"/>
                <w:tab w:pos="402" w:val="left" w:leader="none"/>
              </w:tabs>
              <w:spacing w:line="235" w:lineRule="exact" w:before="0" w:after="0"/>
              <w:ind w:left="401" w:right="0" w:hanging="361"/>
              <w:jc w:val="left"/>
              <w:rPr>
                <w:sz w:val="20"/>
              </w:rPr>
            </w:pPr>
            <w:r>
              <w:rPr>
                <w:color w:val="231F20"/>
                <w:sz w:val="20"/>
              </w:rPr>
              <w:t>Administrative records</w:t>
            </w:r>
          </w:p>
          <w:p>
            <w:pPr>
              <w:pStyle w:val="TableParagraph"/>
              <w:numPr>
                <w:ilvl w:val="0"/>
                <w:numId w:val="40"/>
              </w:numPr>
              <w:tabs>
                <w:tab w:pos="400" w:val="left" w:leader="none"/>
                <w:tab w:pos="402" w:val="left" w:leader="none"/>
              </w:tabs>
              <w:spacing w:line="243" w:lineRule="exact" w:before="0" w:after="0"/>
              <w:ind w:left="401" w:right="0" w:hanging="361"/>
              <w:jc w:val="left"/>
              <w:rPr>
                <w:sz w:val="20"/>
              </w:rPr>
            </w:pPr>
            <w:r>
              <w:rPr>
                <w:color w:val="231F20"/>
                <w:sz w:val="20"/>
              </w:rPr>
              <w:t>Medical records</w:t>
            </w:r>
          </w:p>
        </w:tc>
      </w:tr>
      <w:tr>
        <w:trPr>
          <w:trHeight w:val="240" w:hRule="atLeast"/>
        </w:trPr>
        <w:tc>
          <w:tcPr>
            <w:tcW w:w="1982" w:type="dxa"/>
            <w:vMerge/>
            <w:tcBorders>
              <w:top w:val="nil"/>
            </w:tcBorders>
          </w:tcPr>
          <w:p>
            <w:pPr>
              <w:rPr>
                <w:sz w:val="2"/>
                <w:szCs w:val="2"/>
              </w:rPr>
            </w:pPr>
          </w:p>
        </w:tc>
        <w:tc>
          <w:tcPr>
            <w:tcW w:w="1000" w:type="dxa"/>
            <w:shd w:val="clear" w:color="auto" w:fill="1D6889"/>
          </w:tcPr>
          <w:p>
            <w:pPr>
              <w:pStyle w:val="TableParagraph"/>
              <w:spacing w:line="215" w:lineRule="exact" w:before="5"/>
              <w:ind w:left="52"/>
              <w:rPr>
                <w:b/>
                <w:sz w:val="20"/>
              </w:rPr>
            </w:pPr>
            <w:r>
              <w:rPr>
                <w:b/>
                <w:color w:val="FFFFFF"/>
                <w:sz w:val="20"/>
              </w:rPr>
              <w:t>CM</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240" w:hRule="atLeast"/>
        </w:trPr>
        <w:tc>
          <w:tcPr>
            <w:tcW w:w="1982" w:type="dxa"/>
            <w:vMerge/>
            <w:tcBorders>
              <w:top w:val="nil"/>
            </w:tcBorders>
          </w:tcPr>
          <w:p>
            <w:pPr>
              <w:rPr>
                <w:sz w:val="2"/>
                <w:szCs w:val="2"/>
              </w:rPr>
            </w:pPr>
          </w:p>
        </w:tc>
        <w:tc>
          <w:tcPr>
            <w:tcW w:w="1000" w:type="dxa"/>
            <w:shd w:val="clear" w:color="auto" w:fill="659740"/>
          </w:tcPr>
          <w:p>
            <w:pPr>
              <w:pStyle w:val="TableParagraph"/>
              <w:spacing w:line="215" w:lineRule="exact" w:before="5"/>
              <w:ind w:left="52"/>
              <w:rPr>
                <w:b/>
                <w:sz w:val="20"/>
              </w:rPr>
            </w:pPr>
            <w:r>
              <w:rPr>
                <w:b/>
                <w:color w:val="FFFFFF"/>
                <w:sz w:val="20"/>
              </w:rPr>
              <w:t>PN</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242" w:hRule="atLeast"/>
        </w:trPr>
        <w:tc>
          <w:tcPr>
            <w:tcW w:w="1982" w:type="dxa"/>
            <w:vMerge w:val="restart"/>
          </w:tcPr>
          <w:p>
            <w:pPr>
              <w:pStyle w:val="TableParagraph"/>
              <w:spacing w:line="249" w:lineRule="auto" w:before="5"/>
              <w:ind w:left="43" w:right="176"/>
              <w:rPr>
                <w:b/>
                <w:sz w:val="20"/>
              </w:rPr>
            </w:pPr>
            <w:r>
              <w:rPr>
                <w:b/>
                <w:color w:val="231F20"/>
                <w:sz w:val="20"/>
              </w:rPr>
              <w:t>Injection drug use</w:t>
            </w:r>
            <w:r>
              <w:rPr>
                <w:b/>
                <w:color w:val="231F20"/>
                <w:spacing w:val="-53"/>
                <w:sz w:val="20"/>
              </w:rPr>
              <w:t> </w:t>
            </w:r>
            <w:r>
              <w:rPr>
                <w:b/>
                <w:color w:val="231F20"/>
                <w:sz w:val="20"/>
              </w:rPr>
              <w:t>behaviors</w:t>
            </w:r>
          </w:p>
        </w:tc>
        <w:tc>
          <w:tcPr>
            <w:tcW w:w="1000" w:type="dxa"/>
            <w:shd w:val="clear" w:color="auto" w:fill="70499D"/>
          </w:tcPr>
          <w:p>
            <w:pPr>
              <w:pStyle w:val="TableParagraph"/>
              <w:spacing w:line="217" w:lineRule="exact" w:before="5"/>
              <w:ind w:left="52"/>
              <w:rPr>
                <w:b/>
                <w:sz w:val="20"/>
              </w:rPr>
            </w:pPr>
            <w:r>
              <w:rPr>
                <w:b/>
                <w:color w:val="FFFFFF"/>
                <w:sz w:val="20"/>
              </w:rPr>
              <w:t>SSPs</w:t>
            </w:r>
          </w:p>
        </w:tc>
        <w:tc>
          <w:tcPr>
            <w:tcW w:w="3850" w:type="dxa"/>
            <w:vMerge w:val="restart"/>
          </w:tcPr>
          <w:p>
            <w:pPr>
              <w:pStyle w:val="TableParagraph"/>
              <w:numPr>
                <w:ilvl w:val="0"/>
                <w:numId w:val="41"/>
              </w:numPr>
              <w:tabs>
                <w:tab w:pos="391" w:val="left" w:leader="none"/>
                <w:tab w:pos="392" w:val="left" w:leader="none"/>
              </w:tabs>
              <w:spacing w:line="235" w:lineRule="exact" w:before="0" w:after="0"/>
              <w:ind w:left="391" w:right="0" w:hanging="361"/>
              <w:jc w:val="left"/>
              <w:rPr>
                <w:sz w:val="20"/>
              </w:rPr>
            </w:pPr>
            <w:r>
              <w:rPr>
                <w:color w:val="231F20"/>
                <w:sz w:val="20"/>
              </w:rPr>
              <w:t>Injecting</w:t>
            </w:r>
            <w:r>
              <w:rPr>
                <w:color w:val="231F20"/>
                <w:spacing w:val="-1"/>
                <w:sz w:val="20"/>
              </w:rPr>
              <w:t> </w:t>
            </w:r>
            <w:r>
              <w:rPr>
                <w:color w:val="231F20"/>
                <w:sz w:val="20"/>
              </w:rPr>
              <w:t>with</w:t>
            </w:r>
            <w:r>
              <w:rPr>
                <w:color w:val="231F20"/>
                <w:spacing w:val="-2"/>
                <w:sz w:val="20"/>
              </w:rPr>
              <w:t> </w:t>
            </w:r>
            <w:r>
              <w:rPr>
                <w:color w:val="231F20"/>
                <w:sz w:val="20"/>
              </w:rPr>
              <w:t>a</w:t>
            </w:r>
            <w:r>
              <w:rPr>
                <w:color w:val="231F20"/>
                <w:spacing w:val="-1"/>
                <w:sz w:val="20"/>
              </w:rPr>
              <w:t> </w:t>
            </w:r>
            <w:r>
              <w:rPr>
                <w:color w:val="231F20"/>
                <w:sz w:val="20"/>
              </w:rPr>
              <w:t>sterile</w:t>
            </w:r>
            <w:r>
              <w:rPr>
                <w:color w:val="231F20"/>
                <w:spacing w:val="-1"/>
                <w:sz w:val="20"/>
              </w:rPr>
              <w:t> </w:t>
            </w:r>
            <w:r>
              <w:rPr>
                <w:color w:val="231F20"/>
                <w:sz w:val="20"/>
              </w:rPr>
              <w:t>syringe</w:t>
            </w:r>
          </w:p>
          <w:p>
            <w:pPr>
              <w:pStyle w:val="TableParagraph"/>
              <w:numPr>
                <w:ilvl w:val="0"/>
                <w:numId w:val="41"/>
              </w:numPr>
              <w:tabs>
                <w:tab w:pos="391" w:val="left" w:leader="none"/>
                <w:tab w:pos="392" w:val="left" w:leader="none"/>
              </w:tabs>
              <w:spacing w:line="243" w:lineRule="exact" w:before="0" w:after="0"/>
              <w:ind w:left="391" w:right="0" w:hanging="361"/>
              <w:jc w:val="left"/>
              <w:rPr>
                <w:sz w:val="20"/>
              </w:rPr>
            </w:pPr>
            <w:r>
              <w:rPr>
                <w:color w:val="231F20"/>
                <w:sz w:val="20"/>
              </w:rPr>
              <w:t>Sharing</w:t>
            </w:r>
            <w:r>
              <w:rPr>
                <w:color w:val="231F20"/>
                <w:spacing w:val="-6"/>
                <w:sz w:val="20"/>
              </w:rPr>
              <w:t> </w:t>
            </w:r>
            <w:r>
              <w:rPr>
                <w:color w:val="231F20"/>
                <w:sz w:val="20"/>
              </w:rPr>
              <w:t>injection</w:t>
            </w:r>
            <w:r>
              <w:rPr>
                <w:color w:val="231F20"/>
                <w:spacing w:val="-6"/>
                <w:sz w:val="20"/>
              </w:rPr>
              <w:t> </w:t>
            </w:r>
            <w:r>
              <w:rPr>
                <w:color w:val="231F20"/>
                <w:sz w:val="20"/>
              </w:rPr>
              <w:t>equipment</w:t>
            </w:r>
          </w:p>
        </w:tc>
        <w:tc>
          <w:tcPr>
            <w:tcW w:w="3951" w:type="dxa"/>
            <w:vMerge w:val="restart"/>
          </w:tcPr>
          <w:p>
            <w:pPr>
              <w:pStyle w:val="TableParagraph"/>
              <w:numPr>
                <w:ilvl w:val="0"/>
                <w:numId w:val="42"/>
              </w:numPr>
              <w:tabs>
                <w:tab w:pos="400" w:val="left" w:leader="none"/>
                <w:tab w:pos="401" w:val="left" w:leader="none"/>
              </w:tabs>
              <w:spacing w:line="235" w:lineRule="exact" w:before="0" w:after="0"/>
              <w:ind w:left="400" w:right="0" w:hanging="361"/>
              <w:jc w:val="left"/>
              <w:rPr>
                <w:sz w:val="20"/>
              </w:rPr>
            </w:pPr>
            <w:r>
              <w:rPr>
                <w:color w:val="231F20"/>
                <w:sz w:val="20"/>
              </w:rPr>
              <w:t>Qualitative</w:t>
            </w:r>
            <w:r>
              <w:rPr>
                <w:color w:val="231F20"/>
                <w:spacing w:val="-3"/>
                <w:sz w:val="20"/>
              </w:rPr>
              <w:t> </w:t>
            </w:r>
            <w:r>
              <w:rPr>
                <w:color w:val="231F20"/>
                <w:sz w:val="20"/>
              </w:rPr>
              <w:t>interviews</w:t>
            </w:r>
            <w:r>
              <w:rPr>
                <w:color w:val="231F20"/>
                <w:spacing w:val="-4"/>
                <w:sz w:val="20"/>
              </w:rPr>
              <w:t> </w:t>
            </w:r>
            <w:r>
              <w:rPr>
                <w:color w:val="231F20"/>
                <w:sz w:val="20"/>
              </w:rPr>
              <w:t>(clients)</w:t>
            </w:r>
          </w:p>
          <w:p>
            <w:pPr>
              <w:pStyle w:val="TableParagraph"/>
              <w:numPr>
                <w:ilvl w:val="0"/>
                <w:numId w:val="42"/>
              </w:numPr>
              <w:tabs>
                <w:tab w:pos="400" w:val="left" w:leader="none"/>
                <w:tab w:pos="401" w:val="left" w:leader="none"/>
              </w:tabs>
              <w:spacing w:line="240" w:lineRule="exact" w:before="0" w:after="0"/>
              <w:ind w:left="400" w:right="0" w:hanging="361"/>
              <w:jc w:val="left"/>
              <w:rPr>
                <w:sz w:val="20"/>
              </w:rPr>
            </w:pPr>
            <w:r>
              <w:rPr>
                <w:color w:val="231F20"/>
                <w:sz w:val="20"/>
              </w:rPr>
              <w:t>Staff</w:t>
            </w:r>
            <w:r>
              <w:rPr>
                <w:color w:val="231F20"/>
                <w:spacing w:val="-6"/>
                <w:sz w:val="20"/>
              </w:rPr>
              <w:t> </w:t>
            </w:r>
            <w:r>
              <w:rPr>
                <w:color w:val="231F20"/>
                <w:sz w:val="20"/>
              </w:rPr>
              <w:t>logbooks</w:t>
            </w:r>
          </w:p>
          <w:p>
            <w:pPr>
              <w:pStyle w:val="TableParagraph"/>
              <w:numPr>
                <w:ilvl w:val="0"/>
                <w:numId w:val="42"/>
              </w:numPr>
              <w:tabs>
                <w:tab w:pos="400" w:val="left" w:leader="none"/>
                <w:tab w:pos="401" w:val="left" w:leader="none"/>
              </w:tabs>
              <w:spacing w:line="247" w:lineRule="auto" w:before="0" w:after="0"/>
              <w:ind w:left="400" w:right="493" w:hanging="360"/>
              <w:jc w:val="left"/>
              <w:rPr>
                <w:sz w:val="20"/>
              </w:rPr>
            </w:pPr>
            <w:hyperlink r:id="rId363">
              <w:r>
                <w:rPr>
                  <w:color w:val="3953A4"/>
                  <w:sz w:val="20"/>
                  <w:u w:val="single" w:color="3953A4"/>
                </w:rPr>
                <w:t>National Institute on Drug Abuse</w:t>
              </w:r>
            </w:hyperlink>
            <w:r>
              <w:rPr>
                <w:color w:val="3953A4"/>
                <w:spacing w:val="1"/>
                <w:sz w:val="20"/>
              </w:rPr>
              <w:t> </w:t>
            </w:r>
            <w:hyperlink r:id="rId363">
              <w:r>
                <w:rPr>
                  <w:color w:val="3953A4"/>
                  <w:spacing w:val="-1"/>
                  <w:sz w:val="20"/>
                  <w:u w:val="single" w:color="3953A4"/>
                </w:rPr>
                <w:t>(NIDA)</w:t>
              </w:r>
              <w:r>
                <w:rPr>
                  <w:color w:val="3953A4"/>
                  <w:spacing w:val="-3"/>
                  <w:sz w:val="20"/>
                  <w:u w:val="single" w:color="3953A4"/>
                </w:rPr>
                <w:t> </w:t>
              </w:r>
              <w:r>
                <w:rPr>
                  <w:color w:val="3953A4"/>
                  <w:sz w:val="20"/>
                  <w:u w:val="single" w:color="3953A4"/>
                </w:rPr>
                <w:t>Risk</w:t>
              </w:r>
              <w:r>
                <w:rPr>
                  <w:color w:val="3953A4"/>
                  <w:spacing w:val="-4"/>
                  <w:sz w:val="20"/>
                  <w:u w:val="single" w:color="3953A4"/>
                </w:rPr>
                <w:t> </w:t>
              </w:r>
              <w:r>
                <w:rPr>
                  <w:color w:val="3953A4"/>
                  <w:sz w:val="20"/>
                  <w:u w:val="single" w:color="3953A4"/>
                </w:rPr>
                <w:t>Behavior</w:t>
              </w:r>
              <w:r>
                <w:rPr>
                  <w:color w:val="3953A4"/>
                  <w:spacing w:val="-14"/>
                  <w:sz w:val="20"/>
                  <w:u w:val="single" w:color="3953A4"/>
                </w:rPr>
                <w:t> </w:t>
              </w:r>
              <w:r>
                <w:rPr>
                  <w:color w:val="3953A4"/>
                  <w:sz w:val="20"/>
                  <w:u w:val="single" w:color="3953A4"/>
                </w:rPr>
                <w:t>Assessment</w:t>
              </w:r>
            </w:hyperlink>
          </w:p>
        </w:tc>
      </w:tr>
      <w:tr>
        <w:trPr>
          <w:trHeight w:val="250" w:hRule="atLeast"/>
        </w:trPr>
        <w:tc>
          <w:tcPr>
            <w:tcW w:w="1982" w:type="dxa"/>
            <w:vMerge/>
            <w:tcBorders>
              <w:top w:val="nil"/>
            </w:tcBorders>
          </w:tcPr>
          <w:p>
            <w:pPr>
              <w:rPr>
                <w:sz w:val="2"/>
                <w:szCs w:val="2"/>
              </w:rPr>
            </w:pPr>
          </w:p>
        </w:tc>
        <w:tc>
          <w:tcPr>
            <w:tcW w:w="1000" w:type="dxa"/>
            <w:shd w:val="clear" w:color="auto" w:fill="1C384B"/>
          </w:tcPr>
          <w:p>
            <w:pPr>
              <w:pStyle w:val="TableParagraph"/>
              <w:spacing w:line="225" w:lineRule="exact" w:before="5"/>
              <w:ind w:left="52"/>
              <w:rPr>
                <w:b/>
                <w:sz w:val="20"/>
              </w:rPr>
            </w:pPr>
            <w:r>
              <w:rPr>
                <w:b/>
                <w:color w:val="FFFFFF"/>
                <w:sz w:val="20"/>
              </w:rPr>
              <w:t>CBT</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827" w:hRule="atLeast"/>
        </w:trPr>
        <w:tc>
          <w:tcPr>
            <w:tcW w:w="1982" w:type="dxa"/>
            <w:vMerge/>
            <w:tcBorders>
              <w:top w:val="nil"/>
            </w:tcBorders>
          </w:tcPr>
          <w:p>
            <w:pPr>
              <w:rPr>
                <w:sz w:val="2"/>
                <w:szCs w:val="2"/>
              </w:rPr>
            </w:pPr>
          </w:p>
        </w:tc>
        <w:tc>
          <w:tcPr>
            <w:tcW w:w="1000" w:type="dxa"/>
            <w:shd w:val="clear" w:color="auto" w:fill="1D6889"/>
          </w:tcPr>
          <w:p>
            <w:pPr>
              <w:pStyle w:val="TableParagraph"/>
              <w:spacing w:before="5"/>
              <w:ind w:left="52"/>
              <w:rPr>
                <w:b/>
                <w:sz w:val="20"/>
              </w:rPr>
            </w:pPr>
            <w:r>
              <w:rPr>
                <w:b/>
                <w:color w:val="FFFFFF"/>
                <w:sz w:val="20"/>
              </w:rPr>
              <w:t>CM</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240" w:hRule="atLeast"/>
        </w:trPr>
        <w:tc>
          <w:tcPr>
            <w:tcW w:w="1982" w:type="dxa"/>
            <w:vMerge w:val="restart"/>
          </w:tcPr>
          <w:p>
            <w:pPr>
              <w:pStyle w:val="TableParagraph"/>
              <w:spacing w:line="249" w:lineRule="auto" w:before="5"/>
              <w:ind w:left="42" w:right="310"/>
              <w:rPr>
                <w:b/>
                <w:sz w:val="20"/>
              </w:rPr>
            </w:pPr>
            <w:r>
              <w:rPr>
                <w:b/>
                <w:color w:val="231F20"/>
                <w:sz w:val="20"/>
              </w:rPr>
              <w:t>Ancillary service</w:t>
            </w:r>
            <w:r>
              <w:rPr>
                <w:b/>
                <w:color w:val="231F20"/>
                <w:spacing w:val="-54"/>
                <w:sz w:val="20"/>
              </w:rPr>
              <w:t> </w:t>
            </w:r>
            <w:r>
              <w:rPr>
                <w:b/>
                <w:color w:val="231F20"/>
                <w:sz w:val="20"/>
              </w:rPr>
              <w:t>delivery</w:t>
            </w:r>
          </w:p>
        </w:tc>
        <w:tc>
          <w:tcPr>
            <w:tcW w:w="1000" w:type="dxa"/>
            <w:shd w:val="clear" w:color="auto" w:fill="70499D"/>
          </w:tcPr>
          <w:p>
            <w:pPr>
              <w:pStyle w:val="TableParagraph"/>
              <w:spacing w:line="215" w:lineRule="exact" w:before="5"/>
              <w:ind w:left="52"/>
              <w:rPr>
                <w:b/>
                <w:sz w:val="20"/>
              </w:rPr>
            </w:pPr>
            <w:r>
              <w:rPr>
                <w:b/>
                <w:color w:val="FFFFFF"/>
                <w:sz w:val="20"/>
              </w:rPr>
              <w:t>SSPs</w:t>
            </w:r>
          </w:p>
        </w:tc>
        <w:tc>
          <w:tcPr>
            <w:tcW w:w="3850" w:type="dxa"/>
            <w:vMerge w:val="restart"/>
          </w:tcPr>
          <w:p>
            <w:pPr>
              <w:pStyle w:val="TableParagraph"/>
              <w:numPr>
                <w:ilvl w:val="0"/>
                <w:numId w:val="43"/>
              </w:numPr>
              <w:tabs>
                <w:tab w:pos="391" w:val="left" w:leader="none"/>
                <w:tab w:pos="392" w:val="left" w:leader="none"/>
              </w:tabs>
              <w:spacing w:line="240" w:lineRule="exact" w:before="0" w:after="0"/>
              <w:ind w:left="391" w:right="202" w:hanging="360"/>
              <w:jc w:val="left"/>
              <w:rPr>
                <w:sz w:val="20"/>
              </w:rPr>
            </w:pPr>
            <w:r>
              <w:rPr>
                <w:color w:val="231F20"/>
                <w:sz w:val="20"/>
              </w:rPr>
              <w:t>Referrals made and visits completed</w:t>
            </w:r>
            <w:r>
              <w:rPr>
                <w:color w:val="231F20"/>
                <w:spacing w:val="-54"/>
                <w:sz w:val="20"/>
              </w:rPr>
              <w:t> </w:t>
            </w:r>
            <w:r>
              <w:rPr>
                <w:color w:val="231F20"/>
                <w:sz w:val="20"/>
              </w:rPr>
              <w:t>for specialty care and ancillary</w:t>
            </w:r>
            <w:r>
              <w:rPr>
                <w:color w:val="231F20"/>
                <w:spacing w:val="1"/>
                <w:sz w:val="20"/>
              </w:rPr>
              <w:t> </w:t>
            </w:r>
            <w:r>
              <w:rPr>
                <w:color w:val="231F20"/>
                <w:sz w:val="20"/>
              </w:rPr>
              <w:t>services (e.g., HIV/HCV/STI testing,</w:t>
            </w:r>
            <w:r>
              <w:rPr>
                <w:color w:val="231F20"/>
                <w:spacing w:val="1"/>
                <w:sz w:val="20"/>
              </w:rPr>
              <w:t> </w:t>
            </w:r>
            <w:r>
              <w:rPr>
                <w:color w:val="231F20"/>
                <w:sz w:val="20"/>
              </w:rPr>
              <w:t>medication-assisted treatment)</w:t>
            </w:r>
          </w:p>
        </w:tc>
        <w:tc>
          <w:tcPr>
            <w:tcW w:w="3951" w:type="dxa"/>
            <w:vMerge w:val="restart"/>
          </w:tcPr>
          <w:p>
            <w:pPr>
              <w:pStyle w:val="TableParagraph"/>
              <w:numPr>
                <w:ilvl w:val="0"/>
                <w:numId w:val="44"/>
              </w:numPr>
              <w:tabs>
                <w:tab w:pos="400" w:val="left" w:leader="none"/>
                <w:tab w:pos="401" w:val="left" w:leader="none"/>
              </w:tabs>
              <w:spacing w:line="235" w:lineRule="exact" w:before="0" w:after="0"/>
              <w:ind w:left="400" w:right="0" w:hanging="361"/>
              <w:jc w:val="left"/>
              <w:rPr>
                <w:sz w:val="20"/>
              </w:rPr>
            </w:pPr>
            <w:r>
              <w:rPr>
                <w:color w:val="231F20"/>
                <w:sz w:val="20"/>
              </w:rPr>
              <w:t>Qualitative</w:t>
            </w:r>
            <w:r>
              <w:rPr>
                <w:color w:val="231F20"/>
                <w:spacing w:val="-3"/>
                <w:sz w:val="20"/>
              </w:rPr>
              <w:t> </w:t>
            </w:r>
            <w:r>
              <w:rPr>
                <w:color w:val="231F20"/>
                <w:sz w:val="20"/>
              </w:rPr>
              <w:t>interviews</w:t>
            </w:r>
            <w:r>
              <w:rPr>
                <w:color w:val="231F20"/>
                <w:spacing w:val="-4"/>
                <w:sz w:val="20"/>
              </w:rPr>
              <w:t> </w:t>
            </w:r>
            <w:r>
              <w:rPr>
                <w:color w:val="231F20"/>
                <w:sz w:val="20"/>
              </w:rPr>
              <w:t>(staff</w:t>
            </w:r>
            <w:r>
              <w:rPr>
                <w:color w:val="231F20"/>
                <w:spacing w:val="-3"/>
                <w:sz w:val="20"/>
              </w:rPr>
              <w:t> </w:t>
            </w:r>
            <w:r>
              <w:rPr>
                <w:color w:val="231F20"/>
                <w:sz w:val="20"/>
              </w:rPr>
              <w:t>and</w:t>
            </w:r>
            <w:r>
              <w:rPr>
                <w:color w:val="231F20"/>
                <w:spacing w:val="-4"/>
                <w:sz w:val="20"/>
              </w:rPr>
              <w:t> </w:t>
            </w:r>
            <w:r>
              <w:rPr>
                <w:color w:val="231F20"/>
                <w:sz w:val="20"/>
              </w:rPr>
              <w:t>client)</w:t>
            </w:r>
          </w:p>
          <w:p>
            <w:pPr>
              <w:pStyle w:val="TableParagraph"/>
              <w:numPr>
                <w:ilvl w:val="0"/>
                <w:numId w:val="44"/>
              </w:numPr>
              <w:tabs>
                <w:tab w:pos="400" w:val="left" w:leader="none"/>
                <w:tab w:pos="401" w:val="left" w:leader="none"/>
              </w:tabs>
              <w:spacing w:line="240" w:lineRule="exact" w:before="0" w:after="0"/>
              <w:ind w:left="400" w:right="0" w:hanging="361"/>
              <w:jc w:val="left"/>
              <w:rPr>
                <w:sz w:val="20"/>
              </w:rPr>
            </w:pPr>
            <w:r>
              <w:rPr>
                <w:color w:val="231F20"/>
                <w:sz w:val="20"/>
              </w:rPr>
              <w:t>Administrative</w:t>
            </w:r>
            <w:r>
              <w:rPr>
                <w:color w:val="231F20"/>
                <w:spacing w:val="-2"/>
                <w:sz w:val="20"/>
              </w:rPr>
              <w:t> </w:t>
            </w:r>
            <w:r>
              <w:rPr>
                <w:color w:val="231F20"/>
                <w:sz w:val="20"/>
              </w:rPr>
              <w:t>data</w:t>
            </w:r>
          </w:p>
          <w:p>
            <w:pPr>
              <w:pStyle w:val="TableParagraph"/>
              <w:numPr>
                <w:ilvl w:val="0"/>
                <w:numId w:val="44"/>
              </w:numPr>
              <w:tabs>
                <w:tab w:pos="400" w:val="left" w:leader="none"/>
                <w:tab w:pos="401" w:val="left" w:leader="none"/>
              </w:tabs>
              <w:spacing w:line="243" w:lineRule="exact" w:before="0" w:after="0"/>
              <w:ind w:left="400" w:right="0" w:hanging="361"/>
              <w:jc w:val="left"/>
              <w:rPr>
                <w:sz w:val="20"/>
              </w:rPr>
            </w:pPr>
            <w:r>
              <w:rPr>
                <w:color w:val="231F20"/>
                <w:sz w:val="20"/>
              </w:rPr>
              <w:t>Medical records</w:t>
            </w:r>
          </w:p>
        </w:tc>
      </w:tr>
      <w:tr>
        <w:trPr>
          <w:trHeight w:val="700" w:hRule="atLeast"/>
        </w:trPr>
        <w:tc>
          <w:tcPr>
            <w:tcW w:w="1982" w:type="dxa"/>
            <w:vMerge/>
            <w:tcBorders>
              <w:top w:val="nil"/>
            </w:tcBorders>
          </w:tcPr>
          <w:p>
            <w:pPr>
              <w:rPr>
                <w:sz w:val="2"/>
                <w:szCs w:val="2"/>
              </w:rPr>
            </w:pPr>
          </w:p>
        </w:tc>
        <w:tc>
          <w:tcPr>
            <w:tcW w:w="1000" w:type="dxa"/>
            <w:shd w:val="clear" w:color="auto" w:fill="659740"/>
          </w:tcPr>
          <w:p>
            <w:pPr>
              <w:pStyle w:val="TableParagraph"/>
              <w:spacing w:before="5"/>
              <w:ind w:left="52"/>
              <w:rPr>
                <w:b/>
                <w:sz w:val="20"/>
              </w:rPr>
            </w:pPr>
            <w:r>
              <w:rPr>
                <w:b/>
                <w:color w:val="FFFFFF"/>
                <w:sz w:val="20"/>
              </w:rPr>
              <w:t>PN</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240" w:hRule="atLeast"/>
        </w:trPr>
        <w:tc>
          <w:tcPr>
            <w:tcW w:w="1982" w:type="dxa"/>
            <w:vMerge w:val="restart"/>
          </w:tcPr>
          <w:p>
            <w:pPr>
              <w:pStyle w:val="TableParagraph"/>
              <w:spacing w:line="240" w:lineRule="exact" w:before="1"/>
              <w:ind w:left="42" w:right="355"/>
              <w:rPr>
                <w:b/>
                <w:sz w:val="20"/>
              </w:rPr>
            </w:pPr>
            <w:r>
              <w:rPr>
                <w:b/>
                <w:color w:val="231F20"/>
                <w:sz w:val="20"/>
              </w:rPr>
              <w:t>Retention in HIV</w:t>
            </w:r>
            <w:r>
              <w:rPr>
                <w:b/>
                <w:color w:val="231F20"/>
                <w:spacing w:val="-54"/>
                <w:sz w:val="20"/>
              </w:rPr>
              <w:t> </w:t>
            </w:r>
            <w:r>
              <w:rPr>
                <w:b/>
                <w:color w:val="231F20"/>
                <w:sz w:val="20"/>
              </w:rPr>
              <w:t>care</w:t>
            </w:r>
          </w:p>
        </w:tc>
        <w:tc>
          <w:tcPr>
            <w:tcW w:w="1000" w:type="dxa"/>
            <w:shd w:val="clear" w:color="auto" w:fill="1D6889"/>
          </w:tcPr>
          <w:p>
            <w:pPr>
              <w:pStyle w:val="TableParagraph"/>
              <w:spacing w:line="215" w:lineRule="exact" w:before="5"/>
              <w:ind w:left="52"/>
              <w:rPr>
                <w:b/>
                <w:sz w:val="20"/>
              </w:rPr>
            </w:pPr>
            <w:r>
              <w:rPr>
                <w:b/>
                <w:color w:val="FFFFFF"/>
                <w:sz w:val="20"/>
              </w:rPr>
              <w:t>CM</w:t>
            </w:r>
          </w:p>
        </w:tc>
        <w:tc>
          <w:tcPr>
            <w:tcW w:w="3850" w:type="dxa"/>
            <w:vMerge w:val="restart"/>
          </w:tcPr>
          <w:p>
            <w:pPr>
              <w:pStyle w:val="TableParagraph"/>
              <w:numPr>
                <w:ilvl w:val="0"/>
                <w:numId w:val="45"/>
              </w:numPr>
              <w:tabs>
                <w:tab w:pos="391" w:val="left" w:leader="none"/>
                <w:tab w:pos="392" w:val="left" w:leader="none"/>
              </w:tabs>
              <w:spacing w:line="247" w:lineRule="auto" w:before="0" w:after="0"/>
              <w:ind w:left="391" w:right="157" w:hanging="360"/>
              <w:jc w:val="left"/>
              <w:rPr>
                <w:sz w:val="20"/>
              </w:rPr>
            </w:pPr>
            <w:r>
              <w:rPr>
                <w:color w:val="231F20"/>
                <w:sz w:val="20"/>
              </w:rPr>
              <w:t>Number of medical visits that were at</w:t>
            </w:r>
            <w:r>
              <w:rPr>
                <w:color w:val="231F20"/>
                <w:spacing w:val="-54"/>
                <w:sz w:val="20"/>
              </w:rPr>
              <w:t> </w:t>
            </w:r>
            <w:r>
              <w:rPr>
                <w:color w:val="231F20"/>
                <w:sz w:val="20"/>
              </w:rPr>
              <w:t>least</w:t>
            </w:r>
            <w:r>
              <w:rPr>
                <w:color w:val="231F20"/>
                <w:spacing w:val="-3"/>
                <w:sz w:val="20"/>
              </w:rPr>
              <w:t> </w:t>
            </w:r>
            <w:r>
              <w:rPr>
                <w:color w:val="231F20"/>
                <w:sz w:val="20"/>
              </w:rPr>
              <w:t>90</w:t>
            </w:r>
            <w:r>
              <w:rPr>
                <w:color w:val="231F20"/>
                <w:spacing w:val="-3"/>
                <w:sz w:val="20"/>
              </w:rPr>
              <w:t> </w:t>
            </w:r>
            <w:r>
              <w:rPr>
                <w:color w:val="231F20"/>
                <w:sz w:val="20"/>
              </w:rPr>
              <w:t>days</w:t>
            </w:r>
            <w:r>
              <w:rPr>
                <w:color w:val="231F20"/>
                <w:spacing w:val="-3"/>
                <w:sz w:val="20"/>
              </w:rPr>
              <w:t> </w:t>
            </w:r>
            <w:r>
              <w:rPr>
                <w:color w:val="231F20"/>
                <w:sz w:val="20"/>
              </w:rPr>
              <w:t>apart</w:t>
            </w:r>
            <w:r>
              <w:rPr>
                <w:color w:val="231F20"/>
                <w:spacing w:val="-3"/>
                <w:sz w:val="20"/>
              </w:rPr>
              <w:t> </w:t>
            </w:r>
            <w:r>
              <w:rPr>
                <w:color w:val="231F20"/>
                <w:sz w:val="20"/>
              </w:rPr>
              <w:t>(in</w:t>
            </w:r>
            <w:r>
              <w:rPr>
                <w:color w:val="231F20"/>
                <w:spacing w:val="-2"/>
                <w:sz w:val="20"/>
              </w:rPr>
              <w:t> </w:t>
            </w:r>
            <w:r>
              <w:rPr>
                <w:color w:val="231F20"/>
                <w:sz w:val="20"/>
              </w:rPr>
              <w:t>the</w:t>
            </w:r>
            <w:r>
              <w:rPr>
                <w:color w:val="231F20"/>
                <w:spacing w:val="-2"/>
                <w:sz w:val="20"/>
              </w:rPr>
              <w:t> </w:t>
            </w:r>
            <w:r>
              <w:rPr>
                <w:color w:val="231F20"/>
                <w:sz w:val="20"/>
              </w:rPr>
              <w:t>past</w:t>
            </w:r>
            <w:r>
              <w:rPr>
                <w:color w:val="231F20"/>
                <w:spacing w:val="-3"/>
                <w:sz w:val="20"/>
              </w:rPr>
              <w:t> </w:t>
            </w:r>
            <w:r>
              <w:rPr>
                <w:color w:val="231F20"/>
                <w:sz w:val="20"/>
              </w:rPr>
              <w:t>year)</w:t>
            </w:r>
          </w:p>
        </w:tc>
        <w:tc>
          <w:tcPr>
            <w:tcW w:w="3951" w:type="dxa"/>
            <w:vMerge w:val="restart"/>
          </w:tcPr>
          <w:p>
            <w:pPr>
              <w:pStyle w:val="TableParagraph"/>
              <w:numPr>
                <w:ilvl w:val="0"/>
                <w:numId w:val="46"/>
              </w:numPr>
              <w:tabs>
                <w:tab w:pos="400" w:val="left" w:leader="none"/>
                <w:tab w:pos="401" w:val="left" w:leader="none"/>
              </w:tabs>
              <w:spacing w:line="235" w:lineRule="exact" w:before="0" w:after="0"/>
              <w:ind w:left="400" w:right="0" w:hanging="361"/>
              <w:jc w:val="left"/>
              <w:rPr>
                <w:sz w:val="20"/>
              </w:rPr>
            </w:pPr>
            <w:r>
              <w:rPr>
                <w:color w:val="231F20"/>
                <w:sz w:val="20"/>
              </w:rPr>
              <w:t>Qualitative</w:t>
            </w:r>
            <w:r>
              <w:rPr>
                <w:color w:val="231F20"/>
                <w:spacing w:val="-3"/>
                <w:sz w:val="20"/>
              </w:rPr>
              <w:t> </w:t>
            </w:r>
            <w:r>
              <w:rPr>
                <w:color w:val="231F20"/>
                <w:sz w:val="20"/>
              </w:rPr>
              <w:t>interviews</w:t>
            </w:r>
            <w:r>
              <w:rPr>
                <w:color w:val="231F20"/>
                <w:spacing w:val="-4"/>
                <w:sz w:val="20"/>
              </w:rPr>
              <w:t> </w:t>
            </w:r>
            <w:r>
              <w:rPr>
                <w:color w:val="231F20"/>
                <w:sz w:val="20"/>
              </w:rPr>
              <w:t>(clients)</w:t>
            </w:r>
          </w:p>
          <w:p>
            <w:pPr>
              <w:pStyle w:val="TableParagraph"/>
              <w:numPr>
                <w:ilvl w:val="0"/>
                <w:numId w:val="46"/>
              </w:numPr>
              <w:tabs>
                <w:tab w:pos="400" w:val="left" w:leader="none"/>
                <w:tab w:pos="401" w:val="left" w:leader="none"/>
              </w:tabs>
              <w:spacing w:line="243" w:lineRule="exact" w:before="0" w:after="0"/>
              <w:ind w:left="400" w:right="0" w:hanging="361"/>
              <w:jc w:val="left"/>
              <w:rPr>
                <w:sz w:val="20"/>
              </w:rPr>
            </w:pPr>
            <w:r>
              <w:rPr>
                <w:color w:val="231F20"/>
                <w:sz w:val="20"/>
              </w:rPr>
              <w:t>Medical records</w:t>
            </w:r>
          </w:p>
        </w:tc>
      </w:tr>
      <w:tr>
        <w:trPr>
          <w:trHeight w:val="240" w:hRule="atLeast"/>
        </w:trPr>
        <w:tc>
          <w:tcPr>
            <w:tcW w:w="1982" w:type="dxa"/>
            <w:vMerge/>
            <w:tcBorders>
              <w:top w:val="nil"/>
            </w:tcBorders>
          </w:tcPr>
          <w:p>
            <w:pPr>
              <w:rPr>
                <w:sz w:val="2"/>
                <w:szCs w:val="2"/>
              </w:rPr>
            </w:pPr>
          </w:p>
        </w:tc>
        <w:tc>
          <w:tcPr>
            <w:tcW w:w="1000" w:type="dxa"/>
            <w:shd w:val="clear" w:color="auto" w:fill="659740"/>
          </w:tcPr>
          <w:p>
            <w:pPr>
              <w:pStyle w:val="TableParagraph"/>
              <w:spacing w:line="215" w:lineRule="exact" w:before="5"/>
              <w:ind w:left="52"/>
              <w:rPr>
                <w:b/>
                <w:sz w:val="20"/>
              </w:rPr>
            </w:pPr>
            <w:r>
              <w:rPr>
                <w:b/>
                <w:color w:val="FFFFFF"/>
                <w:sz w:val="20"/>
              </w:rPr>
              <w:t>PN</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480" w:hRule="atLeast"/>
        </w:trPr>
        <w:tc>
          <w:tcPr>
            <w:tcW w:w="1982" w:type="dxa"/>
            <w:vMerge w:val="restart"/>
          </w:tcPr>
          <w:p>
            <w:pPr>
              <w:pStyle w:val="TableParagraph"/>
              <w:spacing w:line="249" w:lineRule="auto" w:before="5"/>
              <w:ind w:left="42" w:right="855"/>
              <w:rPr>
                <w:b/>
                <w:sz w:val="20"/>
              </w:rPr>
            </w:pPr>
            <w:r>
              <w:rPr>
                <w:b/>
                <w:color w:val="231F20"/>
                <w:sz w:val="20"/>
              </w:rPr>
              <w:t>Medication</w:t>
            </w:r>
            <w:r>
              <w:rPr>
                <w:b/>
                <w:color w:val="231F20"/>
                <w:spacing w:val="-53"/>
                <w:sz w:val="20"/>
              </w:rPr>
              <w:t> </w:t>
            </w:r>
            <w:r>
              <w:rPr>
                <w:b/>
                <w:color w:val="231F20"/>
                <w:sz w:val="20"/>
              </w:rPr>
              <w:t>Adherence</w:t>
            </w:r>
          </w:p>
        </w:tc>
        <w:tc>
          <w:tcPr>
            <w:tcW w:w="1000" w:type="dxa"/>
            <w:shd w:val="clear" w:color="auto" w:fill="CE372D"/>
          </w:tcPr>
          <w:p>
            <w:pPr>
              <w:pStyle w:val="TableParagraph"/>
              <w:spacing w:before="5"/>
              <w:ind w:left="52"/>
              <w:rPr>
                <w:b/>
                <w:sz w:val="20"/>
              </w:rPr>
            </w:pPr>
            <w:r>
              <w:rPr>
                <w:b/>
                <w:color w:val="FFFFFF"/>
                <w:sz w:val="20"/>
              </w:rPr>
              <w:t>PrEP</w:t>
            </w:r>
          </w:p>
        </w:tc>
        <w:tc>
          <w:tcPr>
            <w:tcW w:w="3850" w:type="dxa"/>
          </w:tcPr>
          <w:p>
            <w:pPr>
              <w:pStyle w:val="TableParagraph"/>
              <w:numPr>
                <w:ilvl w:val="0"/>
                <w:numId w:val="47"/>
              </w:numPr>
              <w:tabs>
                <w:tab w:pos="391" w:val="left" w:leader="none"/>
                <w:tab w:pos="392" w:val="left" w:leader="none"/>
              </w:tabs>
              <w:spacing w:line="237" w:lineRule="exact" w:before="0" w:after="0"/>
              <w:ind w:left="391" w:right="0" w:hanging="361"/>
              <w:jc w:val="left"/>
              <w:rPr>
                <w:sz w:val="20"/>
              </w:rPr>
            </w:pPr>
            <w:r>
              <w:rPr>
                <w:color w:val="231F20"/>
                <w:sz w:val="20"/>
              </w:rPr>
              <w:t>Ongoing</w:t>
            </w:r>
            <w:r>
              <w:rPr>
                <w:color w:val="231F20"/>
                <w:spacing w:val="-7"/>
                <w:sz w:val="20"/>
              </w:rPr>
              <w:t> </w:t>
            </w:r>
            <w:r>
              <w:rPr>
                <w:color w:val="231F20"/>
                <w:sz w:val="20"/>
              </w:rPr>
              <w:t>PrEP</w:t>
            </w:r>
            <w:r>
              <w:rPr>
                <w:color w:val="231F20"/>
                <w:spacing w:val="-11"/>
                <w:sz w:val="20"/>
              </w:rPr>
              <w:t> </w:t>
            </w:r>
            <w:r>
              <w:rPr>
                <w:color w:val="231F20"/>
                <w:sz w:val="20"/>
              </w:rPr>
              <w:t>prescriptions</w:t>
            </w:r>
            <w:r>
              <w:rPr>
                <w:color w:val="231F20"/>
                <w:spacing w:val="-7"/>
                <w:sz w:val="20"/>
              </w:rPr>
              <w:t> </w:t>
            </w:r>
            <w:r>
              <w:rPr>
                <w:color w:val="231F20"/>
                <w:sz w:val="20"/>
              </w:rPr>
              <w:t>provided</w:t>
            </w:r>
          </w:p>
          <w:p>
            <w:pPr>
              <w:pStyle w:val="TableParagraph"/>
              <w:spacing w:line="215" w:lineRule="exact" w:before="8"/>
              <w:ind w:left="391"/>
              <w:rPr>
                <w:sz w:val="20"/>
              </w:rPr>
            </w:pPr>
            <w:r>
              <w:rPr>
                <w:color w:val="231F20"/>
                <w:sz w:val="20"/>
              </w:rPr>
              <w:t>and</w:t>
            </w:r>
            <w:r>
              <w:rPr>
                <w:color w:val="231F20"/>
                <w:spacing w:val="-3"/>
                <w:sz w:val="20"/>
              </w:rPr>
              <w:t> </w:t>
            </w:r>
            <w:r>
              <w:rPr>
                <w:color w:val="231F20"/>
                <w:sz w:val="20"/>
              </w:rPr>
              <w:t>filled</w:t>
            </w:r>
          </w:p>
        </w:tc>
        <w:tc>
          <w:tcPr>
            <w:tcW w:w="3951" w:type="dxa"/>
          </w:tcPr>
          <w:p>
            <w:pPr>
              <w:pStyle w:val="TableParagraph"/>
              <w:numPr>
                <w:ilvl w:val="0"/>
                <w:numId w:val="48"/>
              </w:numPr>
              <w:tabs>
                <w:tab w:pos="400" w:val="left" w:leader="none"/>
                <w:tab w:pos="401" w:val="left" w:leader="none"/>
              </w:tabs>
              <w:spacing w:line="235" w:lineRule="exact" w:before="0" w:after="0"/>
              <w:ind w:left="400" w:right="0" w:hanging="361"/>
              <w:jc w:val="left"/>
              <w:rPr>
                <w:sz w:val="20"/>
              </w:rPr>
            </w:pPr>
            <w:r>
              <w:rPr>
                <w:color w:val="231F20"/>
                <w:sz w:val="20"/>
              </w:rPr>
              <w:t>Medical records</w:t>
            </w:r>
          </w:p>
          <w:p>
            <w:pPr>
              <w:pStyle w:val="TableParagraph"/>
              <w:numPr>
                <w:ilvl w:val="0"/>
                <w:numId w:val="48"/>
              </w:numPr>
              <w:tabs>
                <w:tab w:pos="400" w:val="left" w:leader="none"/>
                <w:tab w:pos="401" w:val="left" w:leader="none"/>
              </w:tabs>
              <w:spacing w:line="226" w:lineRule="exact" w:before="0" w:after="0"/>
              <w:ind w:left="400" w:right="0" w:hanging="361"/>
              <w:jc w:val="left"/>
              <w:rPr>
                <w:sz w:val="20"/>
              </w:rPr>
            </w:pPr>
            <w:r>
              <w:rPr>
                <w:color w:val="231F20"/>
                <w:sz w:val="20"/>
              </w:rPr>
              <w:t>Pharmacy records</w:t>
            </w:r>
          </w:p>
        </w:tc>
      </w:tr>
      <w:tr>
        <w:trPr>
          <w:trHeight w:val="247" w:hRule="atLeast"/>
        </w:trPr>
        <w:tc>
          <w:tcPr>
            <w:tcW w:w="1982" w:type="dxa"/>
            <w:vMerge/>
            <w:tcBorders>
              <w:top w:val="nil"/>
            </w:tcBorders>
          </w:tcPr>
          <w:p>
            <w:pPr>
              <w:rPr>
                <w:sz w:val="2"/>
                <w:szCs w:val="2"/>
              </w:rPr>
            </w:pPr>
          </w:p>
        </w:tc>
        <w:tc>
          <w:tcPr>
            <w:tcW w:w="1000" w:type="dxa"/>
            <w:shd w:val="clear" w:color="auto" w:fill="1C384B"/>
          </w:tcPr>
          <w:p>
            <w:pPr>
              <w:pStyle w:val="TableParagraph"/>
              <w:spacing w:line="222" w:lineRule="exact" w:before="5"/>
              <w:ind w:left="52"/>
              <w:rPr>
                <w:b/>
                <w:sz w:val="20"/>
              </w:rPr>
            </w:pPr>
            <w:r>
              <w:rPr>
                <w:b/>
                <w:color w:val="FFFFFF"/>
                <w:sz w:val="20"/>
              </w:rPr>
              <w:t>CBT</w:t>
            </w:r>
          </w:p>
        </w:tc>
        <w:tc>
          <w:tcPr>
            <w:tcW w:w="3850" w:type="dxa"/>
            <w:vMerge w:val="restart"/>
          </w:tcPr>
          <w:p>
            <w:pPr>
              <w:pStyle w:val="TableParagraph"/>
              <w:numPr>
                <w:ilvl w:val="0"/>
                <w:numId w:val="49"/>
              </w:numPr>
              <w:tabs>
                <w:tab w:pos="391" w:val="left" w:leader="none"/>
                <w:tab w:pos="392" w:val="left" w:leader="none"/>
              </w:tabs>
              <w:spacing w:line="237" w:lineRule="exact" w:before="0" w:after="0"/>
              <w:ind w:left="391" w:right="0" w:hanging="361"/>
              <w:jc w:val="left"/>
              <w:rPr>
                <w:sz w:val="20"/>
              </w:rPr>
            </w:pPr>
            <w:r>
              <w:rPr>
                <w:color w:val="231F20"/>
                <w:sz w:val="20"/>
              </w:rPr>
              <w:t>ART</w:t>
            </w:r>
            <w:r>
              <w:rPr>
                <w:color w:val="231F20"/>
                <w:spacing w:val="-9"/>
                <w:sz w:val="20"/>
              </w:rPr>
              <w:t> </w:t>
            </w:r>
            <w:r>
              <w:rPr>
                <w:color w:val="231F20"/>
                <w:sz w:val="20"/>
              </w:rPr>
              <w:t>prescriptions</w:t>
            </w:r>
            <w:r>
              <w:rPr>
                <w:color w:val="231F20"/>
                <w:spacing w:val="-6"/>
                <w:sz w:val="20"/>
              </w:rPr>
              <w:t> </w:t>
            </w:r>
            <w:r>
              <w:rPr>
                <w:color w:val="231F20"/>
                <w:sz w:val="20"/>
              </w:rPr>
              <w:t>provided</w:t>
            </w:r>
            <w:r>
              <w:rPr>
                <w:color w:val="231F20"/>
                <w:spacing w:val="-6"/>
                <w:sz w:val="20"/>
              </w:rPr>
              <w:t> </w:t>
            </w:r>
            <w:r>
              <w:rPr>
                <w:color w:val="231F20"/>
                <w:sz w:val="20"/>
              </w:rPr>
              <w:t>and</w:t>
            </w:r>
            <w:r>
              <w:rPr>
                <w:color w:val="231F20"/>
                <w:spacing w:val="-6"/>
                <w:sz w:val="20"/>
              </w:rPr>
              <w:t> </w:t>
            </w:r>
            <w:r>
              <w:rPr>
                <w:color w:val="231F20"/>
                <w:sz w:val="20"/>
              </w:rPr>
              <w:t>filled</w:t>
            </w:r>
          </w:p>
        </w:tc>
        <w:tc>
          <w:tcPr>
            <w:tcW w:w="3951" w:type="dxa"/>
            <w:vMerge w:val="restart"/>
          </w:tcPr>
          <w:p>
            <w:pPr>
              <w:pStyle w:val="TableParagraph"/>
              <w:numPr>
                <w:ilvl w:val="0"/>
                <w:numId w:val="50"/>
              </w:numPr>
              <w:tabs>
                <w:tab w:pos="400" w:val="left" w:leader="none"/>
                <w:tab w:pos="401" w:val="left" w:leader="none"/>
              </w:tabs>
              <w:spacing w:line="235" w:lineRule="exact" w:before="0" w:after="0"/>
              <w:ind w:left="400" w:right="0" w:hanging="361"/>
              <w:jc w:val="left"/>
              <w:rPr>
                <w:sz w:val="20"/>
              </w:rPr>
            </w:pPr>
            <w:r>
              <w:rPr>
                <w:color w:val="231F20"/>
                <w:sz w:val="20"/>
              </w:rPr>
              <w:t>Qualitative</w:t>
            </w:r>
            <w:r>
              <w:rPr>
                <w:color w:val="231F20"/>
                <w:spacing w:val="-3"/>
                <w:sz w:val="20"/>
              </w:rPr>
              <w:t> </w:t>
            </w:r>
            <w:r>
              <w:rPr>
                <w:color w:val="231F20"/>
                <w:sz w:val="20"/>
              </w:rPr>
              <w:t>interviews</w:t>
            </w:r>
            <w:r>
              <w:rPr>
                <w:color w:val="231F20"/>
                <w:spacing w:val="-4"/>
                <w:sz w:val="20"/>
              </w:rPr>
              <w:t> </w:t>
            </w:r>
            <w:r>
              <w:rPr>
                <w:color w:val="231F20"/>
                <w:sz w:val="20"/>
              </w:rPr>
              <w:t>(client)</w:t>
            </w:r>
          </w:p>
          <w:p>
            <w:pPr>
              <w:pStyle w:val="TableParagraph"/>
              <w:numPr>
                <w:ilvl w:val="0"/>
                <w:numId w:val="50"/>
              </w:numPr>
              <w:tabs>
                <w:tab w:pos="400" w:val="left" w:leader="none"/>
                <w:tab w:pos="401" w:val="left" w:leader="none"/>
              </w:tabs>
              <w:spacing w:line="240" w:lineRule="exact" w:before="0" w:after="0"/>
              <w:ind w:left="400" w:right="0" w:hanging="361"/>
              <w:jc w:val="left"/>
              <w:rPr>
                <w:sz w:val="20"/>
              </w:rPr>
            </w:pPr>
            <w:r>
              <w:rPr>
                <w:color w:val="231F20"/>
                <w:sz w:val="20"/>
              </w:rPr>
              <w:t>Medical records</w:t>
            </w:r>
          </w:p>
          <w:p>
            <w:pPr>
              <w:pStyle w:val="TableParagraph"/>
              <w:numPr>
                <w:ilvl w:val="0"/>
                <w:numId w:val="50"/>
              </w:numPr>
              <w:tabs>
                <w:tab w:pos="400" w:val="left" w:leader="none"/>
                <w:tab w:pos="401" w:val="left" w:leader="none"/>
              </w:tabs>
              <w:spacing w:line="240" w:lineRule="exact" w:before="0" w:after="0"/>
              <w:ind w:left="400" w:right="126" w:hanging="360"/>
              <w:jc w:val="left"/>
              <w:rPr>
                <w:sz w:val="20"/>
              </w:rPr>
            </w:pPr>
            <w:hyperlink r:id="rId364">
              <w:r>
                <w:rPr>
                  <w:color w:val="3953A4"/>
                  <w:sz w:val="20"/>
                  <w:u w:val="single" w:color="3953A4"/>
                </w:rPr>
                <w:t>Medication Event Monitoring Systems</w:t>
              </w:r>
            </w:hyperlink>
            <w:r>
              <w:rPr>
                <w:color w:val="3953A4"/>
                <w:spacing w:val="1"/>
                <w:sz w:val="20"/>
              </w:rPr>
              <w:t> </w:t>
            </w:r>
            <w:hyperlink r:id="rId364">
              <w:r>
                <w:rPr>
                  <w:color w:val="3953A4"/>
                  <w:sz w:val="20"/>
                  <w:u w:val="single" w:color="3953A4"/>
                </w:rPr>
                <w:t>(MEMS)</w:t>
              </w:r>
            </w:hyperlink>
          </w:p>
        </w:tc>
      </w:tr>
      <w:tr>
        <w:trPr>
          <w:trHeight w:val="240" w:hRule="atLeast"/>
        </w:trPr>
        <w:tc>
          <w:tcPr>
            <w:tcW w:w="1982" w:type="dxa"/>
            <w:vMerge/>
            <w:tcBorders>
              <w:top w:val="nil"/>
            </w:tcBorders>
          </w:tcPr>
          <w:p>
            <w:pPr>
              <w:rPr>
                <w:sz w:val="2"/>
                <w:szCs w:val="2"/>
              </w:rPr>
            </w:pPr>
          </w:p>
        </w:tc>
        <w:tc>
          <w:tcPr>
            <w:tcW w:w="1000" w:type="dxa"/>
            <w:shd w:val="clear" w:color="auto" w:fill="1D6889"/>
          </w:tcPr>
          <w:p>
            <w:pPr>
              <w:pStyle w:val="TableParagraph"/>
              <w:spacing w:line="215" w:lineRule="exact" w:before="5"/>
              <w:ind w:left="52"/>
              <w:rPr>
                <w:b/>
                <w:sz w:val="20"/>
              </w:rPr>
            </w:pPr>
            <w:r>
              <w:rPr>
                <w:b/>
                <w:color w:val="FFFFFF"/>
                <w:sz w:val="20"/>
              </w:rPr>
              <w:t>CM</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r>
        <w:trPr>
          <w:trHeight w:val="432" w:hRule="atLeast"/>
        </w:trPr>
        <w:tc>
          <w:tcPr>
            <w:tcW w:w="1982" w:type="dxa"/>
            <w:vMerge/>
            <w:tcBorders>
              <w:top w:val="nil"/>
            </w:tcBorders>
          </w:tcPr>
          <w:p>
            <w:pPr>
              <w:rPr>
                <w:sz w:val="2"/>
                <w:szCs w:val="2"/>
              </w:rPr>
            </w:pPr>
          </w:p>
        </w:tc>
        <w:tc>
          <w:tcPr>
            <w:tcW w:w="1000" w:type="dxa"/>
            <w:shd w:val="clear" w:color="auto" w:fill="659740"/>
          </w:tcPr>
          <w:p>
            <w:pPr>
              <w:pStyle w:val="TableParagraph"/>
              <w:spacing w:before="5"/>
              <w:ind w:left="52"/>
              <w:rPr>
                <w:b/>
                <w:sz w:val="20"/>
              </w:rPr>
            </w:pPr>
            <w:r>
              <w:rPr>
                <w:b/>
                <w:color w:val="FFFFFF"/>
                <w:sz w:val="20"/>
              </w:rPr>
              <w:t>PN</w:t>
            </w:r>
          </w:p>
        </w:tc>
        <w:tc>
          <w:tcPr>
            <w:tcW w:w="3850" w:type="dxa"/>
            <w:vMerge/>
            <w:tcBorders>
              <w:top w:val="nil"/>
            </w:tcBorders>
          </w:tcPr>
          <w:p>
            <w:pPr>
              <w:rPr>
                <w:sz w:val="2"/>
                <w:szCs w:val="2"/>
              </w:rPr>
            </w:pPr>
          </w:p>
        </w:tc>
        <w:tc>
          <w:tcPr>
            <w:tcW w:w="3951" w:type="dxa"/>
            <w:vMerge/>
            <w:tcBorders>
              <w:top w:val="nil"/>
            </w:tcBorders>
          </w:tcPr>
          <w:p>
            <w:pPr>
              <w:rPr>
                <w:sz w:val="2"/>
                <w:szCs w:val="2"/>
              </w:rPr>
            </w:pPr>
          </w:p>
        </w:tc>
      </w:tr>
    </w:tbl>
    <w:p>
      <w:pPr>
        <w:spacing w:after="0"/>
        <w:rPr>
          <w:sz w:val="2"/>
          <w:szCs w:val="2"/>
        </w:rPr>
        <w:sectPr>
          <w:pgSz w:w="12240" w:h="15840"/>
          <w:pgMar w:header="0" w:footer="587" w:top="380" w:bottom="780" w:left="560" w:right="0"/>
        </w:sectPr>
      </w:pPr>
    </w:p>
    <w:p>
      <w:pPr>
        <w:pStyle w:val="BodyText"/>
        <w:rPr>
          <w:sz w:val="20"/>
        </w:rPr>
      </w:pPr>
    </w:p>
    <w:p>
      <w:pPr>
        <w:pStyle w:val="BodyText"/>
        <w:rPr>
          <w:sz w:val="20"/>
        </w:rPr>
      </w:pPr>
    </w:p>
    <w:p>
      <w:pPr>
        <w:pStyle w:val="BodyText"/>
        <w:spacing w:before="7" w:after="1"/>
        <w:rPr>
          <w:sz w:val="19"/>
        </w:rPr>
      </w:pPr>
    </w:p>
    <w:tbl>
      <w:tblPr>
        <w:tblW w:w="0" w:type="auto"/>
        <w:jc w:val="left"/>
        <w:tblInd w:w="18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1982"/>
        <w:gridCol w:w="999"/>
        <w:gridCol w:w="3844"/>
        <w:gridCol w:w="3955"/>
      </w:tblGrid>
      <w:tr>
        <w:trPr>
          <w:trHeight w:val="240" w:hRule="atLeast"/>
        </w:trPr>
        <w:tc>
          <w:tcPr>
            <w:tcW w:w="1982" w:type="dxa"/>
            <w:shd w:val="clear" w:color="auto" w:fill="CE372D"/>
          </w:tcPr>
          <w:p>
            <w:pPr>
              <w:pStyle w:val="TableParagraph"/>
              <w:spacing w:line="215" w:lineRule="exact" w:before="5"/>
              <w:ind w:left="590"/>
              <w:rPr>
                <w:sz w:val="20"/>
              </w:rPr>
            </w:pPr>
            <w:bookmarkStart w:name="Evaluation Resources" w:id="147"/>
            <w:bookmarkEnd w:id="147"/>
            <w:r>
              <w:rPr/>
            </w:r>
            <w:bookmarkStart w:name="Evaluating Program Implementation" w:id="148"/>
            <w:bookmarkEnd w:id="148"/>
            <w:r>
              <w:rPr/>
            </w:r>
            <w:bookmarkStart w:name="Quality Improvement and Continuous Perfo" w:id="149"/>
            <w:bookmarkEnd w:id="149"/>
            <w:r>
              <w:rPr/>
            </w:r>
            <w:bookmarkStart w:name="Evaluating Practices Specifically Addres" w:id="150"/>
            <w:bookmarkEnd w:id="150"/>
            <w:r>
              <w:rPr/>
            </w:r>
            <w:r>
              <w:rPr>
                <w:color w:val="FFFFFF"/>
                <w:sz w:val="20"/>
              </w:rPr>
              <w:t>Outcome</w:t>
            </w:r>
          </w:p>
        </w:tc>
        <w:tc>
          <w:tcPr>
            <w:tcW w:w="999" w:type="dxa"/>
            <w:shd w:val="clear" w:color="auto" w:fill="CE372D"/>
          </w:tcPr>
          <w:p>
            <w:pPr>
              <w:pStyle w:val="TableParagraph"/>
              <w:spacing w:line="215" w:lineRule="exact" w:before="5"/>
              <w:ind w:left="137"/>
              <w:rPr>
                <w:sz w:val="20"/>
              </w:rPr>
            </w:pPr>
            <w:r>
              <w:rPr>
                <w:color w:val="FFFFFF"/>
                <w:sz w:val="20"/>
              </w:rPr>
              <w:t>Practice</w:t>
            </w:r>
          </w:p>
        </w:tc>
        <w:tc>
          <w:tcPr>
            <w:tcW w:w="3844" w:type="dxa"/>
            <w:shd w:val="clear" w:color="auto" w:fill="CE372D"/>
          </w:tcPr>
          <w:p>
            <w:pPr>
              <w:pStyle w:val="TableParagraph"/>
              <w:spacing w:line="215" w:lineRule="exact" w:before="5"/>
              <w:ind w:left="1007"/>
              <w:rPr>
                <w:sz w:val="20"/>
              </w:rPr>
            </w:pPr>
            <w:r>
              <w:rPr>
                <w:color w:val="FFFFFF"/>
                <w:sz w:val="20"/>
              </w:rPr>
              <w:t>Illustrative Indicators</w:t>
            </w:r>
          </w:p>
        </w:tc>
        <w:tc>
          <w:tcPr>
            <w:tcW w:w="3955" w:type="dxa"/>
            <w:shd w:val="clear" w:color="auto" w:fill="CE372D"/>
          </w:tcPr>
          <w:p>
            <w:pPr>
              <w:pStyle w:val="TableParagraph"/>
              <w:spacing w:line="215" w:lineRule="exact" w:before="5"/>
              <w:ind w:left="896"/>
              <w:rPr>
                <w:sz w:val="20"/>
              </w:rPr>
            </w:pPr>
            <w:r>
              <w:rPr>
                <w:color w:val="FFFFFF"/>
                <w:sz w:val="20"/>
              </w:rPr>
              <w:t>Illustrative</w:t>
            </w:r>
            <w:r>
              <w:rPr>
                <w:color w:val="FFFFFF"/>
                <w:spacing w:val="-1"/>
                <w:sz w:val="20"/>
              </w:rPr>
              <w:t> </w:t>
            </w:r>
            <w:r>
              <w:rPr>
                <w:color w:val="FFFFFF"/>
                <w:sz w:val="20"/>
              </w:rPr>
              <w:t>Data</w:t>
            </w:r>
            <w:r>
              <w:rPr>
                <w:color w:val="FFFFFF"/>
                <w:spacing w:val="-2"/>
                <w:sz w:val="20"/>
              </w:rPr>
              <w:t> </w:t>
            </w:r>
            <w:r>
              <w:rPr>
                <w:color w:val="FFFFFF"/>
                <w:sz w:val="20"/>
              </w:rPr>
              <w:t>Sources</w:t>
            </w:r>
          </w:p>
        </w:tc>
      </w:tr>
      <w:tr>
        <w:trPr>
          <w:trHeight w:val="240" w:hRule="atLeast"/>
        </w:trPr>
        <w:tc>
          <w:tcPr>
            <w:tcW w:w="10780" w:type="dxa"/>
            <w:gridSpan w:val="4"/>
            <w:shd w:val="clear" w:color="auto" w:fill="CBD3DD"/>
          </w:tcPr>
          <w:p>
            <w:pPr>
              <w:pStyle w:val="TableParagraph"/>
              <w:spacing w:line="215" w:lineRule="exact" w:before="5"/>
              <w:ind w:left="3910"/>
              <w:rPr>
                <w:b/>
                <w:sz w:val="20"/>
              </w:rPr>
            </w:pPr>
            <w:r>
              <w:rPr>
                <w:b/>
                <w:color w:val="010202"/>
                <w:sz w:val="20"/>
              </w:rPr>
              <w:t>Short-term</w:t>
            </w:r>
            <w:r>
              <w:rPr>
                <w:b/>
                <w:color w:val="010202"/>
                <w:spacing w:val="-1"/>
                <w:sz w:val="20"/>
              </w:rPr>
              <w:t> </w:t>
            </w:r>
            <w:r>
              <w:rPr>
                <w:b/>
                <w:color w:val="010202"/>
                <w:sz w:val="20"/>
              </w:rPr>
              <w:t>and</w:t>
            </w:r>
            <w:r>
              <w:rPr>
                <w:b/>
                <w:color w:val="010202"/>
                <w:spacing w:val="-1"/>
                <w:sz w:val="20"/>
              </w:rPr>
              <w:t> </w:t>
            </w:r>
            <w:r>
              <w:rPr>
                <w:b/>
                <w:color w:val="010202"/>
                <w:sz w:val="20"/>
              </w:rPr>
              <w:t>intermediate</w:t>
            </w:r>
            <w:r>
              <w:rPr>
                <w:b/>
                <w:color w:val="010202"/>
                <w:spacing w:val="-1"/>
                <w:sz w:val="20"/>
              </w:rPr>
              <w:t> </w:t>
            </w:r>
            <w:r>
              <w:rPr>
                <w:b/>
                <w:color w:val="010202"/>
                <w:sz w:val="20"/>
              </w:rPr>
              <w:t>outcomes</w:t>
            </w:r>
          </w:p>
        </w:tc>
      </w:tr>
      <w:tr>
        <w:trPr>
          <w:trHeight w:val="1680" w:hRule="atLeast"/>
        </w:trPr>
        <w:tc>
          <w:tcPr>
            <w:tcW w:w="1982" w:type="dxa"/>
          </w:tcPr>
          <w:p>
            <w:pPr>
              <w:pStyle w:val="TableParagraph"/>
              <w:spacing w:before="5"/>
              <w:ind w:left="43"/>
              <w:rPr>
                <w:b/>
                <w:sz w:val="20"/>
              </w:rPr>
            </w:pPr>
            <w:r>
              <w:rPr>
                <w:b/>
                <w:color w:val="231F20"/>
                <w:sz w:val="20"/>
              </w:rPr>
              <w:t>Substance</w:t>
            </w:r>
            <w:r>
              <w:rPr>
                <w:b/>
                <w:color w:val="231F20"/>
                <w:spacing w:val="-2"/>
                <w:sz w:val="20"/>
              </w:rPr>
              <w:t> </w:t>
            </w:r>
            <w:r>
              <w:rPr>
                <w:b/>
                <w:color w:val="231F20"/>
                <w:sz w:val="20"/>
              </w:rPr>
              <w:t>Use</w:t>
            </w:r>
          </w:p>
        </w:tc>
        <w:tc>
          <w:tcPr>
            <w:tcW w:w="999" w:type="dxa"/>
            <w:shd w:val="clear" w:color="auto" w:fill="659740"/>
          </w:tcPr>
          <w:p>
            <w:pPr>
              <w:pStyle w:val="TableParagraph"/>
              <w:spacing w:before="5"/>
              <w:ind w:left="52"/>
              <w:rPr>
                <w:b/>
                <w:sz w:val="20"/>
              </w:rPr>
            </w:pPr>
            <w:r>
              <w:rPr>
                <w:b/>
                <w:color w:val="FFFFFF"/>
                <w:sz w:val="20"/>
              </w:rPr>
              <w:t>PN</w:t>
            </w:r>
          </w:p>
        </w:tc>
        <w:tc>
          <w:tcPr>
            <w:tcW w:w="3844" w:type="dxa"/>
          </w:tcPr>
          <w:p>
            <w:pPr>
              <w:pStyle w:val="TableParagraph"/>
              <w:numPr>
                <w:ilvl w:val="0"/>
                <w:numId w:val="51"/>
              </w:numPr>
              <w:tabs>
                <w:tab w:pos="392" w:val="left" w:leader="none"/>
                <w:tab w:pos="393" w:val="left" w:leader="none"/>
              </w:tabs>
              <w:spacing w:line="235" w:lineRule="exact" w:before="0" w:after="0"/>
              <w:ind w:left="392" w:right="0" w:hanging="361"/>
              <w:jc w:val="left"/>
              <w:rPr>
                <w:sz w:val="20"/>
              </w:rPr>
            </w:pPr>
            <w:r>
              <w:rPr>
                <w:color w:val="231F20"/>
                <w:sz w:val="20"/>
              </w:rPr>
              <w:t>SUD</w:t>
            </w:r>
          </w:p>
          <w:p>
            <w:pPr>
              <w:pStyle w:val="TableParagraph"/>
              <w:numPr>
                <w:ilvl w:val="0"/>
                <w:numId w:val="51"/>
              </w:numPr>
              <w:tabs>
                <w:tab w:pos="392" w:val="left" w:leader="none"/>
                <w:tab w:pos="393" w:val="left" w:leader="none"/>
              </w:tabs>
              <w:spacing w:line="247" w:lineRule="auto" w:before="0" w:after="0"/>
              <w:ind w:left="392" w:right="127" w:hanging="360"/>
              <w:jc w:val="left"/>
              <w:rPr>
                <w:sz w:val="20"/>
              </w:rPr>
            </w:pPr>
            <w:r>
              <w:rPr>
                <w:color w:val="231F20"/>
                <w:sz w:val="20"/>
              </w:rPr>
              <w:t>Days of substance use in the prior 30</w:t>
            </w:r>
            <w:r>
              <w:rPr>
                <w:color w:val="231F20"/>
                <w:spacing w:val="-53"/>
                <w:sz w:val="20"/>
              </w:rPr>
              <w:t> </w:t>
            </w:r>
            <w:r>
              <w:rPr>
                <w:color w:val="231F20"/>
                <w:sz w:val="20"/>
              </w:rPr>
              <w:t>days</w:t>
            </w:r>
          </w:p>
        </w:tc>
        <w:tc>
          <w:tcPr>
            <w:tcW w:w="3955" w:type="dxa"/>
          </w:tcPr>
          <w:p>
            <w:pPr>
              <w:pStyle w:val="TableParagraph"/>
              <w:numPr>
                <w:ilvl w:val="0"/>
                <w:numId w:val="52"/>
              </w:numPr>
              <w:tabs>
                <w:tab w:pos="407" w:val="left" w:leader="none"/>
                <w:tab w:pos="408" w:val="left" w:leader="none"/>
              </w:tabs>
              <w:spacing w:line="235" w:lineRule="exact" w:before="0" w:after="0"/>
              <w:ind w:left="407" w:right="0" w:hanging="361"/>
              <w:jc w:val="left"/>
              <w:rPr>
                <w:sz w:val="20"/>
              </w:rPr>
            </w:pPr>
            <w:r>
              <w:rPr>
                <w:color w:val="231F20"/>
                <w:sz w:val="20"/>
              </w:rPr>
              <w:t>Qualitative</w:t>
            </w:r>
            <w:r>
              <w:rPr>
                <w:color w:val="231F20"/>
                <w:spacing w:val="-3"/>
                <w:sz w:val="20"/>
              </w:rPr>
              <w:t> </w:t>
            </w:r>
            <w:r>
              <w:rPr>
                <w:color w:val="231F20"/>
                <w:sz w:val="20"/>
              </w:rPr>
              <w:t>interviews</w:t>
            </w:r>
            <w:r>
              <w:rPr>
                <w:color w:val="231F20"/>
                <w:spacing w:val="-4"/>
                <w:sz w:val="20"/>
              </w:rPr>
              <w:t> </w:t>
            </w:r>
            <w:r>
              <w:rPr>
                <w:color w:val="231F20"/>
                <w:sz w:val="20"/>
              </w:rPr>
              <w:t>(client)</w:t>
            </w:r>
          </w:p>
          <w:p>
            <w:pPr>
              <w:pStyle w:val="TableParagraph"/>
              <w:numPr>
                <w:ilvl w:val="0"/>
                <w:numId w:val="52"/>
              </w:numPr>
              <w:tabs>
                <w:tab w:pos="407" w:val="left" w:leader="none"/>
                <w:tab w:pos="408" w:val="left" w:leader="none"/>
              </w:tabs>
              <w:spacing w:line="240" w:lineRule="exact" w:before="0" w:after="0"/>
              <w:ind w:left="407" w:right="0" w:hanging="361"/>
              <w:jc w:val="left"/>
              <w:rPr>
                <w:sz w:val="20"/>
              </w:rPr>
            </w:pPr>
            <w:r>
              <w:rPr>
                <w:color w:val="231F20"/>
                <w:sz w:val="20"/>
              </w:rPr>
              <w:t>Urine</w:t>
            </w:r>
            <w:r>
              <w:rPr>
                <w:color w:val="231F20"/>
                <w:spacing w:val="-4"/>
                <w:sz w:val="20"/>
              </w:rPr>
              <w:t> </w:t>
            </w:r>
            <w:r>
              <w:rPr>
                <w:color w:val="231F20"/>
                <w:sz w:val="20"/>
              </w:rPr>
              <w:t>drug</w:t>
            </w:r>
            <w:r>
              <w:rPr>
                <w:color w:val="231F20"/>
                <w:spacing w:val="-3"/>
                <w:sz w:val="20"/>
              </w:rPr>
              <w:t> </w:t>
            </w:r>
            <w:r>
              <w:rPr>
                <w:color w:val="231F20"/>
                <w:sz w:val="20"/>
              </w:rPr>
              <w:t>screen</w:t>
            </w:r>
          </w:p>
          <w:p>
            <w:pPr>
              <w:pStyle w:val="TableParagraph"/>
              <w:numPr>
                <w:ilvl w:val="0"/>
                <w:numId w:val="52"/>
              </w:numPr>
              <w:tabs>
                <w:tab w:pos="407" w:val="left" w:leader="none"/>
                <w:tab w:pos="408" w:val="left" w:leader="none"/>
              </w:tabs>
              <w:spacing w:line="247" w:lineRule="auto" w:before="0" w:after="0"/>
              <w:ind w:left="407" w:right="311" w:hanging="360"/>
              <w:jc w:val="left"/>
              <w:rPr>
                <w:sz w:val="20"/>
              </w:rPr>
            </w:pPr>
            <w:hyperlink r:id="rId365">
              <w:r>
                <w:rPr>
                  <w:color w:val="3953A4"/>
                  <w:spacing w:val="-3"/>
                  <w:sz w:val="20"/>
                  <w:u w:val="single" w:color="3953A4"/>
                </w:rPr>
                <w:t>Alcohol, Smoking, </w:t>
              </w:r>
              <w:r>
                <w:rPr>
                  <w:color w:val="3953A4"/>
                  <w:spacing w:val="-2"/>
                  <w:sz w:val="20"/>
                  <w:u w:val="single" w:color="3953A4"/>
                </w:rPr>
                <w:t>and Substance</w:t>
              </w:r>
            </w:hyperlink>
            <w:r>
              <w:rPr>
                <w:color w:val="3953A4"/>
                <w:spacing w:val="-1"/>
                <w:sz w:val="20"/>
              </w:rPr>
              <w:t> </w:t>
            </w:r>
            <w:hyperlink r:id="rId365">
              <w:r>
                <w:rPr>
                  <w:color w:val="3953A4"/>
                  <w:spacing w:val="-5"/>
                  <w:sz w:val="20"/>
                  <w:u w:val="single" w:color="3953A4"/>
                </w:rPr>
                <w:t>Involvement</w:t>
              </w:r>
              <w:r>
                <w:rPr>
                  <w:color w:val="3953A4"/>
                  <w:spacing w:val="-6"/>
                  <w:sz w:val="20"/>
                  <w:u w:val="single" w:color="3953A4"/>
                </w:rPr>
                <w:t> </w:t>
              </w:r>
              <w:r>
                <w:rPr>
                  <w:color w:val="3953A4"/>
                  <w:spacing w:val="-5"/>
                  <w:sz w:val="20"/>
                  <w:u w:val="single" w:color="3953A4"/>
                </w:rPr>
                <w:t>Screening</w:t>
              </w:r>
              <w:r>
                <w:rPr>
                  <w:color w:val="3953A4"/>
                  <w:spacing w:val="-11"/>
                  <w:sz w:val="20"/>
                  <w:u w:val="single" w:color="3953A4"/>
                </w:rPr>
                <w:t> </w:t>
              </w:r>
              <w:r>
                <w:rPr>
                  <w:color w:val="3953A4"/>
                  <w:spacing w:val="-5"/>
                  <w:sz w:val="20"/>
                  <w:u w:val="single" w:color="3953A4"/>
                </w:rPr>
                <w:t>Test</w:t>
              </w:r>
              <w:r>
                <w:rPr>
                  <w:color w:val="3953A4"/>
                  <w:spacing w:val="-7"/>
                  <w:sz w:val="20"/>
                  <w:u w:val="single" w:color="3953A4"/>
                </w:rPr>
                <w:t> </w:t>
              </w:r>
              <w:r>
                <w:rPr>
                  <w:color w:val="3953A4"/>
                  <w:spacing w:val="-5"/>
                  <w:sz w:val="20"/>
                  <w:u w:val="single" w:color="3953A4"/>
                </w:rPr>
                <w:t>(ASSIST)</w:t>
              </w:r>
            </w:hyperlink>
          </w:p>
          <w:p>
            <w:pPr>
              <w:pStyle w:val="TableParagraph"/>
              <w:numPr>
                <w:ilvl w:val="0"/>
                <w:numId w:val="52"/>
              </w:numPr>
              <w:tabs>
                <w:tab w:pos="407" w:val="left" w:leader="none"/>
                <w:tab w:pos="408" w:val="left" w:leader="none"/>
              </w:tabs>
              <w:spacing w:line="236" w:lineRule="exact" w:before="0" w:after="0"/>
              <w:ind w:left="407" w:right="0" w:hanging="361"/>
              <w:jc w:val="left"/>
              <w:rPr>
                <w:sz w:val="20"/>
              </w:rPr>
            </w:pPr>
            <w:hyperlink r:id="rId366">
              <w:r>
                <w:rPr>
                  <w:color w:val="3953A4"/>
                  <w:spacing w:val="-5"/>
                  <w:sz w:val="20"/>
                  <w:u w:val="single" w:color="3953A4"/>
                </w:rPr>
                <w:t>Alcohol</w:t>
              </w:r>
              <w:r>
                <w:rPr>
                  <w:color w:val="3953A4"/>
                  <w:spacing w:val="-8"/>
                  <w:sz w:val="20"/>
                  <w:u w:val="single" w:color="3953A4"/>
                </w:rPr>
                <w:t> </w:t>
              </w:r>
              <w:r>
                <w:rPr>
                  <w:color w:val="3953A4"/>
                  <w:spacing w:val="-5"/>
                  <w:sz w:val="20"/>
                  <w:u w:val="single" w:color="3953A4"/>
                </w:rPr>
                <w:t>Use</w:t>
              </w:r>
              <w:r>
                <w:rPr>
                  <w:color w:val="3953A4"/>
                  <w:spacing w:val="-8"/>
                  <w:sz w:val="20"/>
                  <w:u w:val="single" w:color="3953A4"/>
                </w:rPr>
                <w:t> </w:t>
              </w:r>
              <w:r>
                <w:rPr>
                  <w:color w:val="3953A4"/>
                  <w:spacing w:val="-5"/>
                  <w:sz w:val="20"/>
                  <w:u w:val="single" w:color="3953A4"/>
                </w:rPr>
                <w:t>Disorders</w:t>
              </w:r>
              <w:r>
                <w:rPr>
                  <w:color w:val="3953A4"/>
                  <w:spacing w:val="-9"/>
                  <w:sz w:val="20"/>
                  <w:u w:val="single" w:color="3953A4"/>
                </w:rPr>
                <w:t> </w:t>
              </w:r>
              <w:r>
                <w:rPr>
                  <w:color w:val="3953A4"/>
                  <w:spacing w:val="-4"/>
                  <w:sz w:val="20"/>
                  <w:u w:val="single" w:color="3953A4"/>
                </w:rPr>
                <w:t>Identification</w:t>
              </w:r>
              <w:r>
                <w:rPr>
                  <w:color w:val="3953A4"/>
                  <w:spacing w:val="-11"/>
                  <w:sz w:val="20"/>
                  <w:u w:val="single" w:color="3953A4"/>
                </w:rPr>
                <w:t> </w:t>
              </w:r>
              <w:r>
                <w:rPr>
                  <w:color w:val="3953A4"/>
                  <w:spacing w:val="-4"/>
                  <w:sz w:val="20"/>
                  <w:u w:val="single" w:color="3953A4"/>
                </w:rPr>
                <w:t>Test</w:t>
              </w:r>
            </w:hyperlink>
          </w:p>
          <w:p>
            <w:pPr>
              <w:pStyle w:val="TableParagraph"/>
              <w:spacing w:line="228" w:lineRule="exact" w:before="6"/>
              <w:ind w:left="407"/>
              <w:rPr>
                <w:sz w:val="20"/>
              </w:rPr>
            </w:pPr>
            <w:hyperlink r:id="rId366">
              <w:r>
                <w:rPr>
                  <w:color w:val="3953A4"/>
                  <w:sz w:val="20"/>
                  <w:u w:val="single" w:color="3953A4"/>
                </w:rPr>
                <w:t>(AUDIT)</w:t>
              </w:r>
            </w:hyperlink>
          </w:p>
          <w:p>
            <w:pPr>
              <w:pStyle w:val="TableParagraph"/>
              <w:numPr>
                <w:ilvl w:val="0"/>
                <w:numId w:val="52"/>
              </w:numPr>
              <w:tabs>
                <w:tab w:pos="407" w:val="left" w:leader="none"/>
                <w:tab w:pos="408" w:val="left" w:leader="none"/>
              </w:tabs>
              <w:spacing w:line="227" w:lineRule="exact" w:before="0" w:after="0"/>
              <w:ind w:left="407" w:right="0" w:hanging="361"/>
              <w:jc w:val="left"/>
              <w:rPr>
                <w:sz w:val="20"/>
              </w:rPr>
            </w:pPr>
            <w:hyperlink r:id="rId367">
              <w:r>
                <w:rPr>
                  <w:color w:val="3953A4"/>
                  <w:spacing w:val="-5"/>
                  <w:sz w:val="20"/>
                  <w:u w:val="single" w:color="3953A4"/>
                </w:rPr>
                <w:t>Drug</w:t>
              </w:r>
              <w:r>
                <w:rPr>
                  <w:color w:val="3953A4"/>
                  <w:spacing w:val="-19"/>
                  <w:sz w:val="20"/>
                  <w:u w:val="single" w:color="3953A4"/>
                </w:rPr>
                <w:t> </w:t>
              </w:r>
              <w:r>
                <w:rPr>
                  <w:color w:val="3953A4"/>
                  <w:spacing w:val="-5"/>
                  <w:sz w:val="20"/>
                  <w:u w:val="single" w:color="3953A4"/>
                </w:rPr>
                <w:t>Abuse</w:t>
              </w:r>
              <w:r>
                <w:rPr>
                  <w:color w:val="3953A4"/>
                  <w:spacing w:val="-7"/>
                  <w:sz w:val="20"/>
                  <w:u w:val="single" w:color="3953A4"/>
                </w:rPr>
                <w:t> </w:t>
              </w:r>
              <w:r>
                <w:rPr>
                  <w:color w:val="3953A4"/>
                  <w:spacing w:val="-5"/>
                  <w:sz w:val="20"/>
                  <w:u w:val="single" w:color="3953A4"/>
                </w:rPr>
                <w:t>Screening</w:t>
              </w:r>
              <w:r>
                <w:rPr>
                  <w:color w:val="3953A4"/>
                  <w:spacing w:val="-11"/>
                  <w:sz w:val="20"/>
                  <w:u w:val="single" w:color="3953A4"/>
                </w:rPr>
                <w:t> </w:t>
              </w:r>
              <w:r>
                <w:rPr>
                  <w:color w:val="3953A4"/>
                  <w:spacing w:val="-5"/>
                  <w:sz w:val="20"/>
                  <w:u w:val="single" w:color="3953A4"/>
                </w:rPr>
                <w:t>Test</w:t>
              </w:r>
              <w:r>
                <w:rPr>
                  <w:color w:val="3953A4"/>
                  <w:spacing w:val="-7"/>
                  <w:sz w:val="20"/>
                  <w:u w:val="single" w:color="3953A4"/>
                </w:rPr>
                <w:t> </w:t>
              </w:r>
              <w:r>
                <w:rPr>
                  <w:color w:val="3953A4"/>
                  <w:spacing w:val="-5"/>
                  <w:sz w:val="20"/>
                  <w:u w:val="single" w:color="3953A4"/>
                </w:rPr>
                <w:t>(DAST-10)</w:t>
              </w:r>
            </w:hyperlink>
          </w:p>
        </w:tc>
      </w:tr>
      <w:tr>
        <w:trPr>
          <w:trHeight w:val="1440" w:hRule="atLeast"/>
        </w:trPr>
        <w:tc>
          <w:tcPr>
            <w:tcW w:w="1982" w:type="dxa"/>
            <w:vMerge w:val="restart"/>
          </w:tcPr>
          <w:p>
            <w:pPr>
              <w:pStyle w:val="TableParagraph"/>
              <w:spacing w:line="249" w:lineRule="auto" w:before="5"/>
              <w:ind w:left="42" w:right="455"/>
              <w:rPr>
                <w:b/>
                <w:sz w:val="20"/>
              </w:rPr>
            </w:pPr>
            <w:r>
              <w:rPr>
                <w:b/>
                <w:color w:val="231F20"/>
                <w:sz w:val="20"/>
              </w:rPr>
              <w:t>Individual-level</w:t>
            </w:r>
            <w:r>
              <w:rPr>
                <w:b/>
                <w:color w:val="231F20"/>
                <w:spacing w:val="-53"/>
                <w:sz w:val="20"/>
              </w:rPr>
              <w:t> </w:t>
            </w:r>
            <w:r>
              <w:rPr>
                <w:b/>
                <w:color w:val="231F20"/>
                <w:sz w:val="20"/>
              </w:rPr>
              <w:t>mental</w:t>
            </w:r>
            <w:r>
              <w:rPr>
                <w:b/>
                <w:color w:val="231F20"/>
                <w:spacing w:val="-3"/>
                <w:sz w:val="20"/>
              </w:rPr>
              <w:t> </w:t>
            </w:r>
            <w:r>
              <w:rPr>
                <w:b/>
                <w:color w:val="231F20"/>
                <w:sz w:val="20"/>
              </w:rPr>
              <w:t>health</w:t>
            </w:r>
          </w:p>
        </w:tc>
        <w:tc>
          <w:tcPr>
            <w:tcW w:w="999" w:type="dxa"/>
            <w:shd w:val="clear" w:color="auto" w:fill="1C384B"/>
          </w:tcPr>
          <w:p>
            <w:pPr>
              <w:pStyle w:val="TableParagraph"/>
              <w:spacing w:before="5"/>
              <w:ind w:left="52"/>
              <w:rPr>
                <w:b/>
                <w:sz w:val="20"/>
              </w:rPr>
            </w:pPr>
            <w:r>
              <w:rPr>
                <w:b/>
                <w:color w:val="FFFFFF"/>
                <w:sz w:val="20"/>
              </w:rPr>
              <w:t>CBT</w:t>
            </w:r>
          </w:p>
        </w:tc>
        <w:tc>
          <w:tcPr>
            <w:tcW w:w="3844" w:type="dxa"/>
            <w:vMerge w:val="restart"/>
          </w:tcPr>
          <w:p>
            <w:pPr>
              <w:pStyle w:val="TableParagraph"/>
              <w:numPr>
                <w:ilvl w:val="0"/>
                <w:numId w:val="53"/>
              </w:numPr>
              <w:tabs>
                <w:tab w:pos="392" w:val="left" w:leader="none"/>
                <w:tab w:pos="393" w:val="left" w:leader="none"/>
              </w:tabs>
              <w:spacing w:line="237" w:lineRule="exact" w:before="0" w:after="0"/>
              <w:ind w:left="392" w:right="0" w:hanging="361"/>
              <w:jc w:val="left"/>
              <w:rPr>
                <w:sz w:val="20"/>
              </w:rPr>
            </w:pPr>
            <w:r>
              <w:rPr>
                <w:color w:val="231F20"/>
                <w:sz w:val="20"/>
              </w:rPr>
              <w:t>Mental</w:t>
            </w:r>
            <w:r>
              <w:rPr>
                <w:color w:val="231F20"/>
                <w:spacing w:val="-2"/>
                <w:sz w:val="20"/>
              </w:rPr>
              <w:t> </w:t>
            </w:r>
            <w:r>
              <w:rPr>
                <w:color w:val="231F20"/>
                <w:sz w:val="20"/>
              </w:rPr>
              <w:t>health</w:t>
            </w:r>
            <w:r>
              <w:rPr>
                <w:color w:val="231F20"/>
                <w:spacing w:val="-3"/>
                <w:sz w:val="20"/>
              </w:rPr>
              <w:t> </w:t>
            </w:r>
            <w:r>
              <w:rPr>
                <w:color w:val="231F20"/>
                <w:sz w:val="20"/>
              </w:rPr>
              <w:t>score</w:t>
            </w:r>
          </w:p>
        </w:tc>
        <w:tc>
          <w:tcPr>
            <w:tcW w:w="3955" w:type="dxa"/>
          </w:tcPr>
          <w:p>
            <w:pPr>
              <w:pStyle w:val="TableParagraph"/>
              <w:numPr>
                <w:ilvl w:val="0"/>
                <w:numId w:val="54"/>
              </w:numPr>
              <w:tabs>
                <w:tab w:pos="407" w:val="left" w:leader="none"/>
                <w:tab w:pos="408" w:val="left" w:leader="none"/>
              </w:tabs>
              <w:spacing w:line="240" w:lineRule="exact" w:before="0" w:after="0"/>
              <w:ind w:left="407" w:right="34" w:hanging="360"/>
              <w:jc w:val="left"/>
              <w:rPr>
                <w:sz w:val="20"/>
              </w:rPr>
            </w:pPr>
            <w:r>
              <w:rPr>
                <w:color w:val="231F20"/>
                <w:sz w:val="20"/>
              </w:rPr>
              <w:t>Structured scales and assessments</w:t>
            </w:r>
            <w:r>
              <w:rPr>
                <w:color w:val="231F20"/>
                <w:spacing w:val="1"/>
                <w:sz w:val="20"/>
              </w:rPr>
              <w:t> </w:t>
            </w:r>
            <w:r>
              <w:rPr>
                <w:color w:val="231F20"/>
                <w:sz w:val="20"/>
              </w:rPr>
              <w:t>(e.g.,</w:t>
            </w:r>
            <w:r>
              <w:rPr>
                <w:color w:val="3953A4"/>
                <w:sz w:val="20"/>
              </w:rPr>
              <w:t> </w:t>
            </w:r>
            <w:hyperlink r:id="rId368">
              <w:r>
                <w:rPr>
                  <w:color w:val="3953A4"/>
                  <w:sz w:val="20"/>
                  <w:u w:val="single" w:color="3953A4"/>
                </w:rPr>
                <w:t>PHQ-9 for depression</w:t>
              </w:r>
            </w:hyperlink>
            <w:r>
              <w:rPr>
                <w:color w:val="231F20"/>
                <w:sz w:val="20"/>
              </w:rPr>
              <w:t>,</w:t>
            </w:r>
            <w:r>
              <w:rPr>
                <w:color w:val="3953A4"/>
                <w:sz w:val="20"/>
              </w:rPr>
              <w:t> </w:t>
            </w:r>
            <w:hyperlink r:id="rId369">
              <w:r>
                <w:rPr>
                  <w:color w:val="3953A4"/>
                  <w:sz w:val="20"/>
                  <w:u w:val="single" w:color="3953A4"/>
                </w:rPr>
                <w:t>Beck</w:t>
              </w:r>
            </w:hyperlink>
            <w:r>
              <w:rPr>
                <w:color w:val="3953A4"/>
                <w:spacing w:val="1"/>
                <w:sz w:val="20"/>
              </w:rPr>
              <w:t> </w:t>
            </w:r>
            <w:hyperlink r:id="rId369">
              <w:r>
                <w:rPr>
                  <w:color w:val="3953A4"/>
                  <w:sz w:val="20"/>
                  <w:u w:val="single" w:color="3953A4"/>
                </w:rPr>
                <w:t>Depression Inventory</w:t>
              </w:r>
            </w:hyperlink>
            <w:r>
              <w:rPr>
                <w:color w:val="231F20"/>
                <w:sz w:val="20"/>
              </w:rPr>
              <w:t>,</w:t>
            </w:r>
            <w:r>
              <w:rPr>
                <w:color w:val="3953A4"/>
                <w:sz w:val="20"/>
              </w:rPr>
              <w:t> </w:t>
            </w:r>
            <w:hyperlink r:id="rId370">
              <w:r>
                <w:rPr>
                  <w:color w:val="3953A4"/>
                  <w:sz w:val="20"/>
                  <w:u w:val="single" w:color="3953A4"/>
                </w:rPr>
                <w:t>Hamilton</w:t>
              </w:r>
            </w:hyperlink>
            <w:r>
              <w:rPr>
                <w:color w:val="3953A4"/>
                <w:spacing w:val="1"/>
                <w:sz w:val="20"/>
              </w:rPr>
              <w:t> </w:t>
            </w:r>
            <w:hyperlink r:id="rId370">
              <w:r>
                <w:rPr>
                  <w:color w:val="3953A4"/>
                  <w:sz w:val="20"/>
                  <w:u w:val="single" w:color="3953A4"/>
                </w:rPr>
                <w:t>Depression Scale</w:t>
              </w:r>
            </w:hyperlink>
            <w:r>
              <w:rPr>
                <w:color w:val="231F20"/>
                <w:sz w:val="20"/>
              </w:rPr>
              <w:t>,</w:t>
            </w:r>
            <w:r>
              <w:rPr>
                <w:color w:val="3953A4"/>
                <w:sz w:val="20"/>
              </w:rPr>
              <w:t> </w:t>
            </w:r>
            <w:hyperlink r:id="rId371">
              <w:r>
                <w:rPr>
                  <w:color w:val="3953A4"/>
                  <w:sz w:val="20"/>
                  <w:u w:val="single" w:color="3953A4"/>
                </w:rPr>
                <w:t>Montgomery-Asberg</w:t>
              </w:r>
            </w:hyperlink>
            <w:r>
              <w:rPr>
                <w:color w:val="3953A4"/>
                <w:spacing w:val="-53"/>
                <w:sz w:val="20"/>
              </w:rPr>
              <w:t> </w:t>
            </w:r>
            <w:hyperlink r:id="rId371">
              <w:r>
                <w:rPr>
                  <w:color w:val="3953A4"/>
                  <w:sz w:val="20"/>
                  <w:u w:val="single" w:color="3953A4"/>
                </w:rPr>
                <w:t>Depression Rating Scale</w:t>
              </w:r>
            </w:hyperlink>
            <w:r>
              <w:rPr>
                <w:color w:val="231F20"/>
                <w:sz w:val="20"/>
              </w:rPr>
              <w:t>,</w:t>
            </w:r>
            <w:r>
              <w:rPr>
                <w:color w:val="3953A4"/>
                <w:sz w:val="20"/>
              </w:rPr>
              <w:t> </w:t>
            </w:r>
            <w:hyperlink r:id="rId372">
              <w:r>
                <w:rPr>
                  <w:color w:val="3953A4"/>
                  <w:sz w:val="20"/>
                  <w:u w:val="single" w:color="3953A4"/>
                </w:rPr>
                <w:t>Generalized</w:t>
              </w:r>
            </w:hyperlink>
            <w:r>
              <w:rPr>
                <w:color w:val="3953A4"/>
                <w:spacing w:val="1"/>
                <w:sz w:val="20"/>
              </w:rPr>
              <w:t> </w:t>
            </w:r>
            <w:hyperlink r:id="rId372">
              <w:r>
                <w:rPr>
                  <w:color w:val="3953A4"/>
                  <w:sz w:val="20"/>
                  <w:u w:val="single" w:color="3953A4"/>
                </w:rPr>
                <w:t>Anxiety</w:t>
              </w:r>
              <w:r>
                <w:rPr>
                  <w:color w:val="3953A4"/>
                  <w:spacing w:val="-1"/>
                  <w:sz w:val="20"/>
                  <w:u w:val="single" w:color="3953A4"/>
                </w:rPr>
                <w:t> </w:t>
              </w:r>
              <w:r>
                <w:rPr>
                  <w:color w:val="3953A4"/>
                  <w:sz w:val="20"/>
                  <w:u w:val="single" w:color="3953A4"/>
                </w:rPr>
                <w:t>Disorder</w:t>
              </w:r>
              <w:r>
                <w:rPr>
                  <w:color w:val="3953A4"/>
                  <w:spacing w:val="-1"/>
                  <w:sz w:val="20"/>
                  <w:u w:val="single" w:color="3953A4"/>
                </w:rPr>
                <w:t> </w:t>
              </w:r>
              <w:r>
                <w:rPr>
                  <w:color w:val="3953A4"/>
                  <w:sz w:val="20"/>
                  <w:u w:val="single" w:color="3953A4"/>
                </w:rPr>
                <w:t>(GAD-7)</w:t>
              </w:r>
              <w:r>
                <w:rPr>
                  <w:color w:val="3953A4"/>
                  <w:spacing w:val="-1"/>
                  <w:sz w:val="20"/>
                  <w:u w:val="single" w:color="3953A4"/>
                </w:rPr>
                <w:t> </w:t>
              </w:r>
              <w:r>
                <w:rPr>
                  <w:color w:val="3953A4"/>
                  <w:sz w:val="20"/>
                  <w:u w:val="single" w:color="3953A4"/>
                </w:rPr>
                <w:t>Scale</w:t>
              </w:r>
            </w:hyperlink>
            <w:r>
              <w:rPr>
                <w:color w:val="231F20"/>
                <w:sz w:val="20"/>
              </w:rPr>
              <w:t>)</w:t>
            </w:r>
          </w:p>
        </w:tc>
      </w:tr>
      <w:tr>
        <w:trPr>
          <w:trHeight w:val="240" w:hRule="atLeast"/>
        </w:trPr>
        <w:tc>
          <w:tcPr>
            <w:tcW w:w="1982" w:type="dxa"/>
            <w:vMerge/>
            <w:tcBorders>
              <w:top w:val="nil"/>
            </w:tcBorders>
          </w:tcPr>
          <w:p>
            <w:pPr>
              <w:rPr>
                <w:sz w:val="2"/>
                <w:szCs w:val="2"/>
              </w:rPr>
            </w:pPr>
          </w:p>
        </w:tc>
        <w:tc>
          <w:tcPr>
            <w:tcW w:w="999" w:type="dxa"/>
            <w:shd w:val="clear" w:color="auto" w:fill="659740"/>
          </w:tcPr>
          <w:p>
            <w:pPr>
              <w:pStyle w:val="TableParagraph"/>
              <w:spacing w:line="215" w:lineRule="exact" w:before="5"/>
              <w:ind w:left="52"/>
              <w:rPr>
                <w:b/>
                <w:sz w:val="20"/>
              </w:rPr>
            </w:pPr>
            <w:r>
              <w:rPr>
                <w:b/>
                <w:color w:val="FFFFFF"/>
                <w:sz w:val="20"/>
              </w:rPr>
              <w:t>PN</w:t>
            </w:r>
          </w:p>
        </w:tc>
        <w:tc>
          <w:tcPr>
            <w:tcW w:w="3844" w:type="dxa"/>
            <w:vMerge/>
            <w:tcBorders>
              <w:top w:val="nil"/>
            </w:tcBorders>
          </w:tcPr>
          <w:p>
            <w:pPr>
              <w:rPr>
                <w:sz w:val="2"/>
                <w:szCs w:val="2"/>
              </w:rPr>
            </w:pPr>
          </w:p>
        </w:tc>
        <w:tc>
          <w:tcPr>
            <w:tcW w:w="3955" w:type="dxa"/>
          </w:tcPr>
          <w:p>
            <w:pPr>
              <w:pStyle w:val="TableParagraph"/>
              <w:numPr>
                <w:ilvl w:val="0"/>
                <w:numId w:val="55"/>
              </w:numPr>
              <w:tabs>
                <w:tab w:pos="407" w:val="left" w:leader="none"/>
                <w:tab w:pos="408" w:val="left" w:leader="none"/>
              </w:tabs>
              <w:spacing w:line="221" w:lineRule="exact" w:before="0" w:after="0"/>
              <w:ind w:left="407" w:right="0" w:hanging="361"/>
              <w:jc w:val="left"/>
              <w:rPr>
                <w:sz w:val="20"/>
              </w:rPr>
            </w:pPr>
            <w:r>
              <w:rPr>
                <w:color w:val="231F20"/>
                <w:spacing w:val="-6"/>
                <w:sz w:val="20"/>
              </w:rPr>
              <w:t>12-item</w:t>
            </w:r>
            <w:r>
              <w:rPr>
                <w:color w:val="231F20"/>
                <w:spacing w:val="-13"/>
                <w:sz w:val="20"/>
              </w:rPr>
              <w:t> </w:t>
            </w:r>
            <w:r>
              <w:rPr>
                <w:color w:val="231F20"/>
                <w:spacing w:val="-6"/>
                <w:sz w:val="20"/>
              </w:rPr>
              <w:t>short</w:t>
            </w:r>
            <w:r>
              <w:rPr>
                <w:color w:val="231F20"/>
                <w:spacing w:val="-12"/>
                <w:sz w:val="20"/>
              </w:rPr>
              <w:t> </w:t>
            </w:r>
            <w:r>
              <w:rPr>
                <w:color w:val="231F20"/>
                <w:spacing w:val="-5"/>
                <w:sz w:val="20"/>
              </w:rPr>
              <w:t>form</w:t>
            </w:r>
            <w:r>
              <w:rPr>
                <w:color w:val="231F20"/>
                <w:spacing w:val="-12"/>
                <w:sz w:val="20"/>
              </w:rPr>
              <w:t> </w:t>
            </w:r>
            <w:r>
              <w:rPr>
                <w:color w:val="231F20"/>
                <w:spacing w:val="-5"/>
                <w:sz w:val="20"/>
              </w:rPr>
              <w:t>health</w:t>
            </w:r>
            <w:r>
              <w:rPr>
                <w:color w:val="231F20"/>
                <w:spacing w:val="-12"/>
                <w:sz w:val="20"/>
              </w:rPr>
              <w:t> </w:t>
            </w:r>
            <w:r>
              <w:rPr>
                <w:color w:val="231F20"/>
                <w:spacing w:val="-5"/>
                <w:sz w:val="20"/>
              </w:rPr>
              <w:t>survey</w:t>
            </w:r>
            <w:r>
              <w:rPr>
                <w:color w:val="231F20"/>
                <w:spacing w:val="-12"/>
                <w:sz w:val="20"/>
              </w:rPr>
              <w:t> </w:t>
            </w:r>
            <w:r>
              <w:rPr>
                <w:color w:val="231F20"/>
                <w:spacing w:val="-5"/>
                <w:sz w:val="20"/>
              </w:rPr>
              <w:t>(</w:t>
            </w:r>
            <w:hyperlink r:id="rId373">
              <w:r>
                <w:rPr>
                  <w:color w:val="3953A4"/>
                  <w:spacing w:val="-5"/>
                  <w:sz w:val="20"/>
                  <w:u w:val="single" w:color="3953A4"/>
                </w:rPr>
                <w:t>SF-12</w:t>
              </w:r>
            </w:hyperlink>
            <w:r>
              <w:rPr>
                <w:color w:val="231F20"/>
                <w:spacing w:val="-5"/>
                <w:sz w:val="20"/>
              </w:rPr>
              <w:t>)</w:t>
            </w:r>
          </w:p>
        </w:tc>
      </w:tr>
      <w:tr>
        <w:trPr>
          <w:trHeight w:val="720" w:hRule="atLeast"/>
        </w:trPr>
        <w:tc>
          <w:tcPr>
            <w:tcW w:w="1982" w:type="dxa"/>
          </w:tcPr>
          <w:p>
            <w:pPr>
              <w:pStyle w:val="TableParagraph"/>
              <w:spacing w:line="240" w:lineRule="exact"/>
              <w:ind w:left="42" w:right="21"/>
              <w:rPr>
                <w:b/>
                <w:sz w:val="20"/>
              </w:rPr>
            </w:pPr>
            <w:r>
              <w:rPr>
                <w:b/>
                <w:color w:val="231F20"/>
                <w:sz w:val="20"/>
              </w:rPr>
              <w:t>Changes in HIV risk</w:t>
            </w:r>
            <w:r>
              <w:rPr>
                <w:b/>
                <w:color w:val="231F20"/>
                <w:spacing w:val="-54"/>
                <w:sz w:val="20"/>
              </w:rPr>
              <w:t> </w:t>
            </w:r>
            <w:r>
              <w:rPr>
                <w:b/>
                <w:color w:val="231F20"/>
                <w:sz w:val="20"/>
              </w:rPr>
              <w:t>associated with</w:t>
            </w:r>
            <w:r>
              <w:rPr>
                <w:b/>
                <w:color w:val="231F20"/>
                <w:spacing w:val="1"/>
                <w:sz w:val="20"/>
              </w:rPr>
              <w:t> </w:t>
            </w:r>
            <w:r>
              <w:rPr>
                <w:b/>
                <w:color w:val="231F20"/>
                <w:sz w:val="20"/>
              </w:rPr>
              <w:t>SUD</w:t>
            </w:r>
          </w:p>
        </w:tc>
        <w:tc>
          <w:tcPr>
            <w:tcW w:w="999" w:type="dxa"/>
            <w:shd w:val="clear" w:color="auto" w:fill="70499D"/>
          </w:tcPr>
          <w:p>
            <w:pPr>
              <w:pStyle w:val="TableParagraph"/>
              <w:spacing w:before="5"/>
              <w:ind w:left="52"/>
              <w:rPr>
                <w:b/>
                <w:sz w:val="20"/>
              </w:rPr>
            </w:pPr>
            <w:r>
              <w:rPr>
                <w:b/>
                <w:color w:val="FFFFFF"/>
                <w:sz w:val="20"/>
              </w:rPr>
              <w:t>SSPs</w:t>
            </w:r>
          </w:p>
        </w:tc>
        <w:tc>
          <w:tcPr>
            <w:tcW w:w="3844" w:type="dxa"/>
          </w:tcPr>
          <w:p>
            <w:pPr>
              <w:pStyle w:val="TableParagraph"/>
              <w:numPr>
                <w:ilvl w:val="0"/>
                <w:numId w:val="56"/>
              </w:numPr>
              <w:tabs>
                <w:tab w:pos="392" w:val="left" w:leader="none"/>
                <w:tab w:pos="393" w:val="left" w:leader="none"/>
              </w:tabs>
              <w:spacing w:line="235" w:lineRule="exact" w:before="0" w:after="0"/>
              <w:ind w:left="392" w:right="0" w:hanging="361"/>
              <w:jc w:val="left"/>
              <w:rPr>
                <w:sz w:val="20"/>
              </w:rPr>
            </w:pPr>
            <w:r>
              <w:rPr>
                <w:color w:val="231F20"/>
                <w:sz w:val="20"/>
              </w:rPr>
              <w:t>Frequency</w:t>
            </w:r>
            <w:r>
              <w:rPr>
                <w:color w:val="231F20"/>
                <w:spacing w:val="-1"/>
                <w:sz w:val="20"/>
              </w:rPr>
              <w:t> </w:t>
            </w:r>
            <w:r>
              <w:rPr>
                <w:color w:val="231F20"/>
                <w:sz w:val="20"/>
              </w:rPr>
              <w:t>of</w:t>
            </w:r>
            <w:r>
              <w:rPr>
                <w:color w:val="231F20"/>
                <w:spacing w:val="-2"/>
                <w:sz w:val="20"/>
              </w:rPr>
              <w:t> </w:t>
            </w:r>
            <w:r>
              <w:rPr>
                <w:color w:val="231F20"/>
                <w:sz w:val="20"/>
              </w:rPr>
              <w:t>substance</w:t>
            </w:r>
            <w:r>
              <w:rPr>
                <w:color w:val="231F20"/>
                <w:spacing w:val="-1"/>
                <w:sz w:val="20"/>
              </w:rPr>
              <w:t> </w:t>
            </w:r>
            <w:r>
              <w:rPr>
                <w:color w:val="231F20"/>
                <w:sz w:val="20"/>
              </w:rPr>
              <w:t>use</w:t>
            </w:r>
          </w:p>
          <w:p>
            <w:pPr>
              <w:pStyle w:val="TableParagraph"/>
              <w:numPr>
                <w:ilvl w:val="0"/>
                <w:numId w:val="56"/>
              </w:numPr>
              <w:tabs>
                <w:tab w:pos="392" w:val="left" w:leader="none"/>
                <w:tab w:pos="393" w:val="left" w:leader="none"/>
              </w:tabs>
              <w:spacing w:line="243" w:lineRule="exact" w:before="0" w:after="0"/>
              <w:ind w:left="392" w:right="0" w:hanging="361"/>
              <w:jc w:val="left"/>
              <w:rPr>
                <w:sz w:val="20"/>
              </w:rPr>
            </w:pPr>
            <w:r>
              <w:rPr>
                <w:color w:val="231F20"/>
                <w:sz w:val="20"/>
              </w:rPr>
              <w:t>Cessation</w:t>
            </w:r>
            <w:r>
              <w:rPr>
                <w:color w:val="231F20"/>
                <w:spacing w:val="-6"/>
                <w:sz w:val="20"/>
              </w:rPr>
              <w:t> </w:t>
            </w:r>
            <w:r>
              <w:rPr>
                <w:color w:val="231F20"/>
                <w:sz w:val="20"/>
              </w:rPr>
              <w:t>of</w:t>
            </w:r>
            <w:r>
              <w:rPr>
                <w:color w:val="231F20"/>
                <w:spacing w:val="-5"/>
                <w:sz w:val="20"/>
              </w:rPr>
              <w:t> </w:t>
            </w:r>
            <w:r>
              <w:rPr>
                <w:color w:val="231F20"/>
                <w:sz w:val="20"/>
              </w:rPr>
              <w:t>injection</w:t>
            </w:r>
            <w:r>
              <w:rPr>
                <w:color w:val="231F20"/>
                <w:spacing w:val="-6"/>
                <w:sz w:val="20"/>
              </w:rPr>
              <w:t> </w:t>
            </w:r>
            <w:r>
              <w:rPr>
                <w:color w:val="231F20"/>
                <w:sz w:val="20"/>
              </w:rPr>
              <w:t>drug</w:t>
            </w:r>
            <w:r>
              <w:rPr>
                <w:color w:val="231F20"/>
                <w:spacing w:val="-5"/>
                <w:sz w:val="20"/>
              </w:rPr>
              <w:t> </w:t>
            </w:r>
            <w:r>
              <w:rPr>
                <w:color w:val="231F20"/>
                <w:sz w:val="20"/>
              </w:rPr>
              <w:t>use</w:t>
            </w:r>
          </w:p>
        </w:tc>
        <w:tc>
          <w:tcPr>
            <w:tcW w:w="3955" w:type="dxa"/>
          </w:tcPr>
          <w:p>
            <w:pPr>
              <w:pStyle w:val="TableParagraph"/>
              <w:numPr>
                <w:ilvl w:val="0"/>
                <w:numId w:val="57"/>
              </w:numPr>
              <w:tabs>
                <w:tab w:pos="407" w:val="left" w:leader="none"/>
                <w:tab w:pos="408" w:val="left" w:leader="none"/>
              </w:tabs>
              <w:spacing w:line="235" w:lineRule="exact" w:before="0" w:after="0"/>
              <w:ind w:left="407" w:right="0" w:hanging="361"/>
              <w:jc w:val="left"/>
              <w:rPr>
                <w:sz w:val="20"/>
              </w:rPr>
            </w:pPr>
            <w:r>
              <w:rPr>
                <w:color w:val="231F20"/>
                <w:sz w:val="20"/>
              </w:rPr>
              <w:t>Qualitative</w:t>
            </w:r>
            <w:r>
              <w:rPr>
                <w:color w:val="231F20"/>
                <w:spacing w:val="-3"/>
                <w:sz w:val="20"/>
              </w:rPr>
              <w:t> </w:t>
            </w:r>
            <w:r>
              <w:rPr>
                <w:color w:val="231F20"/>
                <w:sz w:val="20"/>
              </w:rPr>
              <w:t>interviews</w:t>
            </w:r>
            <w:r>
              <w:rPr>
                <w:color w:val="231F20"/>
                <w:spacing w:val="-4"/>
                <w:sz w:val="20"/>
              </w:rPr>
              <w:t> </w:t>
            </w:r>
            <w:r>
              <w:rPr>
                <w:color w:val="231F20"/>
                <w:sz w:val="20"/>
              </w:rPr>
              <w:t>(staff</w:t>
            </w:r>
            <w:r>
              <w:rPr>
                <w:color w:val="231F20"/>
                <w:spacing w:val="-3"/>
                <w:sz w:val="20"/>
              </w:rPr>
              <w:t> </w:t>
            </w:r>
            <w:r>
              <w:rPr>
                <w:color w:val="231F20"/>
                <w:sz w:val="20"/>
              </w:rPr>
              <w:t>and</w:t>
            </w:r>
            <w:r>
              <w:rPr>
                <w:color w:val="231F20"/>
                <w:spacing w:val="-4"/>
                <w:sz w:val="20"/>
              </w:rPr>
              <w:t> </w:t>
            </w:r>
            <w:r>
              <w:rPr>
                <w:color w:val="231F20"/>
                <w:sz w:val="20"/>
              </w:rPr>
              <w:t>clients)</w:t>
            </w:r>
          </w:p>
          <w:p>
            <w:pPr>
              <w:pStyle w:val="TableParagraph"/>
              <w:numPr>
                <w:ilvl w:val="0"/>
                <w:numId w:val="57"/>
              </w:numPr>
              <w:tabs>
                <w:tab w:pos="407" w:val="left" w:leader="none"/>
                <w:tab w:pos="408" w:val="left" w:leader="none"/>
              </w:tabs>
              <w:spacing w:line="243" w:lineRule="exact" w:before="0" w:after="0"/>
              <w:ind w:left="407" w:right="0" w:hanging="361"/>
              <w:jc w:val="left"/>
              <w:rPr>
                <w:sz w:val="20"/>
              </w:rPr>
            </w:pPr>
            <w:r>
              <w:rPr>
                <w:color w:val="231F20"/>
                <w:sz w:val="20"/>
              </w:rPr>
              <w:t>NIDA</w:t>
            </w:r>
            <w:r>
              <w:rPr>
                <w:color w:val="231F20"/>
                <w:spacing w:val="-13"/>
                <w:sz w:val="20"/>
              </w:rPr>
              <w:t> </w:t>
            </w:r>
            <w:r>
              <w:rPr>
                <w:color w:val="231F20"/>
                <w:sz w:val="20"/>
              </w:rPr>
              <w:t>Risk</w:t>
            </w:r>
            <w:r>
              <w:rPr>
                <w:color w:val="231F20"/>
                <w:spacing w:val="-2"/>
                <w:sz w:val="20"/>
              </w:rPr>
              <w:t> </w:t>
            </w:r>
            <w:r>
              <w:rPr>
                <w:color w:val="231F20"/>
                <w:sz w:val="20"/>
              </w:rPr>
              <w:t>Behavior</w:t>
            </w:r>
            <w:r>
              <w:rPr>
                <w:color w:val="231F20"/>
                <w:spacing w:val="-13"/>
                <w:sz w:val="20"/>
              </w:rPr>
              <w:t> </w:t>
            </w:r>
            <w:r>
              <w:rPr>
                <w:color w:val="231F20"/>
                <w:sz w:val="20"/>
              </w:rPr>
              <w:t>Assessment</w:t>
            </w:r>
          </w:p>
        </w:tc>
      </w:tr>
      <w:tr>
        <w:trPr>
          <w:trHeight w:val="240" w:hRule="atLeast"/>
        </w:trPr>
        <w:tc>
          <w:tcPr>
            <w:tcW w:w="10780" w:type="dxa"/>
            <w:gridSpan w:val="4"/>
            <w:shd w:val="clear" w:color="auto" w:fill="CBD3DD"/>
          </w:tcPr>
          <w:p>
            <w:pPr>
              <w:pStyle w:val="TableParagraph"/>
              <w:spacing w:line="215" w:lineRule="exact" w:before="5"/>
              <w:ind w:left="1474" w:right="1452"/>
              <w:jc w:val="center"/>
              <w:rPr>
                <w:b/>
                <w:sz w:val="20"/>
              </w:rPr>
            </w:pPr>
            <w:r>
              <w:rPr>
                <w:b/>
                <w:color w:val="010202"/>
                <w:sz w:val="20"/>
              </w:rPr>
              <w:t>Long-term</w:t>
            </w:r>
            <w:r>
              <w:rPr>
                <w:b/>
                <w:color w:val="010202"/>
                <w:spacing w:val="-1"/>
                <w:sz w:val="20"/>
              </w:rPr>
              <w:t> </w:t>
            </w:r>
            <w:r>
              <w:rPr>
                <w:b/>
                <w:color w:val="010202"/>
                <w:sz w:val="20"/>
              </w:rPr>
              <w:t>and</w:t>
            </w:r>
            <w:r>
              <w:rPr>
                <w:b/>
                <w:color w:val="010202"/>
                <w:spacing w:val="-2"/>
                <w:sz w:val="20"/>
              </w:rPr>
              <w:t> </w:t>
            </w:r>
            <w:r>
              <w:rPr>
                <w:b/>
                <w:color w:val="010202"/>
                <w:sz w:val="20"/>
              </w:rPr>
              <w:t>population-level outcomes</w:t>
            </w:r>
            <w:r>
              <w:rPr>
                <w:b/>
                <w:color w:val="010202"/>
                <w:spacing w:val="-1"/>
                <w:sz w:val="20"/>
              </w:rPr>
              <w:t> </w:t>
            </w:r>
            <w:r>
              <w:rPr>
                <w:b/>
                <w:color w:val="010202"/>
                <w:sz w:val="20"/>
              </w:rPr>
              <w:t>and</w:t>
            </w:r>
            <w:r>
              <w:rPr>
                <w:b/>
                <w:color w:val="010202"/>
                <w:spacing w:val="-2"/>
                <w:sz w:val="20"/>
              </w:rPr>
              <w:t> </w:t>
            </w:r>
            <w:r>
              <w:rPr>
                <w:b/>
                <w:color w:val="010202"/>
                <w:sz w:val="20"/>
              </w:rPr>
              <w:t>impacts</w:t>
            </w:r>
          </w:p>
        </w:tc>
      </w:tr>
      <w:tr>
        <w:trPr>
          <w:trHeight w:val="240" w:hRule="atLeast"/>
        </w:trPr>
        <w:tc>
          <w:tcPr>
            <w:tcW w:w="1982" w:type="dxa"/>
            <w:vMerge w:val="restart"/>
          </w:tcPr>
          <w:p>
            <w:pPr>
              <w:pStyle w:val="TableParagraph"/>
              <w:spacing w:line="249" w:lineRule="auto" w:before="5"/>
              <w:ind w:left="42" w:right="66"/>
              <w:rPr>
                <w:b/>
                <w:sz w:val="20"/>
              </w:rPr>
            </w:pPr>
            <w:r>
              <w:rPr>
                <w:b/>
                <w:color w:val="231F20"/>
                <w:sz w:val="20"/>
              </w:rPr>
              <w:t>Individual-level HIV</w:t>
            </w:r>
            <w:r>
              <w:rPr>
                <w:b/>
                <w:color w:val="231F20"/>
                <w:spacing w:val="-53"/>
                <w:sz w:val="20"/>
              </w:rPr>
              <w:t> </w:t>
            </w:r>
            <w:r>
              <w:rPr>
                <w:b/>
                <w:color w:val="231F20"/>
                <w:sz w:val="20"/>
              </w:rPr>
              <w:t>outcomes</w:t>
            </w:r>
          </w:p>
        </w:tc>
        <w:tc>
          <w:tcPr>
            <w:tcW w:w="999" w:type="dxa"/>
            <w:shd w:val="clear" w:color="auto" w:fill="1C384B"/>
          </w:tcPr>
          <w:p>
            <w:pPr>
              <w:pStyle w:val="TableParagraph"/>
              <w:spacing w:line="215" w:lineRule="exact" w:before="5"/>
              <w:ind w:left="52"/>
              <w:rPr>
                <w:b/>
                <w:sz w:val="20"/>
              </w:rPr>
            </w:pPr>
            <w:r>
              <w:rPr>
                <w:b/>
                <w:color w:val="FFFFFF"/>
                <w:sz w:val="20"/>
              </w:rPr>
              <w:t>CBT</w:t>
            </w:r>
          </w:p>
        </w:tc>
        <w:tc>
          <w:tcPr>
            <w:tcW w:w="3844" w:type="dxa"/>
            <w:vMerge w:val="restart"/>
          </w:tcPr>
          <w:p>
            <w:pPr>
              <w:pStyle w:val="TableParagraph"/>
              <w:numPr>
                <w:ilvl w:val="0"/>
                <w:numId w:val="58"/>
              </w:numPr>
              <w:tabs>
                <w:tab w:pos="392" w:val="left" w:leader="none"/>
                <w:tab w:pos="393" w:val="left" w:leader="none"/>
              </w:tabs>
              <w:spacing w:line="235" w:lineRule="exact" w:before="0" w:after="0"/>
              <w:ind w:left="392" w:right="0" w:hanging="361"/>
              <w:jc w:val="left"/>
              <w:rPr>
                <w:sz w:val="20"/>
              </w:rPr>
            </w:pPr>
            <w:r>
              <w:rPr>
                <w:color w:val="231F20"/>
                <w:sz w:val="20"/>
              </w:rPr>
              <w:t>CD4</w:t>
            </w:r>
            <w:r>
              <w:rPr>
                <w:color w:val="231F20"/>
                <w:spacing w:val="-2"/>
                <w:sz w:val="20"/>
              </w:rPr>
              <w:t> </w:t>
            </w:r>
            <w:r>
              <w:rPr>
                <w:color w:val="231F20"/>
                <w:sz w:val="20"/>
              </w:rPr>
              <w:t>cell</w:t>
            </w:r>
            <w:r>
              <w:rPr>
                <w:color w:val="231F20"/>
                <w:spacing w:val="-1"/>
                <w:sz w:val="20"/>
              </w:rPr>
              <w:t> </w:t>
            </w:r>
            <w:r>
              <w:rPr>
                <w:color w:val="231F20"/>
                <w:sz w:val="20"/>
              </w:rPr>
              <w:t>count</w:t>
            </w:r>
          </w:p>
          <w:p>
            <w:pPr>
              <w:pStyle w:val="TableParagraph"/>
              <w:numPr>
                <w:ilvl w:val="0"/>
                <w:numId w:val="58"/>
              </w:numPr>
              <w:tabs>
                <w:tab w:pos="392" w:val="left" w:leader="none"/>
                <w:tab w:pos="393" w:val="left" w:leader="none"/>
              </w:tabs>
              <w:spacing w:line="243" w:lineRule="exact" w:before="0" w:after="0"/>
              <w:ind w:left="392" w:right="0" w:hanging="361"/>
              <w:jc w:val="left"/>
              <w:rPr>
                <w:sz w:val="20"/>
              </w:rPr>
            </w:pPr>
            <w:r>
              <w:rPr>
                <w:color w:val="231F20"/>
                <w:sz w:val="20"/>
              </w:rPr>
              <w:t>Viral</w:t>
            </w:r>
            <w:r>
              <w:rPr>
                <w:color w:val="231F20"/>
                <w:spacing w:val="-6"/>
                <w:sz w:val="20"/>
              </w:rPr>
              <w:t> </w:t>
            </w:r>
            <w:r>
              <w:rPr>
                <w:color w:val="231F20"/>
                <w:sz w:val="20"/>
              </w:rPr>
              <w:t>load</w:t>
            </w:r>
          </w:p>
        </w:tc>
        <w:tc>
          <w:tcPr>
            <w:tcW w:w="3955" w:type="dxa"/>
            <w:vMerge w:val="restart"/>
          </w:tcPr>
          <w:p>
            <w:pPr>
              <w:pStyle w:val="TableParagraph"/>
              <w:numPr>
                <w:ilvl w:val="0"/>
                <w:numId w:val="59"/>
              </w:numPr>
              <w:tabs>
                <w:tab w:pos="407" w:val="left" w:leader="none"/>
                <w:tab w:pos="408" w:val="left" w:leader="none"/>
              </w:tabs>
              <w:spacing w:line="235" w:lineRule="exact" w:before="0" w:after="0"/>
              <w:ind w:left="407" w:right="0" w:hanging="361"/>
              <w:jc w:val="left"/>
              <w:rPr>
                <w:sz w:val="20"/>
              </w:rPr>
            </w:pPr>
            <w:r>
              <w:rPr>
                <w:color w:val="231F20"/>
                <w:sz w:val="20"/>
              </w:rPr>
              <w:t>Medical records</w:t>
            </w:r>
          </w:p>
          <w:p>
            <w:pPr>
              <w:pStyle w:val="TableParagraph"/>
              <w:numPr>
                <w:ilvl w:val="0"/>
                <w:numId w:val="59"/>
              </w:numPr>
              <w:tabs>
                <w:tab w:pos="407" w:val="left" w:leader="none"/>
                <w:tab w:pos="408" w:val="left" w:leader="none"/>
              </w:tabs>
              <w:spacing w:line="243" w:lineRule="exact" w:before="0" w:after="0"/>
              <w:ind w:left="407" w:right="0" w:hanging="361"/>
              <w:jc w:val="left"/>
              <w:rPr>
                <w:sz w:val="20"/>
              </w:rPr>
            </w:pPr>
            <w:r>
              <w:rPr>
                <w:color w:val="231F20"/>
                <w:sz w:val="20"/>
              </w:rPr>
              <w:t>Lab</w:t>
            </w:r>
            <w:r>
              <w:rPr>
                <w:color w:val="231F20"/>
                <w:spacing w:val="-2"/>
                <w:sz w:val="20"/>
              </w:rPr>
              <w:t> </w:t>
            </w:r>
            <w:r>
              <w:rPr>
                <w:color w:val="231F20"/>
                <w:sz w:val="20"/>
              </w:rPr>
              <w:t>test/blood</w:t>
            </w:r>
            <w:r>
              <w:rPr>
                <w:color w:val="231F20"/>
                <w:spacing w:val="-1"/>
                <w:sz w:val="20"/>
              </w:rPr>
              <w:t> </w:t>
            </w:r>
            <w:r>
              <w:rPr>
                <w:color w:val="231F20"/>
                <w:sz w:val="20"/>
              </w:rPr>
              <w:t>sample</w:t>
            </w:r>
          </w:p>
        </w:tc>
      </w:tr>
      <w:tr>
        <w:trPr>
          <w:trHeight w:val="240" w:hRule="atLeast"/>
        </w:trPr>
        <w:tc>
          <w:tcPr>
            <w:tcW w:w="1982" w:type="dxa"/>
            <w:vMerge/>
            <w:tcBorders>
              <w:top w:val="nil"/>
            </w:tcBorders>
          </w:tcPr>
          <w:p>
            <w:pPr>
              <w:rPr>
                <w:sz w:val="2"/>
                <w:szCs w:val="2"/>
              </w:rPr>
            </w:pPr>
          </w:p>
        </w:tc>
        <w:tc>
          <w:tcPr>
            <w:tcW w:w="999" w:type="dxa"/>
            <w:shd w:val="clear" w:color="auto" w:fill="1D6889"/>
          </w:tcPr>
          <w:p>
            <w:pPr>
              <w:pStyle w:val="TableParagraph"/>
              <w:spacing w:line="215" w:lineRule="exact" w:before="5"/>
              <w:ind w:left="52"/>
              <w:rPr>
                <w:b/>
                <w:sz w:val="20"/>
              </w:rPr>
            </w:pPr>
            <w:r>
              <w:rPr>
                <w:b/>
                <w:color w:val="FFFFFF"/>
                <w:sz w:val="20"/>
              </w:rPr>
              <w:t>CM</w:t>
            </w:r>
          </w:p>
        </w:tc>
        <w:tc>
          <w:tcPr>
            <w:tcW w:w="3844" w:type="dxa"/>
            <w:vMerge/>
            <w:tcBorders>
              <w:top w:val="nil"/>
            </w:tcBorders>
          </w:tcPr>
          <w:p>
            <w:pPr>
              <w:rPr>
                <w:sz w:val="2"/>
                <w:szCs w:val="2"/>
              </w:rPr>
            </w:pPr>
          </w:p>
        </w:tc>
        <w:tc>
          <w:tcPr>
            <w:tcW w:w="3955" w:type="dxa"/>
            <w:vMerge/>
            <w:tcBorders>
              <w:top w:val="nil"/>
            </w:tcBorders>
          </w:tcPr>
          <w:p>
            <w:pPr>
              <w:rPr>
                <w:sz w:val="2"/>
                <w:szCs w:val="2"/>
              </w:rPr>
            </w:pPr>
          </w:p>
        </w:tc>
      </w:tr>
      <w:tr>
        <w:trPr>
          <w:trHeight w:val="240" w:hRule="atLeast"/>
        </w:trPr>
        <w:tc>
          <w:tcPr>
            <w:tcW w:w="1982" w:type="dxa"/>
            <w:vMerge/>
            <w:tcBorders>
              <w:top w:val="nil"/>
            </w:tcBorders>
          </w:tcPr>
          <w:p>
            <w:pPr>
              <w:rPr>
                <w:sz w:val="2"/>
                <w:szCs w:val="2"/>
              </w:rPr>
            </w:pPr>
          </w:p>
        </w:tc>
        <w:tc>
          <w:tcPr>
            <w:tcW w:w="999" w:type="dxa"/>
            <w:shd w:val="clear" w:color="auto" w:fill="659740"/>
          </w:tcPr>
          <w:p>
            <w:pPr>
              <w:pStyle w:val="TableParagraph"/>
              <w:spacing w:line="215" w:lineRule="exact" w:before="5"/>
              <w:ind w:left="52"/>
              <w:rPr>
                <w:b/>
                <w:sz w:val="20"/>
              </w:rPr>
            </w:pPr>
            <w:r>
              <w:rPr>
                <w:b/>
                <w:color w:val="FFFFFF"/>
                <w:sz w:val="20"/>
              </w:rPr>
              <w:t>PN</w:t>
            </w:r>
          </w:p>
        </w:tc>
        <w:tc>
          <w:tcPr>
            <w:tcW w:w="3844" w:type="dxa"/>
            <w:vMerge/>
            <w:tcBorders>
              <w:top w:val="nil"/>
            </w:tcBorders>
          </w:tcPr>
          <w:p>
            <w:pPr>
              <w:rPr>
                <w:sz w:val="2"/>
                <w:szCs w:val="2"/>
              </w:rPr>
            </w:pPr>
          </w:p>
        </w:tc>
        <w:tc>
          <w:tcPr>
            <w:tcW w:w="3955" w:type="dxa"/>
            <w:vMerge/>
            <w:tcBorders>
              <w:top w:val="nil"/>
            </w:tcBorders>
          </w:tcPr>
          <w:p>
            <w:pPr>
              <w:rPr>
                <w:sz w:val="2"/>
                <w:szCs w:val="2"/>
              </w:rPr>
            </w:pPr>
          </w:p>
        </w:tc>
      </w:tr>
      <w:tr>
        <w:trPr>
          <w:trHeight w:val="240" w:hRule="atLeast"/>
        </w:trPr>
        <w:tc>
          <w:tcPr>
            <w:tcW w:w="1982" w:type="dxa"/>
            <w:vMerge w:val="restart"/>
          </w:tcPr>
          <w:p>
            <w:pPr>
              <w:pStyle w:val="TableParagraph"/>
              <w:spacing w:line="249" w:lineRule="auto" w:before="5"/>
              <w:ind w:left="42" w:right="355"/>
              <w:rPr>
                <w:b/>
                <w:sz w:val="20"/>
              </w:rPr>
            </w:pPr>
            <w:r>
              <w:rPr>
                <w:b/>
                <w:color w:val="231F20"/>
                <w:sz w:val="20"/>
              </w:rPr>
              <w:t>Population-level</w:t>
            </w:r>
            <w:r>
              <w:rPr>
                <w:b/>
                <w:color w:val="231F20"/>
                <w:spacing w:val="-53"/>
                <w:sz w:val="20"/>
              </w:rPr>
              <w:t> </w:t>
            </w:r>
            <w:r>
              <w:rPr>
                <w:b/>
                <w:color w:val="231F20"/>
                <w:sz w:val="20"/>
              </w:rPr>
              <w:t>HIV</w:t>
            </w:r>
            <w:r>
              <w:rPr>
                <w:b/>
                <w:color w:val="231F20"/>
                <w:spacing w:val="-2"/>
                <w:sz w:val="20"/>
              </w:rPr>
              <w:t> </w:t>
            </w:r>
            <w:r>
              <w:rPr>
                <w:b/>
                <w:color w:val="231F20"/>
                <w:sz w:val="20"/>
              </w:rPr>
              <w:t>outcomes</w:t>
            </w:r>
          </w:p>
        </w:tc>
        <w:tc>
          <w:tcPr>
            <w:tcW w:w="999" w:type="dxa"/>
            <w:shd w:val="clear" w:color="auto" w:fill="70499D"/>
          </w:tcPr>
          <w:p>
            <w:pPr>
              <w:pStyle w:val="TableParagraph"/>
              <w:spacing w:line="215" w:lineRule="exact" w:before="5"/>
              <w:ind w:left="52"/>
              <w:rPr>
                <w:b/>
                <w:sz w:val="20"/>
              </w:rPr>
            </w:pPr>
            <w:r>
              <w:rPr>
                <w:b/>
                <w:color w:val="FFFFFF"/>
                <w:sz w:val="20"/>
              </w:rPr>
              <w:t>SSPs</w:t>
            </w:r>
          </w:p>
        </w:tc>
        <w:tc>
          <w:tcPr>
            <w:tcW w:w="3844" w:type="dxa"/>
            <w:vMerge w:val="restart"/>
          </w:tcPr>
          <w:p>
            <w:pPr>
              <w:pStyle w:val="TableParagraph"/>
              <w:numPr>
                <w:ilvl w:val="0"/>
                <w:numId w:val="60"/>
              </w:numPr>
              <w:tabs>
                <w:tab w:pos="392" w:val="left" w:leader="none"/>
                <w:tab w:pos="393" w:val="left" w:leader="none"/>
              </w:tabs>
              <w:spacing w:line="235" w:lineRule="exact" w:before="0" w:after="0"/>
              <w:ind w:left="392" w:right="0" w:hanging="361"/>
              <w:jc w:val="left"/>
              <w:rPr>
                <w:sz w:val="20"/>
              </w:rPr>
            </w:pPr>
            <w:r>
              <w:rPr>
                <w:color w:val="231F20"/>
                <w:sz w:val="20"/>
              </w:rPr>
              <w:t>Rate</w:t>
            </w:r>
            <w:r>
              <w:rPr>
                <w:color w:val="231F20"/>
                <w:spacing w:val="-5"/>
                <w:sz w:val="20"/>
              </w:rPr>
              <w:t> </w:t>
            </w:r>
            <w:r>
              <w:rPr>
                <w:color w:val="231F20"/>
                <w:sz w:val="20"/>
              </w:rPr>
              <w:t>of</w:t>
            </w:r>
            <w:r>
              <w:rPr>
                <w:color w:val="231F20"/>
                <w:spacing w:val="-4"/>
                <w:sz w:val="20"/>
              </w:rPr>
              <w:t> </w:t>
            </w:r>
            <w:r>
              <w:rPr>
                <w:color w:val="231F20"/>
                <w:sz w:val="20"/>
              </w:rPr>
              <w:t>new</w:t>
            </w:r>
            <w:r>
              <w:rPr>
                <w:color w:val="231F20"/>
                <w:spacing w:val="-4"/>
                <w:sz w:val="20"/>
              </w:rPr>
              <w:t> </w:t>
            </w:r>
            <w:r>
              <w:rPr>
                <w:color w:val="231F20"/>
                <w:sz w:val="20"/>
              </w:rPr>
              <w:t>HIV</w:t>
            </w:r>
            <w:r>
              <w:rPr>
                <w:color w:val="231F20"/>
                <w:spacing w:val="-5"/>
                <w:sz w:val="20"/>
              </w:rPr>
              <w:t> </w:t>
            </w:r>
            <w:r>
              <w:rPr>
                <w:color w:val="231F20"/>
                <w:sz w:val="20"/>
              </w:rPr>
              <w:t>diagnoses</w:t>
            </w:r>
          </w:p>
          <w:p>
            <w:pPr>
              <w:pStyle w:val="TableParagraph"/>
              <w:numPr>
                <w:ilvl w:val="0"/>
                <w:numId w:val="60"/>
              </w:numPr>
              <w:tabs>
                <w:tab w:pos="392" w:val="left" w:leader="none"/>
                <w:tab w:pos="393" w:val="left" w:leader="none"/>
              </w:tabs>
              <w:spacing w:line="243" w:lineRule="exact" w:before="0" w:after="0"/>
              <w:ind w:left="392" w:right="0" w:hanging="361"/>
              <w:jc w:val="left"/>
              <w:rPr>
                <w:sz w:val="20"/>
              </w:rPr>
            </w:pPr>
            <w:r>
              <w:rPr>
                <w:color w:val="231F20"/>
                <w:sz w:val="20"/>
              </w:rPr>
              <w:t>Prevalence</w:t>
            </w:r>
            <w:r>
              <w:rPr>
                <w:color w:val="231F20"/>
                <w:spacing w:val="-2"/>
                <w:sz w:val="20"/>
              </w:rPr>
              <w:t> </w:t>
            </w:r>
            <w:r>
              <w:rPr>
                <w:color w:val="231F20"/>
                <w:sz w:val="20"/>
              </w:rPr>
              <w:t>of</w:t>
            </w:r>
            <w:r>
              <w:rPr>
                <w:color w:val="231F20"/>
                <w:spacing w:val="-2"/>
                <w:sz w:val="20"/>
              </w:rPr>
              <w:t> </w:t>
            </w:r>
            <w:r>
              <w:rPr>
                <w:color w:val="231F20"/>
                <w:sz w:val="20"/>
              </w:rPr>
              <w:t>HIV</w:t>
            </w:r>
          </w:p>
        </w:tc>
        <w:tc>
          <w:tcPr>
            <w:tcW w:w="3955" w:type="dxa"/>
            <w:vMerge w:val="restart"/>
          </w:tcPr>
          <w:p>
            <w:pPr>
              <w:pStyle w:val="TableParagraph"/>
              <w:numPr>
                <w:ilvl w:val="0"/>
                <w:numId w:val="61"/>
              </w:numPr>
              <w:tabs>
                <w:tab w:pos="407" w:val="left" w:leader="none"/>
                <w:tab w:pos="408" w:val="left" w:leader="none"/>
              </w:tabs>
              <w:spacing w:line="235" w:lineRule="exact" w:before="0" w:after="0"/>
              <w:ind w:left="407" w:right="0" w:hanging="361"/>
              <w:jc w:val="left"/>
              <w:rPr>
                <w:sz w:val="20"/>
              </w:rPr>
            </w:pPr>
            <w:r>
              <w:rPr>
                <w:color w:val="231F20"/>
                <w:sz w:val="20"/>
              </w:rPr>
              <w:t>Administrative</w:t>
            </w:r>
            <w:r>
              <w:rPr>
                <w:color w:val="231F20"/>
                <w:spacing w:val="-2"/>
                <w:sz w:val="20"/>
              </w:rPr>
              <w:t> </w:t>
            </w:r>
            <w:r>
              <w:rPr>
                <w:color w:val="231F20"/>
                <w:sz w:val="20"/>
              </w:rPr>
              <w:t>data</w:t>
            </w:r>
          </w:p>
          <w:p>
            <w:pPr>
              <w:pStyle w:val="TableParagraph"/>
              <w:numPr>
                <w:ilvl w:val="0"/>
                <w:numId w:val="61"/>
              </w:numPr>
              <w:tabs>
                <w:tab w:pos="407" w:val="left" w:leader="none"/>
                <w:tab w:pos="408" w:val="left" w:leader="none"/>
              </w:tabs>
              <w:spacing w:line="243" w:lineRule="exact" w:before="0" w:after="0"/>
              <w:ind w:left="407" w:right="0" w:hanging="361"/>
              <w:jc w:val="left"/>
              <w:rPr>
                <w:sz w:val="20"/>
              </w:rPr>
            </w:pPr>
            <w:r>
              <w:rPr>
                <w:color w:val="231F20"/>
                <w:sz w:val="20"/>
              </w:rPr>
              <w:t>Medical records</w:t>
            </w:r>
          </w:p>
        </w:tc>
      </w:tr>
      <w:tr>
        <w:trPr>
          <w:trHeight w:val="240" w:hRule="atLeast"/>
        </w:trPr>
        <w:tc>
          <w:tcPr>
            <w:tcW w:w="1982" w:type="dxa"/>
            <w:vMerge/>
            <w:tcBorders>
              <w:top w:val="nil"/>
            </w:tcBorders>
          </w:tcPr>
          <w:p>
            <w:pPr>
              <w:rPr>
                <w:sz w:val="2"/>
                <w:szCs w:val="2"/>
              </w:rPr>
            </w:pPr>
          </w:p>
        </w:tc>
        <w:tc>
          <w:tcPr>
            <w:tcW w:w="999" w:type="dxa"/>
            <w:shd w:val="clear" w:color="auto" w:fill="CE372D"/>
          </w:tcPr>
          <w:p>
            <w:pPr>
              <w:pStyle w:val="TableParagraph"/>
              <w:spacing w:line="215" w:lineRule="exact" w:before="5"/>
              <w:ind w:left="52"/>
              <w:rPr>
                <w:b/>
                <w:sz w:val="20"/>
              </w:rPr>
            </w:pPr>
            <w:r>
              <w:rPr>
                <w:b/>
                <w:color w:val="FFFFFF"/>
                <w:sz w:val="20"/>
              </w:rPr>
              <w:t>PrEP</w:t>
            </w:r>
          </w:p>
        </w:tc>
        <w:tc>
          <w:tcPr>
            <w:tcW w:w="3844" w:type="dxa"/>
            <w:vMerge/>
            <w:tcBorders>
              <w:top w:val="nil"/>
            </w:tcBorders>
          </w:tcPr>
          <w:p>
            <w:pPr>
              <w:rPr>
                <w:sz w:val="2"/>
                <w:szCs w:val="2"/>
              </w:rPr>
            </w:pPr>
          </w:p>
        </w:tc>
        <w:tc>
          <w:tcPr>
            <w:tcW w:w="3955" w:type="dxa"/>
            <w:vMerge/>
            <w:tcBorders>
              <w:top w:val="nil"/>
            </w:tcBorders>
          </w:tcPr>
          <w:p>
            <w:pPr>
              <w:rPr>
                <w:sz w:val="2"/>
                <w:szCs w:val="2"/>
              </w:rPr>
            </w:pPr>
          </w:p>
        </w:tc>
      </w:tr>
      <w:tr>
        <w:trPr>
          <w:trHeight w:val="240" w:hRule="atLeast"/>
        </w:trPr>
        <w:tc>
          <w:tcPr>
            <w:tcW w:w="1982" w:type="dxa"/>
            <w:vMerge/>
            <w:tcBorders>
              <w:top w:val="nil"/>
            </w:tcBorders>
          </w:tcPr>
          <w:p>
            <w:pPr>
              <w:rPr>
                <w:sz w:val="2"/>
                <w:szCs w:val="2"/>
              </w:rPr>
            </w:pPr>
          </w:p>
        </w:tc>
        <w:tc>
          <w:tcPr>
            <w:tcW w:w="999" w:type="dxa"/>
            <w:shd w:val="clear" w:color="auto" w:fill="1C384B"/>
          </w:tcPr>
          <w:p>
            <w:pPr>
              <w:pStyle w:val="TableParagraph"/>
              <w:spacing w:line="215" w:lineRule="exact" w:before="5"/>
              <w:ind w:left="52"/>
              <w:rPr>
                <w:b/>
                <w:sz w:val="20"/>
              </w:rPr>
            </w:pPr>
            <w:r>
              <w:rPr>
                <w:b/>
                <w:color w:val="FFFFFF"/>
                <w:sz w:val="20"/>
              </w:rPr>
              <w:t>CBT</w:t>
            </w:r>
          </w:p>
        </w:tc>
        <w:tc>
          <w:tcPr>
            <w:tcW w:w="3844" w:type="dxa"/>
            <w:vMerge/>
            <w:tcBorders>
              <w:top w:val="nil"/>
            </w:tcBorders>
          </w:tcPr>
          <w:p>
            <w:pPr>
              <w:rPr>
                <w:sz w:val="2"/>
                <w:szCs w:val="2"/>
              </w:rPr>
            </w:pPr>
          </w:p>
        </w:tc>
        <w:tc>
          <w:tcPr>
            <w:tcW w:w="3955" w:type="dxa"/>
            <w:vMerge/>
            <w:tcBorders>
              <w:top w:val="nil"/>
            </w:tcBorders>
          </w:tcPr>
          <w:p>
            <w:pPr>
              <w:rPr>
                <w:sz w:val="2"/>
                <w:szCs w:val="2"/>
              </w:rPr>
            </w:pPr>
          </w:p>
        </w:tc>
      </w:tr>
      <w:tr>
        <w:trPr>
          <w:trHeight w:val="240" w:hRule="atLeast"/>
        </w:trPr>
        <w:tc>
          <w:tcPr>
            <w:tcW w:w="1982" w:type="dxa"/>
            <w:vMerge/>
            <w:tcBorders>
              <w:top w:val="nil"/>
            </w:tcBorders>
          </w:tcPr>
          <w:p>
            <w:pPr>
              <w:rPr>
                <w:sz w:val="2"/>
                <w:szCs w:val="2"/>
              </w:rPr>
            </w:pPr>
          </w:p>
        </w:tc>
        <w:tc>
          <w:tcPr>
            <w:tcW w:w="999" w:type="dxa"/>
            <w:shd w:val="clear" w:color="auto" w:fill="1D6889"/>
          </w:tcPr>
          <w:p>
            <w:pPr>
              <w:pStyle w:val="TableParagraph"/>
              <w:spacing w:line="215" w:lineRule="exact" w:before="5"/>
              <w:ind w:left="52"/>
              <w:rPr>
                <w:b/>
                <w:sz w:val="20"/>
              </w:rPr>
            </w:pPr>
            <w:r>
              <w:rPr>
                <w:b/>
                <w:color w:val="FFFFFF"/>
                <w:sz w:val="20"/>
              </w:rPr>
              <w:t>CM</w:t>
            </w:r>
          </w:p>
        </w:tc>
        <w:tc>
          <w:tcPr>
            <w:tcW w:w="3844" w:type="dxa"/>
            <w:vMerge/>
            <w:tcBorders>
              <w:top w:val="nil"/>
            </w:tcBorders>
          </w:tcPr>
          <w:p>
            <w:pPr>
              <w:rPr>
                <w:sz w:val="2"/>
                <w:szCs w:val="2"/>
              </w:rPr>
            </w:pPr>
          </w:p>
        </w:tc>
        <w:tc>
          <w:tcPr>
            <w:tcW w:w="3955" w:type="dxa"/>
            <w:vMerge/>
            <w:tcBorders>
              <w:top w:val="nil"/>
            </w:tcBorders>
          </w:tcPr>
          <w:p>
            <w:pPr>
              <w:rPr>
                <w:sz w:val="2"/>
                <w:szCs w:val="2"/>
              </w:rPr>
            </w:pPr>
          </w:p>
        </w:tc>
      </w:tr>
      <w:tr>
        <w:trPr>
          <w:trHeight w:val="240" w:hRule="atLeast"/>
        </w:trPr>
        <w:tc>
          <w:tcPr>
            <w:tcW w:w="1982" w:type="dxa"/>
            <w:vMerge/>
            <w:tcBorders>
              <w:top w:val="nil"/>
            </w:tcBorders>
          </w:tcPr>
          <w:p>
            <w:pPr>
              <w:rPr>
                <w:sz w:val="2"/>
                <w:szCs w:val="2"/>
              </w:rPr>
            </w:pPr>
          </w:p>
        </w:tc>
        <w:tc>
          <w:tcPr>
            <w:tcW w:w="999" w:type="dxa"/>
            <w:shd w:val="clear" w:color="auto" w:fill="659740"/>
          </w:tcPr>
          <w:p>
            <w:pPr>
              <w:pStyle w:val="TableParagraph"/>
              <w:spacing w:line="215" w:lineRule="exact" w:before="5"/>
              <w:ind w:left="52"/>
              <w:rPr>
                <w:b/>
                <w:sz w:val="20"/>
              </w:rPr>
            </w:pPr>
            <w:r>
              <w:rPr>
                <w:b/>
                <w:color w:val="FFFFFF"/>
                <w:sz w:val="20"/>
              </w:rPr>
              <w:t>PN</w:t>
            </w:r>
          </w:p>
        </w:tc>
        <w:tc>
          <w:tcPr>
            <w:tcW w:w="3844" w:type="dxa"/>
            <w:vMerge/>
            <w:tcBorders>
              <w:top w:val="nil"/>
            </w:tcBorders>
          </w:tcPr>
          <w:p>
            <w:pPr>
              <w:rPr>
                <w:sz w:val="2"/>
                <w:szCs w:val="2"/>
              </w:rPr>
            </w:pPr>
          </w:p>
        </w:tc>
        <w:tc>
          <w:tcPr>
            <w:tcW w:w="3955" w:type="dxa"/>
            <w:vMerge/>
            <w:tcBorders>
              <w:top w:val="nil"/>
            </w:tcBorders>
          </w:tcPr>
          <w:p>
            <w:pPr>
              <w:rPr>
                <w:sz w:val="2"/>
                <w:szCs w:val="2"/>
              </w:rPr>
            </w:pPr>
          </w:p>
        </w:tc>
      </w:tr>
      <w:tr>
        <w:trPr>
          <w:trHeight w:val="366" w:hRule="atLeast"/>
        </w:trPr>
        <w:tc>
          <w:tcPr>
            <w:tcW w:w="10780" w:type="dxa"/>
            <w:gridSpan w:val="4"/>
          </w:tcPr>
          <w:p>
            <w:pPr>
              <w:pStyle w:val="TableParagraph"/>
              <w:tabs>
                <w:tab w:pos="1074" w:val="left" w:leader="none"/>
                <w:tab w:pos="1765" w:val="left" w:leader="none"/>
                <w:tab w:pos="2390" w:val="left" w:leader="none"/>
                <w:tab w:pos="2984" w:val="left" w:leader="none"/>
              </w:tabs>
              <w:spacing w:before="67"/>
              <w:ind w:left="396"/>
              <w:rPr>
                <w:rFonts w:ascii="Calibri"/>
                <w:sz w:val="20"/>
              </w:rPr>
            </w:pPr>
            <w:r>
              <w:rPr>
                <w:rFonts w:ascii="Calibri"/>
                <w:color w:val="231F20"/>
                <w:sz w:val="20"/>
              </w:rPr>
              <w:t>SSPs</w:t>
              <w:tab/>
              <w:t>PrEP</w:t>
              <w:tab/>
              <w:t>CBT</w:t>
              <w:tab/>
              <w:t>CM</w:t>
              <w:tab/>
              <w:t>PN</w:t>
            </w:r>
          </w:p>
        </w:tc>
      </w:tr>
    </w:tbl>
    <w:p>
      <w:pPr>
        <w:pStyle w:val="BodyText"/>
        <w:rPr>
          <w:sz w:val="15"/>
        </w:rPr>
      </w:pPr>
    </w:p>
    <w:p>
      <w:pPr>
        <w:spacing w:after="0"/>
        <w:rPr>
          <w:sz w:val="15"/>
        </w:rPr>
        <w:sectPr>
          <w:pgSz w:w="12240" w:h="15840"/>
          <w:pgMar w:header="0" w:footer="587" w:top="380" w:bottom="780" w:left="560" w:right="0"/>
        </w:sectPr>
      </w:pPr>
    </w:p>
    <w:p>
      <w:pPr>
        <w:pStyle w:val="Heading2"/>
      </w:pPr>
      <w:r>
        <w:rPr/>
        <w:pict>
          <v:rect style="position:absolute;margin-left:44.919998pt;margin-top:-22.829655pt;width:9.08pt;height:9.082pt;mso-position-horizontal-relative:page;mso-position-vertical-relative:paragraph;z-index:-18116608" id="docshape202" filled="true" fillcolor="#70499d" stroked="false">
            <v:fill type="solid"/>
            <w10:wrap type="none"/>
          </v:rect>
        </w:pict>
      </w:r>
      <w:r>
        <w:rPr/>
        <w:pict>
          <v:rect style="position:absolute;margin-left:174.919998pt;margin-top:-22.829655pt;width:9.08pt;height:9.082pt;mso-position-horizontal-relative:page;mso-position-vertical-relative:paragraph;z-index:-18116096" id="docshape203" filled="true" fillcolor="#659740" stroked="false">
            <v:fill type="solid"/>
            <w10:wrap type="none"/>
          </v:rect>
        </w:pict>
      </w:r>
      <w:r>
        <w:rPr/>
        <w:pict>
          <v:rect style="position:absolute;margin-left:78.919998pt;margin-top:-22.829655pt;width:9.08pt;height:9.082pt;mso-position-horizontal-relative:page;mso-position-vertical-relative:paragraph;z-index:-18115584" id="docshape204" filled="true" fillcolor="#ce384b" stroked="false">
            <v:fill type="solid"/>
            <w10:wrap type="none"/>
          </v:rect>
        </w:pict>
      </w:r>
      <w:r>
        <w:rPr/>
        <w:pict>
          <v:rect style="position:absolute;margin-left:113.919998pt;margin-top:-22.829655pt;width:9.08pt;height:9.082pt;mso-position-horizontal-relative:page;mso-position-vertical-relative:paragraph;z-index:-18115072" id="docshape205" filled="true" fillcolor="#1c384b" stroked="false">
            <v:fill type="solid"/>
            <w10:wrap type="none"/>
          </v:rect>
        </w:pict>
      </w:r>
      <w:r>
        <w:rPr/>
        <w:pict>
          <v:rect style="position:absolute;margin-left:144.919998pt;margin-top:-22.829655pt;width:9.08pt;height:9.082pt;mso-position-horizontal-relative:page;mso-position-vertical-relative:paragraph;z-index:-18114560" id="docshape206" filled="true" fillcolor="#1d6889" stroked="false">
            <v:fill type="solid"/>
            <w10:wrap type="none"/>
          </v:rect>
        </w:pict>
      </w:r>
      <w:r>
        <w:rPr>
          <w:color w:val="1C384B"/>
        </w:rPr>
        <w:t>Evaluation</w:t>
      </w:r>
      <w:r>
        <w:rPr>
          <w:color w:val="1C384B"/>
          <w:spacing w:val="-9"/>
        </w:rPr>
        <w:t> </w:t>
      </w:r>
      <w:r>
        <w:rPr>
          <w:color w:val="1C384B"/>
        </w:rPr>
        <w:t>Resources</w:t>
      </w:r>
    </w:p>
    <w:p>
      <w:pPr>
        <w:pStyle w:val="Heading6"/>
        <w:spacing w:before="85"/>
      </w:pPr>
      <w:r>
        <w:rPr>
          <w:color w:val="CE384B"/>
        </w:rPr>
        <w:t>Evaluating Program Implementation</w:t>
      </w:r>
    </w:p>
    <w:p>
      <w:pPr>
        <w:pStyle w:val="ListParagraph"/>
        <w:numPr>
          <w:ilvl w:val="1"/>
          <w:numId w:val="27"/>
        </w:numPr>
        <w:tabs>
          <w:tab w:pos="879" w:val="left" w:leader="none"/>
          <w:tab w:pos="880" w:val="left" w:leader="none"/>
        </w:tabs>
        <w:spacing w:line="249" w:lineRule="auto" w:before="87" w:after="0"/>
        <w:ind w:left="879" w:right="147" w:hanging="360"/>
        <w:jc w:val="left"/>
        <w:rPr>
          <w:sz w:val="22"/>
        </w:rPr>
      </w:pPr>
      <w:hyperlink r:id="rId374">
        <w:r>
          <w:rPr>
            <w:color w:val="3953A4"/>
            <w:spacing w:val="-1"/>
            <w:sz w:val="22"/>
            <w:u w:val="single" w:color="3953A4"/>
          </w:rPr>
          <w:t>A Framework for Program </w:t>
        </w:r>
        <w:r>
          <w:rPr>
            <w:color w:val="3953A4"/>
            <w:sz w:val="22"/>
            <w:u w:val="single" w:color="3953A4"/>
          </w:rPr>
          <w:t>Evaluation,</w:t>
        </w:r>
        <w:r>
          <w:rPr>
            <w:color w:val="3953A4"/>
            <w:sz w:val="22"/>
          </w:rPr>
          <w:t> </w:t>
        </w:r>
      </w:hyperlink>
      <w:r>
        <w:rPr>
          <w:color w:val="010202"/>
          <w:sz w:val="22"/>
        </w:rPr>
        <w:t>from the</w:t>
      </w:r>
      <w:r>
        <w:rPr>
          <w:color w:val="010202"/>
          <w:spacing w:val="-52"/>
          <w:sz w:val="22"/>
        </w:rPr>
        <w:t> </w:t>
      </w:r>
      <w:r>
        <w:rPr>
          <w:color w:val="010202"/>
          <w:sz w:val="22"/>
        </w:rPr>
        <w:t>Program Performance and Evaluation Office at</w:t>
      </w:r>
      <w:r>
        <w:rPr>
          <w:color w:val="010202"/>
          <w:spacing w:val="1"/>
          <w:sz w:val="22"/>
        </w:rPr>
        <w:t> </w:t>
      </w:r>
      <w:r>
        <w:rPr>
          <w:color w:val="010202"/>
          <w:sz w:val="22"/>
        </w:rPr>
        <w:t>the Centers for Disease Control and Prevention,</w:t>
      </w:r>
      <w:r>
        <w:rPr>
          <w:color w:val="010202"/>
          <w:spacing w:val="-52"/>
          <w:sz w:val="22"/>
        </w:rPr>
        <w:t> </w:t>
      </w:r>
      <w:r>
        <w:rPr>
          <w:color w:val="010202"/>
          <w:sz w:val="22"/>
        </w:rPr>
        <w:t>summarizes essential elements of program</w:t>
      </w:r>
      <w:r>
        <w:rPr>
          <w:color w:val="010202"/>
          <w:spacing w:val="1"/>
          <w:sz w:val="22"/>
        </w:rPr>
        <w:t> </w:t>
      </w:r>
      <w:r>
        <w:rPr>
          <w:color w:val="010202"/>
          <w:sz w:val="22"/>
        </w:rPr>
        <w:t>evaluation.</w:t>
      </w:r>
    </w:p>
    <w:p>
      <w:pPr>
        <w:pStyle w:val="ListParagraph"/>
        <w:numPr>
          <w:ilvl w:val="1"/>
          <w:numId w:val="27"/>
        </w:numPr>
        <w:tabs>
          <w:tab w:pos="879" w:val="left" w:leader="none"/>
          <w:tab w:pos="880" w:val="left" w:leader="none"/>
        </w:tabs>
        <w:spacing w:line="249" w:lineRule="auto" w:before="0" w:after="0"/>
        <w:ind w:left="879" w:right="38" w:hanging="360"/>
        <w:jc w:val="left"/>
        <w:rPr>
          <w:sz w:val="22"/>
        </w:rPr>
      </w:pPr>
      <w:hyperlink r:id="rId375">
        <w:r>
          <w:rPr>
            <w:color w:val="3953A4"/>
            <w:spacing w:val="-2"/>
            <w:sz w:val="22"/>
            <w:u w:val="single" w:color="3953A4"/>
          </w:rPr>
          <w:t>The Community Toolbox</w:t>
        </w:r>
      </w:hyperlink>
      <w:r>
        <w:rPr>
          <w:color w:val="010202"/>
          <w:spacing w:val="-2"/>
          <w:sz w:val="22"/>
        </w:rPr>
        <w:t>, from the Center </w:t>
      </w:r>
      <w:r>
        <w:rPr>
          <w:color w:val="010202"/>
          <w:spacing w:val="-1"/>
          <w:sz w:val="22"/>
        </w:rPr>
        <w:t>for</w:t>
      </w:r>
      <w:r>
        <w:rPr>
          <w:color w:val="010202"/>
          <w:sz w:val="22"/>
        </w:rPr>
        <w:t> Community Health and Development at the</w:t>
      </w:r>
      <w:r>
        <w:rPr>
          <w:color w:val="010202"/>
          <w:spacing w:val="1"/>
          <w:sz w:val="22"/>
        </w:rPr>
        <w:t> </w:t>
      </w:r>
      <w:r>
        <w:rPr>
          <w:color w:val="010202"/>
          <w:sz w:val="22"/>
        </w:rPr>
        <w:t>University of Kansas, includes </w:t>
      </w:r>
      <w:hyperlink r:id="rId376">
        <w:r>
          <w:rPr>
            <w:color w:val="010202"/>
            <w:sz w:val="22"/>
          </w:rPr>
          <w:t>a step-by-step</w:t>
        </w:r>
      </w:hyperlink>
      <w:r>
        <w:rPr>
          <w:color w:val="010202"/>
          <w:spacing w:val="1"/>
          <w:sz w:val="22"/>
        </w:rPr>
        <w:t> </w:t>
      </w:r>
      <w:hyperlink r:id="rId376">
        <w:r>
          <w:rPr>
            <w:color w:val="010202"/>
            <w:spacing w:val="-2"/>
            <w:sz w:val="22"/>
          </w:rPr>
          <w:t>guide</w:t>
        </w:r>
        <w:r>
          <w:rPr>
            <w:color w:val="010202"/>
            <w:spacing w:val="-12"/>
            <w:sz w:val="22"/>
          </w:rPr>
          <w:t> </w:t>
        </w:r>
      </w:hyperlink>
      <w:r>
        <w:rPr>
          <w:color w:val="010202"/>
          <w:spacing w:val="-2"/>
          <w:sz w:val="22"/>
        </w:rPr>
        <w:t>to</w:t>
      </w:r>
      <w:r>
        <w:rPr>
          <w:color w:val="010202"/>
          <w:spacing w:val="-12"/>
          <w:sz w:val="22"/>
        </w:rPr>
        <w:t> </w:t>
      </w:r>
      <w:r>
        <w:rPr>
          <w:color w:val="010202"/>
          <w:spacing w:val="-2"/>
          <w:sz w:val="22"/>
        </w:rPr>
        <w:t>developing</w:t>
      </w:r>
      <w:r>
        <w:rPr>
          <w:color w:val="010202"/>
          <w:spacing w:val="-12"/>
          <w:sz w:val="22"/>
        </w:rPr>
        <w:t> </w:t>
      </w:r>
      <w:r>
        <w:rPr>
          <w:color w:val="010202"/>
          <w:spacing w:val="-1"/>
          <w:sz w:val="22"/>
        </w:rPr>
        <w:t>an</w:t>
      </w:r>
      <w:r>
        <w:rPr>
          <w:color w:val="010202"/>
          <w:spacing w:val="-11"/>
          <w:sz w:val="22"/>
        </w:rPr>
        <w:t> </w:t>
      </w:r>
      <w:r>
        <w:rPr>
          <w:color w:val="010202"/>
          <w:spacing w:val="-1"/>
          <w:sz w:val="22"/>
        </w:rPr>
        <w:t>evaluation</w:t>
      </w:r>
      <w:r>
        <w:rPr>
          <w:color w:val="010202"/>
          <w:spacing w:val="-12"/>
          <w:sz w:val="22"/>
        </w:rPr>
        <w:t> </w:t>
      </w:r>
      <w:r>
        <w:rPr>
          <w:color w:val="010202"/>
          <w:spacing w:val="-1"/>
          <w:sz w:val="22"/>
        </w:rPr>
        <w:t>of</w:t>
      </w:r>
      <w:r>
        <w:rPr>
          <w:color w:val="010202"/>
          <w:spacing w:val="-12"/>
          <w:sz w:val="22"/>
        </w:rPr>
        <w:t> </w:t>
      </w:r>
      <w:r>
        <w:rPr>
          <w:color w:val="010202"/>
          <w:spacing w:val="-1"/>
          <w:sz w:val="22"/>
        </w:rPr>
        <w:t>a</w:t>
      </w:r>
      <w:r>
        <w:rPr>
          <w:color w:val="010202"/>
          <w:spacing w:val="-11"/>
          <w:sz w:val="22"/>
        </w:rPr>
        <w:t> </w:t>
      </w:r>
      <w:r>
        <w:rPr>
          <w:color w:val="010202"/>
          <w:spacing w:val="-1"/>
          <w:sz w:val="22"/>
        </w:rPr>
        <w:t>community</w:t>
      </w:r>
      <w:r>
        <w:rPr>
          <w:color w:val="010202"/>
          <w:spacing w:val="-52"/>
          <w:sz w:val="22"/>
        </w:rPr>
        <w:t> </w:t>
      </w:r>
      <w:r>
        <w:rPr>
          <w:color w:val="010202"/>
          <w:sz w:val="22"/>
        </w:rPr>
        <w:t>program,</w:t>
      </w:r>
      <w:r>
        <w:rPr>
          <w:color w:val="010202"/>
          <w:spacing w:val="-9"/>
          <w:sz w:val="22"/>
        </w:rPr>
        <w:t> </w:t>
      </w:r>
      <w:r>
        <w:rPr>
          <w:color w:val="010202"/>
          <w:sz w:val="22"/>
        </w:rPr>
        <w:t>specific</w:t>
      </w:r>
      <w:r>
        <w:rPr>
          <w:color w:val="010202"/>
          <w:spacing w:val="-9"/>
          <w:sz w:val="22"/>
        </w:rPr>
        <w:t> </w:t>
      </w:r>
      <w:r>
        <w:rPr>
          <w:color w:val="010202"/>
          <w:sz w:val="22"/>
        </w:rPr>
        <w:t>tools,</w:t>
      </w:r>
      <w:r>
        <w:rPr>
          <w:color w:val="010202"/>
          <w:spacing w:val="-9"/>
          <w:sz w:val="22"/>
        </w:rPr>
        <w:t> </w:t>
      </w:r>
      <w:r>
        <w:rPr>
          <w:color w:val="010202"/>
          <w:sz w:val="22"/>
        </w:rPr>
        <w:t>and</w:t>
      </w:r>
      <w:r>
        <w:rPr>
          <w:color w:val="010202"/>
          <w:spacing w:val="-9"/>
          <w:sz w:val="22"/>
        </w:rPr>
        <w:t> </w:t>
      </w:r>
      <w:r>
        <w:rPr>
          <w:color w:val="010202"/>
          <w:sz w:val="22"/>
        </w:rPr>
        <w:t>examples.</w:t>
      </w:r>
    </w:p>
    <w:p>
      <w:pPr>
        <w:pStyle w:val="Heading6"/>
        <w:spacing w:line="228" w:lineRule="auto" w:before="195"/>
        <w:ind w:left="159" w:right="1136"/>
      </w:pPr>
      <w:r>
        <w:rPr>
          <w:color w:val="CE384B"/>
        </w:rPr>
        <w:t>Quality Improvement and Continuous</w:t>
      </w:r>
      <w:r>
        <w:rPr>
          <w:color w:val="CE384B"/>
          <w:spacing w:val="-59"/>
        </w:rPr>
        <w:t> </w:t>
      </w:r>
      <w:r>
        <w:rPr>
          <w:color w:val="CE384B"/>
        </w:rPr>
        <w:t>Performance Monitoring</w:t>
      </w:r>
    </w:p>
    <w:p>
      <w:pPr>
        <w:pStyle w:val="ListParagraph"/>
        <w:numPr>
          <w:ilvl w:val="1"/>
          <w:numId w:val="27"/>
        </w:numPr>
        <w:tabs>
          <w:tab w:pos="879" w:val="left" w:leader="none"/>
          <w:tab w:pos="880" w:val="left" w:leader="none"/>
        </w:tabs>
        <w:spacing w:line="249" w:lineRule="auto" w:before="89" w:after="0"/>
        <w:ind w:left="879" w:right="65" w:hanging="360"/>
        <w:jc w:val="left"/>
        <w:rPr>
          <w:sz w:val="22"/>
        </w:rPr>
      </w:pPr>
      <w:r>
        <w:rPr>
          <w:color w:val="010202"/>
          <w:spacing w:val="-2"/>
          <w:sz w:val="22"/>
        </w:rPr>
        <w:t>Institute for Healthcare </w:t>
      </w:r>
      <w:r>
        <w:rPr>
          <w:color w:val="010202"/>
          <w:spacing w:val="-1"/>
          <w:sz w:val="22"/>
        </w:rPr>
        <w:t>Improvement’s</w:t>
      </w:r>
      <w:r>
        <w:rPr>
          <w:color w:val="3953A4"/>
          <w:spacing w:val="-1"/>
          <w:sz w:val="22"/>
        </w:rPr>
        <w:t> </w:t>
      </w:r>
      <w:hyperlink r:id="rId377">
        <w:r>
          <w:rPr>
            <w:color w:val="3953A4"/>
            <w:spacing w:val="-1"/>
            <w:sz w:val="22"/>
            <w:u w:val="single" w:color="3953A4"/>
          </w:rPr>
          <w:t>Quality</w:t>
        </w:r>
      </w:hyperlink>
      <w:r>
        <w:rPr>
          <w:color w:val="3953A4"/>
          <w:sz w:val="22"/>
        </w:rPr>
        <w:t> </w:t>
      </w:r>
      <w:hyperlink r:id="rId377">
        <w:r>
          <w:rPr>
            <w:color w:val="3953A4"/>
            <w:spacing w:val="-3"/>
            <w:sz w:val="22"/>
            <w:u w:val="single" w:color="3953A4"/>
          </w:rPr>
          <w:t>Improvement Essentials Toolkit</w:t>
        </w:r>
        <w:r>
          <w:rPr>
            <w:color w:val="3953A4"/>
            <w:spacing w:val="-3"/>
            <w:sz w:val="22"/>
          </w:rPr>
          <w:t> </w:t>
        </w:r>
      </w:hyperlink>
      <w:r>
        <w:rPr>
          <w:color w:val="010202"/>
          <w:spacing w:val="-3"/>
          <w:sz w:val="22"/>
        </w:rPr>
        <w:t>includes </w:t>
      </w:r>
      <w:r>
        <w:rPr>
          <w:color w:val="010202"/>
          <w:spacing w:val="-2"/>
          <w:sz w:val="22"/>
        </w:rPr>
        <w:t>the tools</w:t>
      </w:r>
      <w:r>
        <w:rPr>
          <w:color w:val="010202"/>
          <w:spacing w:val="-52"/>
          <w:sz w:val="22"/>
        </w:rPr>
        <w:t> </w:t>
      </w:r>
      <w:r>
        <w:rPr>
          <w:color w:val="010202"/>
          <w:sz w:val="22"/>
        </w:rPr>
        <w:t>and templates to launch a quality improvement</w:t>
      </w:r>
      <w:r>
        <w:rPr>
          <w:color w:val="010202"/>
          <w:spacing w:val="1"/>
          <w:sz w:val="22"/>
        </w:rPr>
        <w:t> </w:t>
      </w:r>
      <w:r>
        <w:rPr>
          <w:color w:val="010202"/>
          <w:spacing w:val="-1"/>
          <w:sz w:val="22"/>
        </w:rPr>
        <w:t>project</w:t>
      </w:r>
      <w:r>
        <w:rPr>
          <w:color w:val="010202"/>
          <w:spacing w:val="-13"/>
          <w:sz w:val="22"/>
        </w:rPr>
        <w:t> </w:t>
      </w:r>
      <w:r>
        <w:rPr>
          <w:color w:val="010202"/>
          <w:spacing w:val="-1"/>
          <w:sz w:val="22"/>
        </w:rPr>
        <w:t>and</w:t>
      </w:r>
      <w:r>
        <w:rPr>
          <w:color w:val="010202"/>
          <w:spacing w:val="-12"/>
          <w:sz w:val="22"/>
        </w:rPr>
        <w:t> </w:t>
      </w:r>
      <w:r>
        <w:rPr>
          <w:color w:val="010202"/>
          <w:spacing w:val="-1"/>
          <w:sz w:val="22"/>
        </w:rPr>
        <w:t>manage</w:t>
      </w:r>
      <w:r>
        <w:rPr>
          <w:color w:val="010202"/>
          <w:spacing w:val="-13"/>
          <w:sz w:val="22"/>
        </w:rPr>
        <w:t> </w:t>
      </w:r>
      <w:r>
        <w:rPr>
          <w:color w:val="010202"/>
          <w:spacing w:val="-1"/>
          <w:sz w:val="22"/>
        </w:rPr>
        <w:t>performance</w:t>
      </w:r>
      <w:r>
        <w:rPr>
          <w:color w:val="010202"/>
          <w:spacing w:val="-12"/>
          <w:sz w:val="22"/>
        </w:rPr>
        <w:t> </w:t>
      </w:r>
      <w:r>
        <w:rPr>
          <w:color w:val="010202"/>
          <w:spacing w:val="-1"/>
          <w:sz w:val="22"/>
        </w:rPr>
        <w:t>improvement.</w:t>
      </w:r>
    </w:p>
    <w:p>
      <w:pPr>
        <w:pStyle w:val="Heading6"/>
        <w:spacing w:line="246" w:lineRule="exact" w:before="189"/>
        <w:ind w:left="159"/>
      </w:pPr>
      <w:r>
        <w:rPr>
          <w:b w:val="0"/>
        </w:rPr>
        <w:br w:type="column"/>
      </w:r>
      <w:r>
        <w:rPr>
          <w:color w:val="CE384B"/>
        </w:rPr>
        <w:t>Evaluating</w:t>
      </w:r>
      <w:r>
        <w:rPr>
          <w:color w:val="CE384B"/>
          <w:spacing w:val="-4"/>
        </w:rPr>
        <w:t> </w:t>
      </w:r>
      <w:r>
        <w:rPr>
          <w:color w:val="CE384B"/>
        </w:rPr>
        <w:t>Practices</w:t>
      </w:r>
      <w:r>
        <w:rPr>
          <w:color w:val="CE384B"/>
          <w:spacing w:val="-3"/>
        </w:rPr>
        <w:t> </w:t>
      </w:r>
      <w:r>
        <w:rPr>
          <w:color w:val="CE384B"/>
        </w:rPr>
        <w:t>Specifically</w:t>
      </w:r>
      <w:r>
        <w:rPr>
          <w:color w:val="CE384B"/>
          <w:spacing w:val="-12"/>
        </w:rPr>
        <w:t> </w:t>
      </w:r>
      <w:r>
        <w:rPr>
          <w:color w:val="CE384B"/>
        </w:rPr>
        <w:t>Addressing</w:t>
      </w:r>
    </w:p>
    <w:p>
      <w:pPr>
        <w:spacing w:line="246" w:lineRule="exact" w:before="0"/>
        <w:ind w:left="159" w:right="0" w:firstLine="0"/>
        <w:jc w:val="left"/>
        <w:rPr>
          <w:rFonts w:ascii="Arial"/>
          <w:b/>
          <w:sz w:val="22"/>
        </w:rPr>
      </w:pPr>
      <w:r>
        <w:rPr>
          <w:rFonts w:ascii="Arial"/>
          <w:b/>
          <w:color w:val="CE384B"/>
          <w:sz w:val="22"/>
        </w:rPr>
        <w:t>HIV</w:t>
      </w:r>
      <w:r>
        <w:rPr>
          <w:rFonts w:ascii="Arial"/>
          <w:b/>
          <w:color w:val="CE384B"/>
          <w:spacing w:val="-3"/>
          <w:sz w:val="22"/>
        </w:rPr>
        <w:t> </w:t>
      </w:r>
      <w:r>
        <w:rPr>
          <w:rFonts w:ascii="Arial"/>
          <w:b/>
          <w:color w:val="CE384B"/>
          <w:sz w:val="22"/>
        </w:rPr>
        <w:t>and</w:t>
      </w:r>
      <w:r>
        <w:rPr>
          <w:rFonts w:ascii="Arial"/>
          <w:b/>
          <w:color w:val="CE384B"/>
          <w:spacing w:val="-2"/>
          <w:sz w:val="22"/>
        </w:rPr>
        <w:t> </w:t>
      </w:r>
      <w:r>
        <w:rPr>
          <w:rFonts w:ascii="Arial"/>
          <w:b/>
          <w:color w:val="CE384B"/>
          <w:sz w:val="22"/>
        </w:rPr>
        <w:t>Mental</w:t>
      </w:r>
      <w:r>
        <w:rPr>
          <w:rFonts w:ascii="Arial"/>
          <w:b/>
          <w:color w:val="CE384B"/>
          <w:spacing w:val="-2"/>
          <w:sz w:val="22"/>
        </w:rPr>
        <w:t> </w:t>
      </w:r>
      <w:r>
        <w:rPr>
          <w:rFonts w:ascii="Arial"/>
          <w:b/>
          <w:color w:val="CE384B"/>
          <w:sz w:val="22"/>
        </w:rPr>
        <w:t>Illness</w:t>
      </w:r>
      <w:r>
        <w:rPr>
          <w:rFonts w:ascii="Arial"/>
          <w:b/>
          <w:color w:val="CE384B"/>
          <w:spacing w:val="-1"/>
          <w:sz w:val="22"/>
        </w:rPr>
        <w:t> </w:t>
      </w:r>
      <w:r>
        <w:rPr>
          <w:rFonts w:ascii="Arial"/>
          <w:b/>
          <w:color w:val="CE384B"/>
          <w:sz w:val="22"/>
        </w:rPr>
        <w:t>and/or</w:t>
      </w:r>
      <w:r>
        <w:rPr>
          <w:rFonts w:ascii="Arial"/>
          <w:b/>
          <w:color w:val="CE384B"/>
          <w:spacing w:val="-3"/>
          <w:sz w:val="22"/>
        </w:rPr>
        <w:t> </w:t>
      </w:r>
      <w:r>
        <w:rPr>
          <w:rFonts w:ascii="Arial"/>
          <w:b/>
          <w:color w:val="CE384B"/>
          <w:sz w:val="22"/>
        </w:rPr>
        <w:t>SUD</w:t>
      </w:r>
    </w:p>
    <w:p>
      <w:pPr>
        <w:pStyle w:val="ListParagraph"/>
        <w:numPr>
          <w:ilvl w:val="1"/>
          <w:numId w:val="27"/>
        </w:numPr>
        <w:tabs>
          <w:tab w:pos="879" w:val="left" w:leader="none"/>
          <w:tab w:pos="880" w:val="left" w:leader="none"/>
        </w:tabs>
        <w:spacing w:line="249" w:lineRule="auto" w:before="86" w:after="0"/>
        <w:ind w:left="879" w:right="787" w:hanging="360"/>
        <w:jc w:val="left"/>
        <w:rPr>
          <w:sz w:val="22"/>
        </w:rPr>
      </w:pPr>
      <w:r>
        <w:rPr>
          <w:color w:val="010202"/>
          <w:spacing w:val="-5"/>
          <w:sz w:val="22"/>
        </w:rPr>
        <w:t>The </w:t>
      </w:r>
      <w:r>
        <w:rPr>
          <w:color w:val="0E0F0F"/>
          <w:spacing w:val="-5"/>
          <w:sz w:val="22"/>
        </w:rPr>
        <w:t>Center for Innovation </w:t>
      </w:r>
      <w:r>
        <w:rPr>
          <w:color w:val="0E0F0F"/>
          <w:spacing w:val="-4"/>
          <w:sz w:val="22"/>
        </w:rPr>
        <w:t>in Social Work and</w:t>
      </w:r>
      <w:r>
        <w:rPr>
          <w:color w:val="0E0F0F"/>
          <w:spacing w:val="-3"/>
          <w:sz w:val="22"/>
        </w:rPr>
        <w:t> </w:t>
      </w:r>
      <w:r>
        <w:rPr>
          <w:color w:val="0E0F0F"/>
          <w:spacing w:val="-5"/>
          <w:sz w:val="22"/>
        </w:rPr>
        <w:t>Health</w:t>
      </w:r>
      <w:r>
        <w:rPr>
          <w:color w:val="3953A4"/>
          <w:spacing w:val="-5"/>
          <w:sz w:val="22"/>
        </w:rPr>
        <w:t> </w:t>
      </w:r>
      <w:hyperlink r:id="rId378">
        <w:r>
          <w:rPr>
            <w:color w:val="3953A4"/>
            <w:spacing w:val="-5"/>
            <w:sz w:val="22"/>
            <w:u w:val="single" w:color="3953A4"/>
          </w:rPr>
          <w:t>Community Health Worker toolkit</w:t>
        </w:r>
        <w:r>
          <w:rPr>
            <w:color w:val="3953A4"/>
            <w:spacing w:val="-5"/>
            <w:sz w:val="22"/>
          </w:rPr>
          <w:t> </w:t>
        </w:r>
      </w:hyperlink>
      <w:r>
        <w:rPr>
          <w:color w:val="010202"/>
          <w:spacing w:val="-5"/>
          <w:sz w:val="22"/>
        </w:rPr>
        <w:t>includes</w:t>
      </w:r>
      <w:r>
        <w:rPr>
          <w:color w:val="010202"/>
          <w:spacing w:val="-52"/>
          <w:sz w:val="22"/>
        </w:rPr>
        <w:t> </w:t>
      </w:r>
      <w:r>
        <w:rPr>
          <w:color w:val="010202"/>
          <w:spacing w:val="-5"/>
          <w:sz w:val="22"/>
        </w:rPr>
        <w:t>best</w:t>
      </w:r>
      <w:r>
        <w:rPr>
          <w:color w:val="010202"/>
          <w:spacing w:val="-9"/>
          <w:sz w:val="22"/>
        </w:rPr>
        <w:t> </w:t>
      </w:r>
      <w:r>
        <w:rPr>
          <w:color w:val="010202"/>
          <w:spacing w:val="-5"/>
          <w:sz w:val="22"/>
        </w:rPr>
        <w:t>practices</w:t>
      </w:r>
      <w:r>
        <w:rPr>
          <w:color w:val="010202"/>
          <w:spacing w:val="-9"/>
          <w:sz w:val="22"/>
        </w:rPr>
        <w:t> </w:t>
      </w:r>
      <w:r>
        <w:rPr>
          <w:color w:val="010202"/>
          <w:spacing w:val="-5"/>
          <w:sz w:val="22"/>
        </w:rPr>
        <w:t>for</w:t>
      </w:r>
      <w:r>
        <w:rPr>
          <w:color w:val="010202"/>
          <w:spacing w:val="-9"/>
          <w:sz w:val="22"/>
        </w:rPr>
        <w:t> </w:t>
      </w:r>
      <w:r>
        <w:rPr>
          <w:color w:val="010202"/>
          <w:spacing w:val="-4"/>
          <w:sz w:val="22"/>
        </w:rPr>
        <w:t>evaluating</w:t>
      </w:r>
      <w:r>
        <w:rPr>
          <w:color w:val="010202"/>
          <w:spacing w:val="-9"/>
          <w:sz w:val="22"/>
        </w:rPr>
        <w:t> </w:t>
      </w:r>
      <w:r>
        <w:rPr>
          <w:color w:val="010202"/>
          <w:spacing w:val="-4"/>
          <w:sz w:val="22"/>
        </w:rPr>
        <w:t>peer</w:t>
      </w:r>
      <w:r>
        <w:rPr>
          <w:color w:val="010202"/>
          <w:spacing w:val="-9"/>
          <w:sz w:val="22"/>
        </w:rPr>
        <w:t> </w:t>
      </w:r>
      <w:r>
        <w:rPr>
          <w:color w:val="010202"/>
          <w:spacing w:val="-4"/>
          <w:sz w:val="22"/>
        </w:rPr>
        <w:t>programs.</w:t>
      </w:r>
    </w:p>
    <w:p>
      <w:pPr>
        <w:pStyle w:val="ListParagraph"/>
        <w:numPr>
          <w:ilvl w:val="1"/>
          <w:numId w:val="27"/>
        </w:numPr>
        <w:tabs>
          <w:tab w:pos="879" w:val="left" w:leader="none"/>
          <w:tab w:pos="880" w:val="left" w:leader="none"/>
        </w:tabs>
        <w:spacing w:line="255" w:lineRule="exact" w:before="0" w:after="0"/>
        <w:ind w:left="879" w:right="0" w:hanging="361"/>
        <w:jc w:val="left"/>
        <w:rPr>
          <w:sz w:val="22"/>
        </w:rPr>
      </w:pPr>
      <w:r>
        <w:rPr>
          <w:color w:val="0E0F0F"/>
          <w:sz w:val="22"/>
        </w:rPr>
        <w:t>Rural</w:t>
      </w:r>
      <w:r>
        <w:rPr>
          <w:color w:val="0E0F0F"/>
          <w:spacing w:val="-2"/>
          <w:sz w:val="22"/>
        </w:rPr>
        <w:t> </w:t>
      </w:r>
      <w:r>
        <w:rPr>
          <w:color w:val="0E0F0F"/>
          <w:sz w:val="22"/>
        </w:rPr>
        <w:t>Health</w:t>
      </w:r>
      <w:r>
        <w:rPr>
          <w:color w:val="0E0F0F"/>
          <w:spacing w:val="-2"/>
          <w:sz w:val="22"/>
        </w:rPr>
        <w:t> </w:t>
      </w:r>
      <w:r>
        <w:rPr>
          <w:color w:val="0E0F0F"/>
          <w:sz w:val="22"/>
        </w:rPr>
        <w:t>Information</w:t>
      </w:r>
      <w:r>
        <w:rPr>
          <w:color w:val="0E0F0F"/>
          <w:spacing w:val="-1"/>
          <w:sz w:val="22"/>
        </w:rPr>
        <w:t> </w:t>
      </w:r>
      <w:r>
        <w:rPr>
          <w:color w:val="0E0F0F"/>
          <w:sz w:val="22"/>
        </w:rPr>
        <w:t>Hub</w:t>
      </w:r>
      <w:r>
        <w:rPr>
          <w:color w:val="0E0F0F"/>
          <w:spacing w:val="-3"/>
          <w:sz w:val="22"/>
        </w:rPr>
        <w:t> </w:t>
      </w:r>
      <w:r>
        <w:rPr>
          <w:color w:val="0E0F0F"/>
          <w:sz w:val="22"/>
        </w:rPr>
        <w:t>(RHIhub)</w:t>
      </w:r>
    </w:p>
    <w:p>
      <w:pPr>
        <w:pStyle w:val="BodyText"/>
        <w:spacing w:line="249" w:lineRule="auto" w:before="10"/>
        <w:ind w:left="879" w:right="825"/>
      </w:pPr>
      <w:r>
        <w:rPr>
          <w:color w:val="010202"/>
        </w:rPr>
        <w:t>has create</w:t>
      </w:r>
      <w:r>
        <w:rPr>
          <w:color w:val="0E0F0F"/>
        </w:rPr>
        <w:t>d </w:t>
      </w:r>
      <w:hyperlink r:id="rId267">
        <w:r>
          <w:rPr>
            <w:color w:val="3953A4"/>
            <w:u w:val="single" w:color="3953A4"/>
          </w:rPr>
          <w:t>HIV</w:t>
        </w:r>
      </w:hyperlink>
      <w:r>
        <w:rPr>
          <w:color w:val="0E0F0F"/>
        </w:rPr>
        <w:t>, </w:t>
      </w:r>
      <w:hyperlink r:id="rId379">
        <w:r>
          <w:rPr>
            <w:color w:val="3953A4"/>
            <w:u w:val="single" w:color="3953A4"/>
          </w:rPr>
          <w:t>Mental Health</w:t>
        </w:r>
      </w:hyperlink>
      <w:r>
        <w:rPr>
          <w:color w:val="0E0F0F"/>
        </w:rPr>
        <w:t>, </w:t>
      </w:r>
      <w:hyperlink r:id="rId380">
        <w:r>
          <w:rPr>
            <w:color w:val="3953A4"/>
            <w:u w:val="single" w:color="3953A4"/>
          </w:rPr>
          <w:t>SUD</w:t>
        </w:r>
      </w:hyperlink>
      <w:r>
        <w:rPr>
          <w:color w:val="010202"/>
        </w:rPr>
        <w:t>, and</w:t>
      </w:r>
      <w:r>
        <w:rPr>
          <w:color w:val="010202"/>
          <w:spacing w:val="1"/>
        </w:rPr>
        <w:t> </w:t>
      </w:r>
      <w:hyperlink r:id="rId381">
        <w:r>
          <w:rPr>
            <w:color w:val="3953A4"/>
            <w:spacing w:val="-1"/>
            <w:u w:val="single" w:color="3953A4"/>
          </w:rPr>
          <w:t>Telehealth</w:t>
        </w:r>
        <w:r>
          <w:rPr>
            <w:color w:val="3953A4"/>
            <w:spacing w:val="-9"/>
          </w:rPr>
          <w:t> </w:t>
        </w:r>
      </w:hyperlink>
      <w:r>
        <w:rPr>
          <w:color w:val="010202"/>
          <w:spacing w:val="-1"/>
        </w:rPr>
        <w:t>specific</w:t>
      </w:r>
      <w:r>
        <w:rPr>
          <w:color w:val="010202"/>
          <w:spacing w:val="-9"/>
        </w:rPr>
        <w:t> </w:t>
      </w:r>
      <w:r>
        <w:rPr>
          <w:color w:val="010202"/>
        </w:rPr>
        <w:t>Evidence-Based</w:t>
      </w:r>
      <w:r>
        <w:rPr>
          <w:color w:val="010202"/>
          <w:spacing w:val="-12"/>
        </w:rPr>
        <w:t> </w:t>
      </w:r>
      <w:r>
        <w:rPr>
          <w:color w:val="010202"/>
        </w:rPr>
        <w:t>Toolkits</w:t>
      </w:r>
      <w:r>
        <w:rPr>
          <w:color w:val="010202"/>
          <w:spacing w:val="-8"/>
        </w:rPr>
        <w:t> </w:t>
      </w:r>
      <w:r>
        <w:rPr>
          <w:color w:val="010202"/>
        </w:rPr>
        <w:t>for</w:t>
      </w:r>
      <w:r>
        <w:rPr>
          <w:color w:val="010202"/>
          <w:spacing w:val="-52"/>
        </w:rPr>
        <w:t> </w:t>
      </w:r>
      <w:r>
        <w:rPr>
          <w:color w:val="010202"/>
        </w:rPr>
        <w:t>Rural Community Health (that can be broadly</w:t>
      </w:r>
      <w:r>
        <w:rPr>
          <w:color w:val="010202"/>
          <w:spacing w:val="1"/>
        </w:rPr>
        <w:t> </w:t>
      </w:r>
      <w:r>
        <w:rPr>
          <w:color w:val="010202"/>
        </w:rPr>
        <w:t>applied to both rural and urban health).</w:t>
      </w:r>
    </w:p>
    <w:p>
      <w:pPr>
        <w:pStyle w:val="ListParagraph"/>
        <w:numPr>
          <w:ilvl w:val="1"/>
          <w:numId w:val="27"/>
        </w:numPr>
        <w:tabs>
          <w:tab w:pos="879" w:val="left" w:leader="none"/>
          <w:tab w:pos="880" w:val="left" w:leader="none"/>
        </w:tabs>
        <w:spacing w:line="249" w:lineRule="auto" w:before="0" w:after="0"/>
        <w:ind w:left="879" w:right="912" w:hanging="360"/>
        <w:jc w:val="left"/>
        <w:rPr>
          <w:sz w:val="22"/>
        </w:rPr>
      </w:pPr>
      <w:r>
        <w:rPr>
          <w:color w:val="010202"/>
          <w:spacing w:val="-1"/>
          <w:sz w:val="22"/>
        </w:rPr>
        <w:t>The</w:t>
      </w:r>
      <w:r>
        <w:rPr>
          <w:color w:val="010202"/>
          <w:spacing w:val="11"/>
          <w:sz w:val="22"/>
        </w:rPr>
        <w:t> </w:t>
      </w:r>
      <w:r>
        <w:rPr>
          <w:color w:val="0E0F0F"/>
          <w:spacing w:val="-1"/>
          <w:sz w:val="22"/>
        </w:rPr>
        <w:t>National</w:t>
      </w:r>
      <w:r>
        <w:rPr>
          <w:color w:val="0E0F0F"/>
          <w:spacing w:val="10"/>
          <w:sz w:val="22"/>
        </w:rPr>
        <w:t> </w:t>
      </w:r>
      <w:r>
        <w:rPr>
          <w:color w:val="0E0F0F"/>
          <w:sz w:val="22"/>
        </w:rPr>
        <w:t>Minority</w:t>
      </w:r>
      <w:r>
        <w:rPr>
          <w:color w:val="0E0F0F"/>
          <w:spacing w:val="-2"/>
          <w:sz w:val="22"/>
        </w:rPr>
        <w:t> </w:t>
      </w:r>
      <w:r>
        <w:rPr>
          <w:color w:val="0E0F0F"/>
          <w:sz w:val="22"/>
        </w:rPr>
        <w:t>AIDS</w:t>
      </w:r>
      <w:r>
        <w:rPr>
          <w:color w:val="0E0F0F"/>
          <w:spacing w:val="10"/>
          <w:sz w:val="22"/>
        </w:rPr>
        <w:t> </w:t>
      </w:r>
      <w:r>
        <w:rPr>
          <w:color w:val="0E0F0F"/>
          <w:sz w:val="22"/>
        </w:rPr>
        <w:t>Council</w:t>
      </w:r>
      <w:r>
        <w:rPr>
          <w:color w:val="0E0F0F"/>
          <w:spacing w:val="11"/>
          <w:sz w:val="22"/>
        </w:rPr>
        <w:t> </w:t>
      </w:r>
      <w:r>
        <w:rPr>
          <w:color w:val="0E0F0F"/>
          <w:sz w:val="22"/>
        </w:rPr>
        <w:t>created</w:t>
      </w:r>
      <w:r>
        <w:rPr>
          <w:color w:val="0E0F0F"/>
          <w:spacing w:val="1"/>
          <w:sz w:val="22"/>
        </w:rPr>
        <w:t> </w:t>
      </w:r>
      <w:r>
        <w:rPr>
          <w:color w:val="0E0F0F"/>
          <w:sz w:val="22"/>
        </w:rPr>
        <w:t>a</w:t>
      </w:r>
      <w:r>
        <w:rPr>
          <w:color w:val="3953A4"/>
          <w:sz w:val="22"/>
        </w:rPr>
        <w:t> </w:t>
      </w:r>
      <w:hyperlink r:id="rId382">
        <w:r>
          <w:rPr>
            <w:color w:val="3953A4"/>
            <w:sz w:val="22"/>
            <w:u w:val="single" w:color="3953A4"/>
          </w:rPr>
          <w:t>guide to program evaluation</w:t>
        </w:r>
        <w:r>
          <w:rPr>
            <w:color w:val="3953A4"/>
            <w:sz w:val="22"/>
          </w:rPr>
          <w:t> </w:t>
        </w:r>
      </w:hyperlink>
      <w:r>
        <w:rPr>
          <w:color w:val="0E0F0F"/>
          <w:sz w:val="22"/>
        </w:rPr>
        <w:t>as part of their</w:t>
      </w:r>
      <w:r>
        <w:rPr>
          <w:color w:val="0E0F0F"/>
          <w:spacing w:val="1"/>
          <w:sz w:val="22"/>
        </w:rPr>
        <w:t> </w:t>
      </w:r>
      <w:r>
        <w:rPr>
          <w:color w:val="0E0F0F"/>
          <w:sz w:val="22"/>
        </w:rPr>
        <w:t>Organizational Effectiveness Series</w:t>
      </w:r>
      <w:r>
        <w:rPr>
          <w:color w:val="010202"/>
          <w:sz w:val="22"/>
        </w:rPr>
        <w:t>, defining</w:t>
      </w:r>
      <w:r>
        <w:rPr>
          <w:color w:val="010202"/>
          <w:spacing w:val="1"/>
          <w:sz w:val="22"/>
        </w:rPr>
        <w:t> </w:t>
      </w:r>
      <w:r>
        <w:rPr>
          <w:color w:val="010202"/>
          <w:sz w:val="22"/>
        </w:rPr>
        <w:t>types of evaluation, ways to assemble an</w:t>
      </w:r>
      <w:r>
        <w:rPr>
          <w:color w:val="010202"/>
          <w:spacing w:val="1"/>
          <w:sz w:val="22"/>
        </w:rPr>
        <w:t> </w:t>
      </w:r>
      <w:r>
        <w:rPr>
          <w:color w:val="010202"/>
          <w:sz w:val="22"/>
        </w:rPr>
        <w:t>evaluation team and design an evaluation plan,</w:t>
      </w:r>
      <w:r>
        <w:rPr>
          <w:color w:val="010202"/>
          <w:spacing w:val="-52"/>
          <w:sz w:val="22"/>
        </w:rPr>
        <w:t> </w:t>
      </w:r>
      <w:r>
        <w:rPr>
          <w:color w:val="010202"/>
          <w:sz w:val="22"/>
        </w:rPr>
        <w:t>and</w:t>
      </w:r>
      <w:r>
        <w:rPr>
          <w:color w:val="010202"/>
          <w:spacing w:val="-1"/>
          <w:sz w:val="22"/>
        </w:rPr>
        <w:t> </w:t>
      </w:r>
      <w:r>
        <w:rPr>
          <w:color w:val="010202"/>
          <w:sz w:val="22"/>
        </w:rPr>
        <w:t>steps</w:t>
      </w:r>
      <w:r>
        <w:rPr>
          <w:color w:val="010202"/>
          <w:spacing w:val="-1"/>
          <w:sz w:val="22"/>
        </w:rPr>
        <w:t> </w:t>
      </w:r>
      <w:r>
        <w:rPr>
          <w:color w:val="010202"/>
          <w:sz w:val="22"/>
        </w:rPr>
        <w:t>to conducting an</w:t>
      </w:r>
      <w:r>
        <w:rPr>
          <w:color w:val="010202"/>
          <w:spacing w:val="-1"/>
          <w:sz w:val="22"/>
        </w:rPr>
        <w:t> </w:t>
      </w:r>
      <w:r>
        <w:rPr>
          <w:color w:val="010202"/>
          <w:sz w:val="22"/>
        </w:rPr>
        <w:t>evaluation.</w:t>
      </w:r>
    </w:p>
    <w:p>
      <w:pPr>
        <w:spacing w:after="0" w:line="249" w:lineRule="auto"/>
        <w:jc w:val="left"/>
        <w:rPr>
          <w:sz w:val="22"/>
        </w:rPr>
        <w:sectPr>
          <w:type w:val="continuous"/>
          <w:pgSz w:w="12240" w:h="15840"/>
          <w:pgMar w:header="0" w:footer="587" w:top="1500" w:bottom="0" w:left="560" w:right="0"/>
          <w:cols w:num="2" w:equalWidth="0">
            <w:col w:w="5239" w:space="521"/>
            <w:col w:w="5920"/>
          </w:cols>
        </w:sectPr>
      </w:pPr>
    </w:p>
    <w:p>
      <w:pPr>
        <w:pStyle w:val="BodyText"/>
        <w:rPr>
          <w:sz w:val="20"/>
        </w:rPr>
      </w:pPr>
    </w:p>
    <w:p>
      <w:pPr>
        <w:pStyle w:val="BodyText"/>
        <w:rPr>
          <w:sz w:val="18"/>
        </w:rPr>
      </w:pPr>
    </w:p>
    <w:p>
      <w:pPr>
        <w:pStyle w:val="Heading1"/>
        <w:spacing w:before="100"/>
      </w:pPr>
      <w:bookmarkStart w:name="Appendix 1: Acknowledgments" w:id="151"/>
      <w:bookmarkEnd w:id="151"/>
      <w:r>
        <w:rPr/>
      </w:r>
      <w:bookmarkStart w:name="SAMHSA Staff" w:id="152"/>
      <w:bookmarkEnd w:id="152"/>
      <w:r>
        <w:rPr/>
      </w:r>
      <w:bookmarkStart w:name="Expert Panel" w:id="153"/>
      <w:bookmarkEnd w:id="153"/>
      <w:r>
        <w:rPr/>
      </w:r>
      <w:bookmarkStart w:name="Contract Staff" w:id="154"/>
      <w:bookmarkEnd w:id="154"/>
      <w:r>
        <w:rPr/>
      </w:r>
      <w:r>
        <w:rPr>
          <w:color w:val="1C384B"/>
          <w:spacing w:val="-3"/>
        </w:rPr>
        <w:t>Appendix</w:t>
      </w:r>
      <w:r>
        <w:rPr>
          <w:color w:val="1C384B"/>
          <w:spacing w:val="-30"/>
        </w:rPr>
        <w:t> </w:t>
      </w:r>
      <w:r>
        <w:rPr>
          <w:color w:val="1C384B"/>
          <w:spacing w:val="-3"/>
        </w:rPr>
        <w:t>1:</w:t>
      </w:r>
      <w:r>
        <w:rPr>
          <w:color w:val="1C384B"/>
          <w:spacing w:val="-29"/>
        </w:rPr>
        <w:t> </w:t>
      </w:r>
      <w:r>
        <w:rPr>
          <w:color w:val="1C384B"/>
          <w:spacing w:val="-2"/>
        </w:rPr>
        <w:t>Acknowledgments</w:t>
      </w:r>
    </w:p>
    <w:p>
      <w:pPr>
        <w:pStyle w:val="BodyText"/>
        <w:rPr>
          <w:rFonts w:ascii="Arial Black"/>
          <w:sz w:val="20"/>
        </w:rPr>
      </w:pPr>
    </w:p>
    <w:p>
      <w:pPr>
        <w:pStyle w:val="BodyText"/>
        <w:rPr>
          <w:rFonts w:ascii="Arial Black"/>
          <w:sz w:val="20"/>
        </w:rPr>
      </w:pPr>
    </w:p>
    <w:p>
      <w:pPr>
        <w:pStyle w:val="BodyText"/>
        <w:spacing w:before="10"/>
        <w:rPr>
          <w:rFonts w:ascii="Arial Black"/>
          <w:sz w:val="17"/>
        </w:rPr>
      </w:pPr>
    </w:p>
    <w:p>
      <w:pPr>
        <w:pStyle w:val="BodyText"/>
        <w:spacing w:line="266" w:lineRule="auto"/>
        <w:ind w:left="160" w:right="691"/>
      </w:pPr>
      <w:r>
        <w:rPr>
          <w:color w:val="231F20"/>
          <w:spacing w:val="-3"/>
        </w:rPr>
        <w:t>This publication was developed </w:t>
      </w:r>
      <w:r>
        <w:rPr>
          <w:color w:val="231F20"/>
          <w:spacing w:val="-2"/>
        </w:rPr>
        <w:t>with a significant contribution from Alexis Marbach, MPH, SAMHSA staff, a technical</w:t>
      </w:r>
      <w:r>
        <w:rPr>
          <w:color w:val="231F20"/>
          <w:spacing w:val="-1"/>
        </w:rPr>
        <w:t> </w:t>
      </w:r>
      <w:r>
        <w:rPr>
          <w:color w:val="231F20"/>
          <w:spacing w:val="-2"/>
        </w:rPr>
        <w:t>expert</w:t>
      </w:r>
      <w:r>
        <w:rPr>
          <w:color w:val="231F20"/>
          <w:spacing w:val="-4"/>
        </w:rPr>
        <w:t> </w:t>
      </w:r>
      <w:r>
        <w:rPr>
          <w:color w:val="231F20"/>
          <w:spacing w:val="-2"/>
        </w:rPr>
        <w:t>panel,</w:t>
      </w:r>
      <w:r>
        <w:rPr>
          <w:color w:val="231F20"/>
          <w:spacing w:val="-4"/>
        </w:rPr>
        <w:t> </w:t>
      </w:r>
      <w:r>
        <w:rPr>
          <w:color w:val="231F20"/>
          <w:spacing w:val="-2"/>
        </w:rPr>
        <w:t>and</w:t>
      </w:r>
      <w:r>
        <w:rPr>
          <w:color w:val="231F20"/>
          <w:spacing w:val="-16"/>
        </w:rPr>
        <w:t> </w:t>
      </w:r>
      <w:r>
        <w:rPr>
          <w:color w:val="231F20"/>
          <w:spacing w:val="-2"/>
        </w:rPr>
        <w:t>Abt</w:t>
      </w:r>
      <w:r>
        <w:rPr>
          <w:color w:val="231F20"/>
          <w:spacing w:val="-17"/>
        </w:rPr>
        <w:t> </w:t>
      </w:r>
      <w:r>
        <w:rPr>
          <w:color w:val="231F20"/>
          <w:spacing w:val="-2"/>
        </w:rPr>
        <w:t>Associates</w:t>
      </w:r>
      <w:r>
        <w:rPr>
          <w:color w:val="231F20"/>
          <w:spacing w:val="-5"/>
        </w:rPr>
        <w:t> </w:t>
      </w:r>
      <w:r>
        <w:rPr>
          <w:color w:val="231F20"/>
          <w:spacing w:val="-2"/>
        </w:rPr>
        <w:t>staff.</w:t>
      </w:r>
      <w:r>
        <w:rPr>
          <w:color w:val="231F20"/>
          <w:spacing w:val="-8"/>
        </w:rPr>
        <w:t> </w:t>
      </w:r>
      <w:r>
        <w:rPr>
          <w:color w:val="231F20"/>
          <w:spacing w:val="-2"/>
        </w:rPr>
        <w:t>The</w:t>
      </w:r>
      <w:r>
        <w:rPr>
          <w:color w:val="231F20"/>
          <w:spacing w:val="-4"/>
        </w:rPr>
        <w:t> </w:t>
      </w:r>
      <w:r>
        <w:rPr>
          <w:color w:val="231F20"/>
          <w:spacing w:val="-2"/>
        </w:rPr>
        <w:t>guidance</w:t>
      </w:r>
      <w:r>
        <w:rPr>
          <w:color w:val="231F20"/>
          <w:spacing w:val="-4"/>
        </w:rPr>
        <w:t> </w:t>
      </w:r>
      <w:r>
        <w:rPr>
          <w:color w:val="231F20"/>
          <w:spacing w:val="-2"/>
        </w:rPr>
        <w:t>is</w:t>
      </w:r>
      <w:r>
        <w:rPr>
          <w:color w:val="231F20"/>
          <w:spacing w:val="-4"/>
        </w:rPr>
        <w:t> </w:t>
      </w:r>
      <w:r>
        <w:rPr>
          <w:color w:val="231F20"/>
          <w:spacing w:val="-2"/>
        </w:rPr>
        <w:t>based</w:t>
      </w:r>
      <w:r>
        <w:rPr>
          <w:color w:val="231F20"/>
          <w:spacing w:val="-4"/>
        </w:rPr>
        <w:t> </w:t>
      </w:r>
      <w:r>
        <w:rPr>
          <w:color w:val="231F20"/>
          <w:spacing w:val="-2"/>
        </w:rPr>
        <w:t>on</w:t>
      </w:r>
      <w:r>
        <w:rPr>
          <w:color w:val="231F20"/>
          <w:spacing w:val="-4"/>
        </w:rPr>
        <w:t> </w:t>
      </w:r>
      <w:r>
        <w:rPr>
          <w:color w:val="231F20"/>
          <w:spacing w:val="-2"/>
        </w:rPr>
        <w:t>the</w:t>
      </w:r>
      <w:r>
        <w:rPr>
          <w:color w:val="231F20"/>
          <w:spacing w:val="-4"/>
        </w:rPr>
        <w:t> </w:t>
      </w:r>
      <w:r>
        <w:rPr>
          <w:color w:val="231F20"/>
          <w:spacing w:val="-2"/>
        </w:rPr>
        <w:t>thoughtful</w:t>
      </w:r>
      <w:r>
        <w:rPr>
          <w:color w:val="231F20"/>
          <w:spacing w:val="-4"/>
        </w:rPr>
        <w:t> </w:t>
      </w:r>
      <w:r>
        <w:rPr>
          <w:color w:val="231F20"/>
          <w:spacing w:val="-2"/>
        </w:rPr>
        <w:t>input</w:t>
      </w:r>
      <w:r>
        <w:rPr>
          <w:color w:val="231F20"/>
          <w:spacing w:val="-4"/>
        </w:rPr>
        <w:t> </w:t>
      </w:r>
      <w:r>
        <w:rPr>
          <w:color w:val="231F20"/>
          <w:spacing w:val="-2"/>
        </w:rPr>
        <w:t>of</w:t>
      </w:r>
      <w:r>
        <w:rPr>
          <w:color w:val="231F20"/>
          <w:spacing w:val="-4"/>
        </w:rPr>
        <w:t> </w:t>
      </w:r>
      <w:r>
        <w:rPr>
          <w:color w:val="231F20"/>
          <w:spacing w:val="-2"/>
        </w:rPr>
        <w:t>SAMHSA</w:t>
      </w:r>
      <w:r>
        <w:rPr>
          <w:color w:val="231F20"/>
          <w:spacing w:val="-17"/>
        </w:rPr>
        <w:t> </w:t>
      </w:r>
      <w:r>
        <w:rPr>
          <w:color w:val="231F20"/>
          <w:spacing w:val="-2"/>
        </w:rPr>
        <w:t>staff</w:t>
      </w:r>
      <w:r>
        <w:rPr>
          <w:color w:val="231F20"/>
          <w:spacing w:val="-4"/>
        </w:rPr>
        <w:t> </w:t>
      </w:r>
      <w:r>
        <w:rPr>
          <w:color w:val="231F20"/>
          <w:spacing w:val="-2"/>
        </w:rPr>
        <w:t>and</w:t>
      </w:r>
      <w:r>
        <w:rPr>
          <w:color w:val="231F20"/>
          <w:spacing w:val="-4"/>
        </w:rPr>
        <w:t> </w:t>
      </w:r>
      <w:r>
        <w:rPr>
          <w:color w:val="231F20"/>
          <w:spacing w:val="-2"/>
        </w:rPr>
        <w:t>the</w:t>
      </w:r>
      <w:r>
        <w:rPr>
          <w:color w:val="231F20"/>
          <w:spacing w:val="-4"/>
        </w:rPr>
        <w:t> </w:t>
      </w:r>
      <w:r>
        <w:rPr>
          <w:color w:val="231F20"/>
          <w:spacing w:val="-2"/>
        </w:rPr>
        <w:t>Expert</w:t>
      </w:r>
      <w:r>
        <w:rPr>
          <w:color w:val="231F20"/>
          <w:spacing w:val="-4"/>
        </w:rPr>
        <w:t> </w:t>
      </w:r>
      <w:r>
        <w:rPr>
          <w:color w:val="231F20"/>
          <w:spacing w:val="-1"/>
        </w:rPr>
        <w:t>Panel</w:t>
      </w:r>
      <w:r>
        <w:rPr>
          <w:color w:val="231F20"/>
          <w:spacing w:val="-52"/>
        </w:rPr>
        <w:t> </w:t>
      </w:r>
      <w:r>
        <w:rPr>
          <w:color w:val="231F20"/>
          <w:spacing w:val="-1"/>
        </w:rPr>
        <w:t>on the prevention and treatment of HIV among individuals experiencing co-occurring mental illness </w:t>
      </w:r>
      <w:r>
        <w:rPr>
          <w:color w:val="231F20"/>
        </w:rPr>
        <w:t>and/or substance use</w:t>
      </w:r>
      <w:r>
        <w:rPr>
          <w:color w:val="231F20"/>
          <w:spacing w:val="1"/>
        </w:rPr>
        <w:t> </w:t>
      </w:r>
      <w:r>
        <w:rPr>
          <w:color w:val="231F20"/>
          <w:spacing w:val="-2"/>
        </w:rPr>
        <w:t>disorders</w:t>
      </w:r>
      <w:r>
        <w:rPr>
          <w:color w:val="231F20"/>
          <w:spacing w:val="-4"/>
        </w:rPr>
        <w:t> </w:t>
      </w:r>
      <w:r>
        <w:rPr>
          <w:color w:val="231F20"/>
          <w:spacing w:val="-2"/>
        </w:rPr>
        <w:t>(SUD)</w:t>
      </w:r>
      <w:r>
        <w:rPr>
          <w:color w:val="231F20"/>
          <w:spacing w:val="-4"/>
        </w:rPr>
        <w:t> </w:t>
      </w:r>
      <w:r>
        <w:rPr>
          <w:color w:val="231F20"/>
          <w:spacing w:val="-2"/>
        </w:rPr>
        <w:t>from</w:t>
      </w:r>
      <w:r>
        <w:rPr>
          <w:color w:val="231F20"/>
          <w:spacing w:val="-4"/>
        </w:rPr>
        <w:t> </w:t>
      </w:r>
      <w:r>
        <w:rPr>
          <w:color w:val="231F20"/>
          <w:spacing w:val="-2"/>
        </w:rPr>
        <w:t>October</w:t>
      </w:r>
      <w:r>
        <w:rPr>
          <w:color w:val="231F20"/>
          <w:spacing w:val="-5"/>
        </w:rPr>
        <w:t> </w:t>
      </w:r>
      <w:r>
        <w:rPr>
          <w:color w:val="231F20"/>
          <w:spacing w:val="-2"/>
        </w:rPr>
        <w:t>2019</w:t>
      </w:r>
      <w:r>
        <w:rPr>
          <w:color w:val="231F20"/>
          <w:spacing w:val="-4"/>
        </w:rPr>
        <w:t> </w:t>
      </w:r>
      <w:r>
        <w:rPr>
          <w:color w:val="231F20"/>
          <w:spacing w:val="-2"/>
        </w:rPr>
        <w:t>through</w:t>
      </w:r>
      <w:r>
        <w:rPr>
          <w:color w:val="231F20"/>
          <w:spacing w:val="-17"/>
        </w:rPr>
        <w:t> </w:t>
      </w:r>
      <w:r>
        <w:rPr>
          <w:color w:val="231F20"/>
          <w:spacing w:val="-2"/>
        </w:rPr>
        <w:t>August</w:t>
      </w:r>
      <w:r>
        <w:rPr>
          <w:color w:val="231F20"/>
          <w:spacing w:val="-5"/>
        </w:rPr>
        <w:t> </w:t>
      </w:r>
      <w:r>
        <w:rPr>
          <w:color w:val="231F20"/>
          <w:spacing w:val="-2"/>
        </w:rPr>
        <w:t>2020.</w:t>
      </w:r>
      <w:r>
        <w:rPr>
          <w:color w:val="231F20"/>
          <w:spacing w:val="-17"/>
        </w:rPr>
        <w:t> </w:t>
      </w:r>
      <w:r>
        <w:rPr>
          <w:color w:val="231F20"/>
          <w:spacing w:val="-2"/>
        </w:rPr>
        <w:t>A</w:t>
      </w:r>
      <w:r>
        <w:rPr>
          <w:color w:val="231F20"/>
          <w:spacing w:val="-17"/>
        </w:rPr>
        <w:t> </w:t>
      </w:r>
      <w:r>
        <w:rPr>
          <w:color w:val="231F20"/>
          <w:spacing w:val="-2"/>
        </w:rPr>
        <w:t>series</w:t>
      </w:r>
      <w:r>
        <w:rPr>
          <w:color w:val="231F20"/>
          <w:spacing w:val="-4"/>
        </w:rPr>
        <w:t> </w:t>
      </w:r>
      <w:r>
        <w:rPr>
          <w:color w:val="231F20"/>
          <w:spacing w:val="-2"/>
        </w:rPr>
        <w:t>of</w:t>
      </w:r>
      <w:r>
        <w:rPr>
          <w:color w:val="231F20"/>
          <w:spacing w:val="-4"/>
        </w:rPr>
        <w:t> </w:t>
      </w:r>
      <w:r>
        <w:rPr>
          <w:color w:val="231F20"/>
          <w:spacing w:val="-2"/>
        </w:rPr>
        <w:t>guide</w:t>
      </w:r>
      <w:r>
        <w:rPr>
          <w:color w:val="231F20"/>
          <w:spacing w:val="-4"/>
        </w:rPr>
        <w:t> </w:t>
      </w:r>
      <w:r>
        <w:rPr>
          <w:color w:val="231F20"/>
          <w:spacing w:val="-2"/>
        </w:rPr>
        <w:t>development</w:t>
      </w:r>
      <w:r>
        <w:rPr>
          <w:color w:val="231F20"/>
          <w:spacing w:val="-4"/>
        </w:rPr>
        <w:t> </w:t>
      </w:r>
      <w:r>
        <w:rPr>
          <w:color w:val="231F20"/>
          <w:spacing w:val="-2"/>
        </w:rPr>
        <w:t>meetings</w:t>
      </w:r>
      <w:r>
        <w:rPr>
          <w:color w:val="231F20"/>
          <w:spacing w:val="-4"/>
        </w:rPr>
        <w:t> </w:t>
      </w:r>
      <w:r>
        <w:rPr>
          <w:color w:val="231F20"/>
          <w:spacing w:val="-2"/>
        </w:rPr>
        <w:t>was</w:t>
      </w:r>
      <w:r>
        <w:rPr>
          <w:color w:val="231F20"/>
          <w:spacing w:val="-5"/>
        </w:rPr>
        <w:t> </w:t>
      </w:r>
      <w:r>
        <w:rPr>
          <w:color w:val="231F20"/>
          <w:spacing w:val="-1"/>
        </w:rPr>
        <w:t>held</w:t>
      </w:r>
      <w:r>
        <w:rPr>
          <w:color w:val="231F20"/>
          <w:spacing w:val="-4"/>
        </w:rPr>
        <w:t> </w:t>
      </w:r>
      <w:r>
        <w:rPr>
          <w:color w:val="231F20"/>
          <w:spacing w:val="-1"/>
        </w:rPr>
        <w:t>virtually</w:t>
      </w:r>
      <w:r>
        <w:rPr>
          <w:color w:val="231F20"/>
          <w:spacing w:val="-4"/>
        </w:rPr>
        <w:t> </w:t>
      </w:r>
      <w:r>
        <w:rPr>
          <w:color w:val="231F20"/>
          <w:spacing w:val="-1"/>
        </w:rPr>
        <w:t>over</w:t>
      </w:r>
      <w:r>
        <w:rPr>
          <w:color w:val="231F20"/>
          <w:spacing w:val="-4"/>
        </w:rPr>
        <w:t> </w:t>
      </w:r>
      <w:r>
        <w:rPr>
          <w:color w:val="231F20"/>
          <w:spacing w:val="-1"/>
        </w:rPr>
        <w:t>a</w:t>
      </w:r>
      <w:r>
        <w:rPr>
          <w:color w:val="231F20"/>
          <w:spacing w:val="-52"/>
        </w:rPr>
        <w:t> </w:t>
      </w:r>
      <w:r>
        <w:rPr>
          <w:color w:val="231F20"/>
        </w:rPr>
        <w:t>period</w:t>
      </w:r>
      <w:r>
        <w:rPr>
          <w:color w:val="231F20"/>
          <w:spacing w:val="-6"/>
        </w:rPr>
        <w:t> </w:t>
      </w:r>
      <w:r>
        <w:rPr>
          <w:color w:val="231F20"/>
        </w:rPr>
        <w:t>of</w:t>
      </w:r>
      <w:r>
        <w:rPr>
          <w:color w:val="231F20"/>
          <w:spacing w:val="-6"/>
        </w:rPr>
        <w:t> </w:t>
      </w:r>
      <w:r>
        <w:rPr>
          <w:color w:val="231F20"/>
        </w:rPr>
        <w:t>several</w:t>
      </w:r>
      <w:r>
        <w:rPr>
          <w:color w:val="231F20"/>
          <w:spacing w:val="-7"/>
        </w:rPr>
        <w:t> </w:t>
      </w:r>
      <w:r>
        <w:rPr>
          <w:color w:val="231F20"/>
        </w:rPr>
        <w:t>months.</w:t>
      </w:r>
      <w:r>
        <w:rPr>
          <w:color w:val="231F20"/>
          <w:spacing w:val="-9"/>
        </w:rPr>
        <w:t> </w:t>
      </w:r>
      <w:r>
        <w:rPr>
          <w:color w:val="231F20"/>
        </w:rPr>
        <w:t>Three</w:t>
      </w:r>
      <w:r>
        <w:rPr>
          <w:color w:val="231F20"/>
          <w:spacing w:val="-6"/>
        </w:rPr>
        <w:t> </w:t>
      </w:r>
      <w:r>
        <w:rPr>
          <w:color w:val="231F20"/>
        </w:rPr>
        <w:t>expert</w:t>
      </w:r>
      <w:r>
        <w:rPr>
          <w:color w:val="231F20"/>
          <w:spacing w:val="-6"/>
        </w:rPr>
        <w:t> </w:t>
      </w:r>
      <w:r>
        <w:rPr>
          <w:color w:val="231F20"/>
        </w:rPr>
        <w:t>panel</w:t>
      </w:r>
      <w:r>
        <w:rPr>
          <w:color w:val="231F20"/>
          <w:spacing w:val="-5"/>
        </w:rPr>
        <w:t> </w:t>
      </w:r>
      <w:r>
        <w:rPr>
          <w:color w:val="231F20"/>
        </w:rPr>
        <w:t>meetings</w:t>
      </w:r>
      <w:r>
        <w:rPr>
          <w:color w:val="231F20"/>
          <w:spacing w:val="-6"/>
        </w:rPr>
        <w:t> </w:t>
      </w:r>
      <w:r>
        <w:rPr>
          <w:color w:val="231F20"/>
        </w:rPr>
        <w:t>were</w:t>
      </w:r>
      <w:r>
        <w:rPr>
          <w:color w:val="231F20"/>
          <w:spacing w:val="-7"/>
        </w:rPr>
        <w:t> </w:t>
      </w:r>
      <w:r>
        <w:rPr>
          <w:color w:val="231F20"/>
        </w:rPr>
        <w:t>convened</w:t>
      </w:r>
      <w:r>
        <w:rPr>
          <w:color w:val="231F20"/>
          <w:spacing w:val="-6"/>
        </w:rPr>
        <w:t> </w:t>
      </w:r>
      <w:r>
        <w:rPr>
          <w:color w:val="231F20"/>
        </w:rPr>
        <w:t>during</w:t>
      </w:r>
      <w:r>
        <w:rPr>
          <w:color w:val="231F20"/>
          <w:spacing w:val="-5"/>
        </w:rPr>
        <w:t> </w:t>
      </w:r>
      <w:r>
        <w:rPr>
          <w:color w:val="231F20"/>
        </w:rPr>
        <w:t>this</w:t>
      </w:r>
      <w:r>
        <w:rPr>
          <w:color w:val="231F20"/>
          <w:spacing w:val="-6"/>
        </w:rPr>
        <w:t> </w:t>
      </w:r>
      <w:r>
        <w:rPr>
          <w:color w:val="231F20"/>
        </w:rPr>
        <w:t>time.</w:t>
      </w:r>
    </w:p>
    <w:p>
      <w:pPr>
        <w:pStyle w:val="BodyText"/>
        <w:spacing w:before="5"/>
        <w:rPr>
          <w:sz w:val="15"/>
        </w:rPr>
      </w:pPr>
    </w:p>
    <w:p>
      <w:pPr>
        <w:spacing w:after="0"/>
        <w:rPr>
          <w:sz w:val="15"/>
        </w:rPr>
        <w:sectPr>
          <w:headerReference w:type="default" r:id="rId383"/>
          <w:footerReference w:type="default" r:id="rId384"/>
          <w:pgSz w:w="12240" w:h="15840"/>
          <w:pgMar w:header="0" w:footer="666" w:top="380" w:bottom="860" w:left="560" w:right="0"/>
        </w:sectPr>
      </w:pPr>
    </w:p>
    <w:p>
      <w:pPr>
        <w:pStyle w:val="Heading6"/>
        <w:spacing w:before="96"/>
      </w:pPr>
      <w:r>
        <w:rPr/>
        <w:pict>
          <v:rect style="position:absolute;margin-left:0pt;margin-top:94.329102pt;width:612pt;height:1pt;mso-position-horizontal-relative:page;mso-position-vertical-relative:page;z-index:-18114048" id="docshape213" filled="true" fillcolor="#ce372e" stroked="false">
            <v:fill type="solid"/>
            <w10:wrap type="none"/>
          </v:rect>
        </w:pict>
      </w:r>
      <w:r>
        <w:rPr>
          <w:color w:val="CE384B"/>
        </w:rPr>
        <w:t>SAMHSA</w:t>
      </w:r>
      <w:r>
        <w:rPr>
          <w:color w:val="CE384B"/>
          <w:spacing w:val="-9"/>
        </w:rPr>
        <w:t> </w:t>
      </w:r>
      <w:r>
        <w:rPr>
          <w:color w:val="CE384B"/>
        </w:rPr>
        <w:t>Staff</w:t>
      </w:r>
    </w:p>
    <w:p>
      <w:pPr>
        <w:spacing w:line="266" w:lineRule="auto" w:before="118"/>
        <w:ind w:left="160" w:right="309" w:firstLine="0"/>
        <w:jc w:val="left"/>
        <w:rPr>
          <w:sz w:val="22"/>
        </w:rPr>
      </w:pPr>
      <w:r>
        <w:rPr>
          <w:b/>
          <w:color w:val="231F20"/>
          <w:spacing w:val="-3"/>
          <w:sz w:val="22"/>
        </w:rPr>
        <w:t>Fred Bamfo, DNP, MPH </w:t>
      </w:r>
      <w:r>
        <w:rPr>
          <w:color w:val="231F20"/>
          <w:spacing w:val="-3"/>
          <w:sz w:val="22"/>
        </w:rPr>
        <w:t>Center for Substance </w:t>
      </w:r>
      <w:r>
        <w:rPr>
          <w:color w:val="231F20"/>
          <w:spacing w:val="-2"/>
          <w:sz w:val="22"/>
        </w:rPr>
        <w:t>Abuse</w:t>
      </w:r>
      <w:r>
        <w:rPr>
          <w:color w:val="231F20"/>
          <w:spacing w:val="-52"/>
          <w:sz w:val="22"/>
        </w:rPr>
        <w:t> </w:t>
      </w:r>
      <w:r>
        <w:rPr>
          <w:color w:val="231F20"/>
          <w:sz w:val="22"/>
        </w:rPr>
        <w:t>Treatment*</w:t>
      </w:r>
    </w:p>
    <w:p>
      <w:pPr>
        <w:spacing w:line="266" w:lineRule="auto" w:before="88"/>
        <w:ind w:left="160" w:right="309" w:firstLine="0"/>
        <w:jc w:val="left"/>
        <w:rPr>
          <w:sz w:val="22"/>
        </w:rPr>
      </w:pPr>
      <w:r>
        <w:rPr>
          <w:b/>
          <w:color w:val="010202"/>
          <w:spacing w:val="-2"/>
          <w:sz w:val="22"/>
        </w:rPr>
        <w:t>Christine</w:t>
      </w:r>
      <w:r>
        <w:rPr>
          <w:b/>
          <w:color w:val="010202"/>
          <w:spacing w:val="-12"/>
          <w:sz w:val="22"/>
        </w:rPr>
        <w:t> </w:t>
      </w:r>
      <w:r>
        <w:rPr>
          <w:b/>
          <w:color w:val="010202"/>
          <w:spacing w:val="-2"/>
          <w:sz w:val="22"/>
        </w:rPr>
        <w:t>Cichetti,</w:t>
      </w:r>
      <w:r>
        <w:rPr>
          <w:b/>
          <w:color w:val="010202"/>
          <w:spacing w:val="-12"/>
          <w:sz w:val="22"/>
        </w:rPr>
        <w:t> </w:t>
      </w:r>
      <w:r>
        <w:rPr>
          <w:color w:val="231F20"/>
          <w:spacing w:val="-2"/>
          <w:sz w:val="22"/>
        </w:rPr>
        <w:t>National</w:t>
      </w:r>
      <w:r>
        <w:rPr>
          <w:color w:val="231F20"/>
          <w:spacing w:val="-11"/>
          <w:sz w:val="22"/>
        </w:rPr>
        <w:t> </w:t>
      </w:r>
      <w:r>
        <w:rPr>
          <w:color w:val="231F20"/>
          <w:spacing w:val="-1"/>
          <w:sz w:val="22"/>
        </w:rPr>
        <w:t>Mental</w:t>
      </w:r>
      <w:r>
        <w:rPr>
          <w:color w:val="231F20"/>
          <w:spacing w:val="-12"/>
          <w:sz w:val="22"/>
        </w:rPr>
        <w:t> </w:t>
      </w:r>
      <w:r>
        <w:rPr>
          <w:color w:val="231F20"/>
          <w:spacing w:val="-1"/>
          <w:sz w:val="22"/>
        </w:rPr>
        <w:t>Health</w:t>
      </w:r>
      <w:r>
        <w:rPr>
          <w:color w:val="231F20"/>
          <w:spacing w:val="-11"/>
          <w:sz w:val="22"/>
        </w:rPr>
        <w:t> </w:t>
      </w:r>
      <w:r>
        <w:rPr>
          <w:color w:val="231F20"/>
          <w:spacing w:val="-1"/>
          <w:sz w:val="22"/>
        </w:rPr>
        <w:t>and</w:t>
      </w:r>
      <w:r>
        <w:rPr>
          <w:color w:val="231F20"/>
          <w:spacing w:val="-52"/>
          <w:sz w:val="22"/>
        </w:rPr>
        <w:t> </w:t>
      </w:r>
      <w:r>
        <w:rPr>
          <w:color w:val="231F20"/>
          <w:sz w:val="22"/>
        </w:rPr>
        <w:t>Substance</w:t>
      </w:r>
      <w:r>
        <w:rPr>
          <w:color w:val="231F20"/>
          <w:spacing w:val="-8"/>
          <w:sz w:val="22"/>
        </w:rPr>
        <w:t> </w:t>
      </w:r>
      <w:r>
        <w:rPr>
          <w:color w:val="231F20"/>
          <w:sz w:val="22"/>
        </w:rPr>
        <w:t>Use</w:t>
      </w:r>
      <w:r>
        <w:rPr>
          <w:color w:val="231F20"/>
          <w:spacing w:val="-7"/>
          <w:sz w:val="22"/>
        </w:rPr>
        <w:t> </w:t>
      </w:r>
      <w:r>
        <w:rPr>
          <w:color w:val="231F20"/>
          <w:sz w:val="22"/>
        </w:rPr>
        <w:t>Policy</w:t>
      </w:r>
      <w:r>
        <w:rPr>
          <w:color w:val="231F20"/>
          <w:spacing w:val="-7"/>
          <w:sz w:val="22"/>
        </w:rPr>
        <w:t> </w:t>
      </w:r>
      <w:r>
        <w:rPr>
          <w:color w:val="231F20"/>
          <w:sz w:val="22"/>
        </w:rPr>
        <w:t>Laboratory</w:t>
      </w:r>
    </w:p>
    <w:p>
      <w:pPr>
        <w:spacing w:line="266" w:lineRule="auto" w:before="89"/>
        <w:ind w:left="160" w:right="0" w:firstLine="0"/>
        <w:jc w:val="left"/>
        <w:rPr>
          <w:sz w:val="22"/>
        </w:rPr>
      </w:pPr>
      <w:r>
        <w:rPr>
          <w:b/>
          <w:color w:val="231F20"/>
          <w:spacing w:val="-1"/>
          <w:sz w:val="22"/>
        </w:rPr>
        <w:t>Thomas</w:t>
      </w:r>
      <w:r>
        <w:rPr>
          <w:b/>
          <w:color w:val="231F20"/>
          <w:spacing w:val="-12"/>
          <w:sz w:val="22"/>
        </w:rPr>
        <w:t> </w:t>
      </w:r>
      <w:r>
        <w:rPr>
          <w:b/>
          <w:color w:val="231F20"/>
          <w:spacing w:val="-1"/>
          <w:sz w:val="22"/>
        </w:rPr>
        <w:t>Clarke,</w:t>
      </w:r>
      <w:r>
        <w:rPr>
          <w:b/>
          <w:color w:val="231F20"/>
          <w:spacing w:val="-13"/>
          <w:sz w:val="22"/>
        </w:rPr>
        <w:t> </w:t>
      </w:r>
      <w:r>
        <w:rPr>
          <w:b/>
          <w:color w:val="231F20"/>
          <w:spacing w:val="-1"/>
          <w:sz w:val="22"/>
        </w:rPr>
        <w:t>PhD</w:t>
      </w:r>
      <w:r>
        <w:rPr>
          <w:b/>
          <w:color w:val="231F20"/>
          <w:spacing w:val="-11"/>
          <w:sz w:val="22"/>
        </w:rPr>
        <w:t> </w:t>
      </w:r>
      <w:r>
        <w:rPr>
          <w:color w:val="231F20"/>
          <w:spacing w:val="-1"/>
          <w:sz w:val="22"/>
        </w:rPr>
        <w:t>National</w:t>
      </w:r>
      <w:r>
        <w:rPr>
          <w:color w:val="231F20"/>
          <w:spacing w:val="-13"/>
          <w:sz w:val="22"/>
        </w:rPr>
        <w:t> </w:t>
      </w:r>
      <w:r>
        <w:rPr>
          <w:color w:val="231F20"/>
          <w:spacing w:val="-1"/>
          <w:sz w:val="22"/>
        </w:rPr>
        <w:t>Mental</w:t>
      </w:r>
      <w:r>
        <w:rPr>
          <w:color w:val="231F20"/>
          <w:spacing w:val="-13"/>
          <w:sz w:val="22"/>
        </w:rPr>
        <w:t> </w:t>
      </w:r>
      <w:r>
        <w:rPr>
          <w:color w:val="231F20"/>
          <w:spacing w:val="-1"/>
          <w:sz w:val="22"/>
        </w:rPr>
        <w:t>Health</w:t>
      </w:r>
      <w:r>
        <w:rPr>
          <w:color w:val="231F20"/>
          <w:spacing w:val="-12"/>
          <w:sz w:val="22"/>
        </w:rPr>
        <w:t> </w:t>
      </w:r>
      <w:r>
        <w:rPr>
          <w:color w:val="231F20"/>
          <w:spacing w:val="-1"/>
          <w:sz w:val="22"/>
        </w:rPr>
        <w:t>and</w:t>
      </w:r>
      <w:r>
        <w:rPr>
          <w:color w:val="231F20"/>
          <w:spacing w:val="-52"/>
          <w:sz w:val="22"/>
        </w:rPr>
        <w:t> </w:t>
      </w:r>
      <w:r>
        <w:rPr>
          <w:color w:val="231F20"/>
          <w:sz w:val="22"/>
        </w:rPr>
        <w:t>Substance</w:t>
      </w:r>
      <w:r>
        <w:rPr>
          <w:color w:val="231F20"/>
          <w:spacing w:val="-7"/>
          <w:sz w:val="22"/>
        </w:rPr>
        <w:t> </w:t>
      </w:r>
      <w:r>
        <w:rPr>
          <w:color w:val="231F20"/>
          <w:sz w:val="22"/>
        </w:rPr>
        <w:t>Use</w:t>
      </w:r>
      <w:r>
        <w:rPr>
          <w:color w:val="231F20"/>
          <w:spacing w:val="-7"/>
          <w:sz w:val="22"/>
        </w:rPr>
        <w:t> </w:t>
      </w:r>
      <w:r>
        <w:rPr>
          <w:color w:val="231F20"/>
          <w:sz w:val="22"/>
        </w:rPr>
        <w:t>Policy</w:t>
      </w:r>
      <w:r>
        <w:rPr>
          <w:color w:val="231F20"/>
          <w:spacing w:val="-7"/>
          <w:sz w:val="22"/>
        </w:rPr>
        <w:t> </w:t>
      </w:r>
      <w:r>
        <w:rPr>
          <w:color w:val="231F20"/>
          <w:sz w:val="22"/>
        </w:rPr>
        <w:t>Laboratory</w:t>
      </w:r>
    </w:p>
    <w:p>
      <w:pPr>
        <w:spacing w:line="266" w:lineRule="auto" w:before="88"/>
        <w:ind w:left="160" w:right="374" w:firstLine="0"/>
        <w:jc w:val="left"/>
        <w:rPr>
          <w:sz w:val="22"/>
        </w:rPr>
      </w:pPr>
      <w:r>
        <w:rPr>
          <w:b/>
          <w:color w:val="231F20"/>
          <w:spacing w:val="-3"/>
          <w:sz w:val="22"/>
        </w:rPr>
        <w:t>Amanda Doreson, MPA </w:t>
      </w:r>
      <w:r>
        <w:rPr>
          <w:color w:val="231F20"/>
          <w:spacing w:val="-3"/>
          <w:sz w:val="22"/>
        </w:rPr>
        <w:t>National Mental </w:t>
      </w:r>
      <w:r>
        <w:rPr>
          <w:color w:val="231F20"/>
          <w:spacing w:val="-2"/>
          <w:sz w:val="22"/>
        </w:rPr>
        <w:t>Health and</w:t>
      </w:r>
      <w:r>
        <w:rPr>
          <w:color w:val="231F20"/>
          <w:spacing w:val="-52"/>
          <w:sz w:val="22"/>
        </w:rPr>
        <w:t> </w:t>
      </w:r>
      <w:r>
        <w:rPr>
          <w:color w:val="231F20"/>
          <w:sz w:val="22"/>
        </w:rPr>
        <w:t>Substance</w:t>
      </w:r>
      <w:r>
        <w:rPr>
          <w:color w:val="231F20"/>
          <w:spacing w:val="-7"/>
          <w:sz w:val="22"/>
        </w:rPr>
        <w:t> </w:t>
      </w:r>
      <w:r>
        <w:rPr>
          <w:color w:val="231F20"/>
          <w:sz w:val="22"/>
        </w:rPr>
        <w:t>Use</w:t>
      </w:r>
      <w:r>
        <w:rPr>
          <w:color w:val="231F20"/>
          <w:spacing w:val="-7"/>
          <w:sz w:val="22"/>
        </w:rPr>
        <w:t> </w:t>
      </w:r>
      <w:r>
        <w:rPr>
          <w:color w:val="231F20"/>
          <w:sz w:val="22"/>
        </w:rPr>
        <w:t>Policy</w:t>
      </w:r>
      <w:r>
        <w:rPr>
          <w:color w:val="231F20"/>
          <w:spacing w:val="-7"/>
          <w:sz w:val="22"/>
        </w:rPr>
        <w:t> </w:t>
      </w:r>
      <w:r>
        <w:rPr>
          <w:color w:val="231F20"/>
          <w:sz w:val="22"/>
        </w:rPr>
        <w:t>Laboratory</w:t>
      </w:r>
    </w:p>
    <w:p>
      <w:pPr>
        <w:spacing w:line="266" w:lineRule="auto" w:before="89"/>
        <w:ind w:left="160" w:right="0" w:firstLine="0"/>
        <w:jc w:val="left"/>
        <w:rPr>
          <w:sz w:val="22"/>
        </w:rPr>
      </w:pPr>
      <w:r>
        <w:rPr>
          <w:b/>
          <w:color w:val="231F20"/>
          <w:spacing w:val="-1"/>
          <w:sz w:val="22"/>
        </w:rPr>
        <w:t>Daniel</w:t>
      </w:r>
      <w:r>
        <w:rPr>
          <w:b/>
          <w:color w:val="231F20"/>
          <w:spacing w:val="-13"/>
          <w:sz w:val="22"/>
        </w:rPr>
        <w:t> </w:t>
      </w:r>
      <w:r>
        <w:rPr>
          <w:b/>
          <w:color w:val="231F20"/>
          <w:spacing w:val="-1"/>
          <w:sz w:val="22"/>
        </w:rPr>
        <w:t>Gallardo,</w:t>
      </w:r>
      <w:r>
        <w:rPr>
          <w:b/>
          <w:color w:val="231F20"/>
          <w:spacing w:val="-12"/>
          <w:sz w:val="22"/>
        </w:rPr>
        <w:t> </w:t>
      </w:r>
      <w:r>
        <w:rPr>
          <w:b/>
          <w:color w:val="231F20"/>
          <w:spacing w:val="-1"/>
          <w:sz w:val="22"/>
        </w:rPr>
        <w:t>MPH</w:t>
      </w:r>
      <w:r>
        <w:rPr>
          <w:b/>
          <w:color w:val="231F20"/>
          <w:spacing w:val="-13"/>
          <w:sz w:val="22"/>
        </w:rPr>
        <w:t> </w:t>
      </w:r>
      <w:r>
        <w:rPr>
          <w:color w:val="231F20"/>
          <w:spacing w:val="-1"/>
          <w:sz w:val="22"/>
        </w:rPr>
        <w:t>National</w:t>
      </w:r>
      <w:r>
        <w:rPr>
          <w:color w:val="231F20"/>
          <w:spacing w:val="-12"/>
          <w:sz w:val="22"/>
        </w:rPr>
        <w:t> </w:t>
      </w:r>
      <w:r>
        <w:rPr>
          <w:color w:val="231F20"/>
          <w:spacing w:val="-1"/>
          <w:sz w:val="22"/>
        </w:rPr>
        <w:t>Mental</w:t>
      </w:r>
      <w:r>
        <w:rPr>
          <w:color w:val="231F20"/>
          <w:spacing w:val="-13"/>
          <w:sz w:val="22"/>
        </w:rPr>
        <w:t> </w:t>
      </w:r>
      <w:r>
        <w:rPr>
          <w:color w:val="231F20"/>
          <w:spacing w:val="-1"/>
          <w:sz w:val="22"/>
        </w:rPr>
        <w:t>Health</w:t>
      </w:r>
      <w:r>
        <w:rPr>
          <w:color w:val="231F20"/>
          <w:spacing w:val="-13"/>
          <w:sz w:val="22"/>
        </w:rPr>
        <w:t> </w:t>
      </w:r>
      <w:r>
        <w:rPr>
          <w:color w:val="231F20"/>
          <w:spacing w:val="-1"/>
          <w:sz w:val="22"/>
        </w:rPr>
        <w:t>and</w:t>
      </w:r>
      <w:r>
        <w:rPr>
          <w:color w:val="231F20"/>
          <w:spacing w:val="-52"/>
          <w:sz w:val="22"/>
        </w:rPr>
        <w:t> </w:t>
      </w:r>
      <w:r>
        <w:rPr>
          <w:color w:val="231F20"/>
          <w:sz w:val="22"/>
        </w:rPr>
        <w:t>Substance</w:t>
      </w:r>
      <w:r>
        <w:rPr>
          <w:color w:val="231F20"/>
          <w:spacing w:val="-7"/>
          <w:sz w:val="22"/>
        </w:rPr>
        <w:t> </w:t>
      </w:r>
      <w:r>
        <w:rPr>
          <w:color w:val="231F20"/>
          <w:sz w:val="22"/>
        </w:rPr>
        <w:t>Use</w:t>
      </w:r>
      <w:r>
        <w:rPr>
          <w:color w:val="231F20"/>
          <w:spacing w:val="-7"/>
          <w:sz w:val="22"/>
        </w:rPr>
        <w:t> </w:t>
      </w:r>
      <w:r>
        <w:rPr>
          <w:color w:val="231F20"/>
          <w:sz w:val="22"/>
        </w:rPr>
        <w:t>Policy</w:t>
      </w:r>
      <w:r>
        <w:rPr>
          <w:color w:val="231F20"/>
          <w:spacing w:val="-7"/>
          <w:sz w:val="22"/>
        </w:rPr>
        <w:t> </w:t>
      </w:r>
      <w:r>
        <w:rPr>
          <w:color w:val="231F20"/>
          <w:sz w:val="22"/>
        </w:rPr>
        <w:t>Laboratory</w:t>
      </w:r>
    </w:p>
    <w:p>
      <w:pPr>
        <w:spacing w:before="88"/>
        <w:ind w:left="160" w:right="0" w:firstLine="0"/>
        <w:jc w:val="left"/>
        <w:rPr>
          <w:sz w:val="22"/>
        </w:rPr>
      </w:pPr>
      <w:r>
        <w:rPr>
          <w:b/>
          <w:color w:val="231F20"/>
          <w:spacing w:val="-2"/>
          <w:sz w:val="22"/>
        </w:rPr>
        <w:t>Neeraj</w:t>
      </w:r>
      <w:r>
        <w:rPr>
          <w:b/>
          <w:color w:val="231F20"/>
          <w:spacing w:val="-12"/>
          <w:sz w:val="22"/>
        </w:rPr>
        <w:t> </w:t>
      </w:r>
      <w:r>
        <w:rPr>
          <w:b/>
          <w:color w:val="231F20"/>
          <w:spacing w:val="-2"/>
          <w:sz w:val="22"/>
        </w:rPr>
        <w:t>Gandotra,</w:t>
      </w:r>
      <w:r>
        <w:rPr>
          <w:b/>
          <w:color w:val="231F20"/>
          <w:spacing w:val="-10"/>
          <w:sz w:val="22"/>
        </w:rPr>
        <w:t> </w:t>
      </w:r>
      <w:r>
        <w:rPr>
          <w:b/>
          <w:color w:val="231F20"/>
          <w:spacing w:val="-1"/>
          <w:sz w:val="22"/>
        </w:rPr>
        <w:t>MD</w:t>
      </w:r>
      <w:r>
        <w:rPr>
          <w:b/>
          <w:color w:val="231F20"/>
          <w:spacing w:val="-10"/>
          <w:sz w:val="22"/>
        </w:rPr>
        <w:t> </w:t>
      </w:r>
      <w:r>
        <w:rPr>
          <w:color w:val="231F20"/>
          <w:spacing w:val="-1"/>
          <w:sz w:val="22"/>
        </w:rPr>
        <w:t>Chief</w:t>
      </w:r>
      <w:r>
        <w:rPr>
          <w:color w:val="231F20"/>
          <w:spacing w:val="-10"/>
          <w:sz w:val="22"/>
        </w:rPr>
        <w:t> </w:t>
      </w:r>
      <w:r>
        <w:rPr>
          <w:color w:val="231F20"/>
          <w:spacing w:val="-1"/>
          <w:sz w:val="22"/>
        </w:rPr>
        <w:t>Medical</w:t>
      </w:r>
      <w:r>
        <w:rPr>
          <w:color w:val="231F20"/>
          <w:spacing w:val="-12"/>
          <w:sz w:val="22"/>
        </w:rPr>
        <w:t> </w:t>
      </w:r>
      <w:r>
        <w:rPr>
          <w:color w:val="231F20"/>
          <w:spacing w:val="-1"/>
          <w:sz w:val="22"/>
        </w:rPr>
        <w:t>Officer*</w:t>
      </w:r>
    </w:p>
    <w:p>
      <w:pPr>
        <w:spacing w:line="266" w:lineRule="auto" w:before="117"/>
        <w:ind w:left="160" w:right="0" w:firstLine="0"/>
        <w:jc w:val="left"/>
        <w:rPr>
          <w:sz w:val="22"/>
        </w:rPr>
      </w:pPr>
      <w:r>
        <w:rPr>
          <w:b/>
          <w:color w:val="231F20"/>
          <w:spacing w:val="-2"/>
          <w:sz w:val="22"/>
        </w:rPr>
        <w:t>Tanya</w:t>
      </w:r>
      <w:r>
        <w:rPr>
          <w:b/>
          <w:color w:val="231F20"/>
          <w:spacing w:val="-11"/>
          <w:sz w:val="22"/>
        </w:rPr>
        <w:t> </w:t>
      </w:r>
      <w:r>
        <w:rPr>
          <w:b/>
          <w:color w:val="231F20"/>
          <w:spacing w:val="-2"/>
          <w:sz w:val="22"/>
        </w:rPr>
        <w:t>Geiger,</w:t>
      </w:r>
      <w:r>
        <w:rPr>
          <w:b/>
          <w:color w:val="231F20"/>
          <w:spacing w:val="-10"/>
          <w:sz w:val="22"/>
        </w:rPr>
        <w:t> </w:t>
      </w:r>
      <w:r>
        <w:rPr>
          <w:b/>
          <w:color w:val="231F20"/>
          <w:spacing w:val="-2"/>
          <w:sz w:val="22"/>
        </w:rPr>
        <w:t>PhD,</w:t>
      </w:r>
      <w:r>
        <w:rPr>
          <w:b/>
          <w:color w:val="231F20"/>
          <w:spacing w:val="-11"/>
          <w:sz w:val="22"/>
        </w:rPr>
        <w:t> </w:t>
      </w:r>
      <w:r>
        <w:rPr>
          <w:b/>
          <w:color w:val="231F20"/>
          <w:spacing w:val="-2"/>
          <w:sz w:val="22"/>
        </w:rPr>
        <w:t>MPH</w:t>
      </w:r>
      <w:r>
        <w:rPr>
          <w:b/>
          <w:color w:val="231F20"/>
          <w:spacing w:val="-11"/>
          <w:sz w:val="22"/>
        </w:rPr>
        <w:t> </w:t>
      </w:r>
      <w:r>
        <w:rPr>
          <w:color w:val="231F20"/>
          <w:spacing w:val="-2"/>
          <w:sz w:val="22"/>
        </w:rPr>
        <w:t>National</w:t>
      </w:r>
      <w:r>
        <w:rPr>
          <w:color w:val="231F20"/>
          <w:spacing w:val="-12"/>
          <w:sz w:val="22"/>
        </w:rPr>
        <w:t> </w:t>
      </w:r>
      <w:r>
        <w:rPr>
          <w:color w:val="231F20"/>
          <w:spacing w:val="-2"/>
          <w:sz w:val="22"/>
        </w:rPr>
        <w:t>Mental</w:t>
      </w:r>
      <w:r>
        <w:rPr>
          <w:color w:val="231F20"/>
          <w:spacing w:val="-11"/>
          <w:sz w:val="22"/>
        </w:rPr>
        <w:t> </w:t>
      </w:r>
      <w:r>
        <w:rPr>
          <w:color w:val="231F20"/>
          <w:spacing w:val="-2"/>
          <w:sz w:val="22"/>
        </w:rPr>
        <w:t>Health</w:t>
      </w:r>
      <w:r>
        <w:rPr>
          <w:color w:val="231F20"/>
          <w:spacing w:val="-11"/>
          <w:sz w:val="22"/>
        </w:rPr>
        <w:t> </w:t>
      </w:r>
      <w:r>
        <w:rPr>
          <w:color w:val="231F20"/>
          <w:spacing w:val="-1"/>
          <w:sz w:val="22"/>
        </w:rPr>
        <w:t>and</w:t>
      </w:r>
      <w:r>
        <w:rPr>
          <w:color w:val="231F20"/>
          <w:spacing w:val="-52"/>
          <w:sz w:val="22"/>
        </w:rPr>
        <w:t> </w:t>
      </w:r>
      <w:r>
        <w:rPr>
          <w:color w:val="231F20"/>
          <w:sz w:val="22"/>
        </w:rPr>
        <w:t>Substance</w:t>
      </w:r>
      <w:r>
        <w:rPr>
          <w:color w:val="231F20"/>
          <w:spacing w:val="-7"/>
          <w:sz w:val="22"/>
        </w:rPr>
        <w:t> </w:t>
      </w:r>
      <w:r>
        <w:rPr>
          <w:color w:val="231F20"/>
          <w:sz w:val="22"/>
        </w:rPr>
        <w:t>Use</w:t>
      </w:r>
      <w:r>
        <w:rPr>
          <w:color w:val="231F20"/>
          <w:spacing w:val="-7"/>
          <w:sz w:val="22"/>
        </w:rPr>
        <w:t> </w:t>
      </w:r>
      <w:r>
        <w:rPr>
          <w:color w:val="231F20"/>
          <w:sz w:val="22"/>
        </w:rPr>
        <w:t>Policy</w:t>
      </w:r>
      <w:r>
        <w:rPr>
          <w:color w:val="231F20"/>
          <w:spacing w:val="-6"/>
          <w:sz w:val="22"/>
        </w:rPr>
        <w:t> </w:t>
      </w:r>
      <w:r>
        <w:rPr>
          <w:color w:val="231F20"/>
          <w:sz w:val="22"/>
        </w:rPr>
        <w:t>Laboratory*</w:t>
      </w:r>
    </w:p>
    <w:p>
      <w:pPr>
        <w:spacing w:before="89"/>
        <w:ind w:left="160" w:right="0" w:firstLine="0"/>
        <w:jc w:val="left"/>
        <w:rPr>
          <w:sz w:val="22"/>
        </w:rPr>
      </w:pPr>
      <w:r>
        <w:rPr>
          <w:b/>
          <w:color w:val="231F20"/>
          <w:spacing w:val="-3"/>
          <w:sz w:val="22"/>
        </w:rPr>
        <w:t>Kirk</w:t>
      </w:r>
      <w:r>
        <w:rPr>
          <w:b/>
          <w:color w:val="231F20"/>
          <w:spacing w:val="-4"/>
          <w:sz w:val="22"/>
        </w:rPr>
        <w:t> </w:t>
      </w:r>
      <w:r>
        <w:rPr>
          <w:b/>
          <w:color w:val="231F20"/>
          <w:spacing w:val="-3"/>
          <w:sz w:val="22"/>
        </w:rPr>
        <w:t>James,</w:t>
      </w:r>
      <w:r>
        <w:rPr>
          <w:b/>
          <w:color w:val="231F20"/>
          <w:spacing w:val="-4"/>
          <w:sz w:val="22"/>
        </w:rPr>
        <w:t> </w:t>
      </w:r>
      <w:r>
        <w:rPr>
          <w:b/>
          <w:color w:val="231F20"/>
          <w:spacing w:val="-2"/>
          <w:sz w:val="22"/>
        </w:rPr>
        <w:t>MD</w:t>
      </w:r>
      <w:r>
        <w:rPr>
          <w:b/>
          <w:color w:val="231F20"/>
          <w:spacing w:val="-3"/>
          <w:sz w:val="22"/>
        </w:rPr>
        <w:t> </w:t>
      </w:r>
      <w:r>
        <w:rPr>
          <w:color w:val="231F20"/>
          <w:spacing w:val="-2"/>
          <w:sz w:val="22"/>
        </w:rPr>
        <w:t>Center</w:t>
      </w:r>
      <w:r>
        <w:rPr>
          <w:color w:val="231F20"/>
          <w:spacing w:val="-4"/>
          <w:sz w:val="22"/>
        </w:rPr>
        <w:t> </w:t>
      </w:r>
      <w:r>
        <w:rPr>
          <w:color w:val="231F20"/>
          <w:spacing w:val="-2"/>
          <w:sz w:val="22"/>
        </w:rPr>
        <w:t>for</w:t>
      </w:r>
      <w:r>
        <w:rPr>
          <w:color w:val="231F20"/>
          <w:spacing w:val="-3"/>
          <w:sz w:val="22"/>
        </w:rPr>
        <w:t> </w:t>
      </w:r>
      <w:r>
        <w:rPr>
          <w:color w:val="231F20"/>
          <w:spacing w:val="-2"/>
          <w:sz w:val="22"/>
        </w:rPr>
        <w:t>Substance</w:t>
      </w:r>
      <w:r>
        <w:rPr>
          <w:color w:val="231F20"/>
          <w:spacing w:val="-17"/>
          <w:sz w:val="22"/>
        </w:rPr>
        <w:t> </w:t>
      </w:r>
      <w:r>
        <w:rPr>
          <w:color w:val="231F20"/>
          <w:spacing w:val="-2"/>
          <w:sz w:val="22"/>
        </w:rPr>
        <w:t>Abuse</w:t>
      </w:r>
      <w:r>
        <w:rPr>
          <w:color w:val="231F20"/>
          <w:spacing w:val="-8"/>
          <w:sz w:val="22"/>
        </w:rPr>
        <w:t> </w:t>
      </w:r>
      <w:r>
        <w:rPr>
          <w:color w:val="231F20"/>
          <w:spacing w:val="-2"/>
          <w:sz w:val="22"/>
        </w:rPr>
        <w:t>Treatment</w:t>
      </w:r>
    </w:p>
    <w:p>
      <w:pPr>
        <w:spacing w:line="266" w:lineRule="auto" w:before="207"/>
        <w:ind w:left="160" w:right="146" w:firstLine="0"/>
        <w:jc w:val="left"/>
        <w:rPr>
          <w:sz w:val="22"/>
        </w:rPr>
      </w:pPr>
      <w:r>
        <w:rPr>
          <w:b/>
          <w:color w:val="231F20"/>
          <w:spacing w:val="-3"/>
          <w:sz w:val="22"/>
        </w:rPr>
        <w:t>Donelle Johnson, </w:t>
      </w:r>
      <w:r>
        <w:rPr>
          <w:b/>
          <w:color w:val="231F20"/>
          <w:spacing w:val="-2"/>
          <w:sz w:val="22"/>
        </w:rPr>
        <w:t>PhD, MHSA </w:t>
      </w:r>
      <w:r>
        <w:rPr>
          <w:color w:val="231F20"/>
          <w:spacing w:val="-2"/>
          <w:sz w:val="22"/>
        </w:rPr>
        <w:t>National Mental Health</w:t>
      </w:r>
      <w:r>
        <w:rPr>
          <w:color w:val="231F20"/>
          <w:spacing w:val="-52"/>
          <w:sz w:val="22"/>
        </w:rPr>
        <w:t> </w:t>
      </w:r>
      <w:r>
        <w:rPr>
          <w:color w:val="231F20"/>
          <w:sz w:val="22"/>
        </w:rPr>
        <w:t>and</w:t>
      </w:r>
      <w:r>
        <w:rPr>
          <w:color w:val="231F20"/>
          <w:spacing w:val="-7"/>
          <w:sz w:val="22"/>
        </w:rPr>
        <w:t> </w:t>
      </w:r>
      <w:r>
        <w:rPr>
          <w:color w:val="231F20"/>
          <w:sz w:val="22"/>
        </w:rPr>
        <w:t>Substance</w:t>
      </w:r>
      <w:r>
        <w:rPr>
          <w:color w:val="231F20"/>
          <w:spacing w:val="-7"/>
          <w:sz w:val="22"/>
        </w:rPr>
        <w:t> </w:t>
      </w:r>
      <w:r>
        <w:rPr>
          <w:color w:val="231F20"/>
          <w:sz w:val="22"/>
        </w:rPr>
        <w:t>Use</w:t>
      </w:r>
      <w:r>
        <w:rPr>
          <w:color w:val="231F20"/>
          <w:spacing w:val="-6"/>
          <w:sz w:val="22"/>
        </w:rPr>
        <w:t> </w:t>
      </w:r>
      <w:r>
        <w:rPr>
          <w:color w:val="231F20"/>
          <w:sz w:val="22"/>
        </w:rPr>
        <w:t>Policy</w:t>
      </w:r>
      <w:r>
        <w:rPr>
          <w:color w:val="231F20"/>
          <w:spacing w:val="-7"/>
          <w:sz w:val="22"/>
        </w:rPr>
        <w:t> </w:t>
      </w:r>
      <w:r>
        <w:rPr>
          <w:color w:val="231F20"/>
          <w:sz w:val="22"/>
        </w:rPr>
        <w:t>Laboratory*</w:t>
      </w:r>
    </w:p>
    <w:p>
      <w:pPr>
        <w:pStyle w:val="Heading6"/>
        <w:spacing w:before="177"/>
      </w:pPr>
      <w:r>
        <w:rPr>
          <w:color w:val="CE384B"/>
        </w:rPr>
        <w:t>Expert Panel</w:t>
      </w:r>
    </w:p>
    <w:p>
      <w:pPr>
        <w:spacing w:line="266" w:lineRule="auto" w:before="118"/>
        <w:ind w:left="160" w:right="0" w:firstLine="0"/>
        <w:jc w:val="left"/>
        <w:rPr>
          <w:sz w:val="22"/>
        </w:rPr>
      </w:pPr>
      <w:r>
        <w:rPr>
          <w:b/>
          <w:color w:val="231F20"/>
          <w:spacing w:val="-1"/>
          <w:sz w:val="22"/>
        </w:rPr>
        <w:t>Michael</w:t>
      </w:r>
      <w:r>
        <w:rPr>
          <w:b/>
          <w:color w:val="231F20"/>
          <w:spacing w:val="-12"/>
          <w:sz w:val="22"/>
        </w:rPr>
        <w:t> </w:t>
      </w:r>
      <w:r>
        <w:rPr>
          <w:b/>
          <w:color w:val="231F20"/>
          <w:spacing w:val="-1"/>
          <w:sz w:val="22"/>
        </w:rPr>
        <w:t>B.</w:t>
      </w:r>
      <w:r>
        <w:rPr>
          <w:b/>
          <w:color w:val="231F20"/>
          <w:spacing w:val="-12"/>
          <w:sz w:val="22"/>
        </w:rPr>
        <w:t> </w:t>
      </w:r>
      <w:r>
        <w:rPr>
          <w:b/>
          <w:color w:val="231F20"/>
          <w:spacing w:val="-1"/>
          <w:sz w:val="22"/>
        </w:rPr>
        <w:t>Blank,</w:t>
      </w:r>
      <w:r>
        <w:rPr>
          <w:b/>
          <w:color w:val="231F20"/>
          <w:spacing w:val="-12"/>
          <w:sz w:val="22"/>
        </w:rPr>
        <w:t> </w:t>
      </w:r>
      <w:r>
        <w:rPr>
          <w:b/>
          <w:color w:val="231F20"/>
          <w:spacing w:val="-1"/>
          <w:sz w:val="22"/>
        </w:rPr>
        <w:t>PhD</w:t>
      </w:r>
      <w:r>
        <w:rPr>
          <w:b/>
          <w:color w:val="231F20"/>
          <w:spacing w:val="-12"/>
          <w:sz w:val="22"/>
        </w:rPr>
        <w:t> </w:t>
      </w:r>
      <w:r>
        <w:rPr>
          <w:color w:val="231F20"/>
          <w:spacing w:val="-1"/>
          <w:sz w:val="22"/>
        </w:rPr>
        <w:t>University</w:t>
      </w:r>
      <w:r>
        <w:rPr>
          <w:color w:val="231F20"/>
          <w:spacing w:val="-13"/>
          <w:sz w:val="22"/>
        </w:rPr>
        <w:t> </w:t>
      </w:r>
      <w:r>
        <w:rPr>
          <w:color w:val="231F20"/>
          <w:spacing w:val="-1"/>
          <w:sz w:val="22"/>
        </w:rPr>
        <w:t>of</w:t>
      </w:r>
      <w:r>
        <w:rPr>
          <w:color w:val="231F20"/>
          <w:spacing w:val="-12"/>
          <w:sz w:val="22"/>
        </w:rPr>
        <w:t> </w:t>
      </w:r>
      <w:r>
        <w:rPr>
          <w:color w:val="231F20"/>
          <w:spacing w:val="-1"/>
          <w:sz w:val="22"/>
        </w:rPr>
        <w:t>Pennsylvania</w:t>
      </w:r>
      <w:r>
        <w:rPr>
          <w:color w:val="231F20"/>
          <w:spacing w:val="-52"/>
          <w:sz w:val="22"/>
        </w:rPr>
        <w:t> </w:t>
      </w:r>
      <w:r>
        <w:rPr>
          <w:color w:val="231F20"/>
          <w:sz w:val="22"/>
        </w:rPr>
        <w:t>Perelman</w:t>
      </w:r>
      <w:r>
        <w:rPr>
          <w:color w:val="231F20"/>
          <w:spacing w:val="-7"/>
          <w:sz w:val="22"/>
        </w:rPr>
        <w:t> </w:t>
      </w:r>
      <w:r>
        <w:rPr>
          <w:color w:val="231F20"/>
          <w:sz w:val="22"/>
        </w:rPr>
        <w:t>School</w:t>
      </w:r>
      <w:r>
        <w:rPr>
          <w:color w:val="231F20"/>
          <w:spacing w:val="-6"/>
          <w:sz w:val="22"/>
        </w:rPr>
        <w:t> </w:t>
      </w:r>
      <w:r>
        <w:rPr>
          <w:color w:val="231F20"/>
          <w:sz w:val="22"/>
        </w:rPr>
        <w:t>of</w:t>
      </w:r>
      <w:r>
        <w:rPr>
          <w:color w:val="231F20"/>
          <w:spacing w:val="-6"/>
          <w:sz w:val="22"/>
        </w:rPr>
        <w:t> </w:t>
      </w:r>
      <w:r>
        <w:rPr>
          <w:color w:val="231F20"/>
          <w:sz w:val="22"/>
        </w:rPr>
        <w:t>Medicine</w:t>
      </w:r>
    </w:p>
    <w:p>
      <w:pPr>
        <w:spacing w:line="266" w:lineRule="auto" w:before="89"/>
        <w:ind w:left="160" w:right="322" w:firstLine="0"/>
        <w:jc w:val="left"/>
        <w:rPr>
          <w:sz w:val="22"/>
        </w:rPr>
      </w:pPr>
      <w:r>
        <w:rPr>
          <w:b/>
          <w:color w:val="231F20"/>
          <w:spacing w:val="-1"/>
          <w:sz w:val="22"/>
        </w:rPr>
        <w:t>Katie</w:t>
      </w:r>
      <w:r>
        <w:rPr>
          <w:b/>
          <w:color w:val="231F20"/>
          <w:spacing w:val="-11"/>
          <w:sz w:val="22"/>
        </w:rPr>
        <w:t> </w:t>
      </w:r>
      <w:r>
        <w:rPr>
          <w:b/>
          <w:color w:val="231F20"/>
          <w:spacing w:val="-1"/>
          <w:sz w:val="22"/>
        </w:rPr>
        <w:t>Biello,</w:t>
      </w:r>
      <w:r>
        <w:rPr>
          <w:b/>
          <w:color w:val="231F20"/>
          <w:spacing w:val="-11"/>
          <w:sz w:val="22"/>
        </w:rPr>
        <w:t> </w:t>
      </w:r>
      <w:r>
        <w:rPr>
          <w:b/>
          <w:color w:val="231F20"/>
          <w:spacing w:val="-1"/>
          <w:sz w:val="22"/>
        </w:rPr>
        <w:t>PhD,</w:t>
      </w:r>
      <w:r>
        <w:rPr>
          <w:b/>
          <w:color w:val="231F20"/>
          <w:spacing w:val="-11"/>
          <w:sz w:val="22"/>
        </w:rPr>
        <w:t> </w:t>
      </w:r>
      <w:r>
        <w:rPr>
          <w:b/>
          <w:color w:val="231F20"/>
          <w:spacing w:val="-1"/>
          <w:sz w:val="22"/>
        </w:rPr>
        <w:t>MPH</w:t>
      </w:r>
      <w:r>
        <w:rPr>
          <w:b/>
          <w:color w:val="231F20"/>
          <w:spacing w:val="-12"/>
          <w:sz w:val="22"/>
        </w:rPr>
        <w:t> </w:t>
      </w:r>
      <w:r>
        <w:rPr>
          <w:color w:val="231F20"/>
          <w:spacing w:val="-1"/>
          <w:sz w:val="22"/>
        </w:rPr>
        <w:t>Brown</w:t>
      </w:r>
      <w:r>
        <w:rPr>
          <w:color w:val="231F20"/>
          <w:spacing w:val="-10"/>
          <w:sz w:val="22"/>
        </w:rPr>
        <w:t> </w:t>
      </w:r>
      <w:r>
        <w:rPr>
          <w:color w:val="231F20"/>
          <w:spacing w:val="-1"/>
          <w:sz w:val="22"/>
        </w:rPr>
        <w:t>University</w:t>
      </w:r>
      <w:r>
        <w:rPr>
          <w:color w:val="231F20"/>
          <w:spacing w:val="-12"/>
          <w:sz w:val="22"/>
        </w:rPr>
        <w:t> </w:t>
      </w:r>
      <w:r>
        <w:rPr>
          <w:color w:val="231F20"/>
          <w:sz w:val="22"/>
        </w:rPr>
        <w:t>School</w:t>
      </w:r>
      <w:r>
        <w:rPr>
          <w:color w:val="231F20"/>
          <w:spacing w:val="-12"/>
          <w:sz w:val="22"/>
        </w:rPr>
        <w:t> </w:t>
      </w:r>
      <w:r>
        <w:rPr>
          <w:color w:val="231F20"/>
          <w:sz w:val="22"/>
        </w:rPr>
        <w:t>of</w:t>
      </w:r>
      <w:r>
        <w:rPr>
          <w:color w:val="231F20"/>
          <w:spacing w:val="-52"/>
          <w:sz w:val="22"/>
        </w:rPr>
        <w:t> </w:t>
      </w:r>
      <w:r>
        <w:rPr>
          <w:color w:val="231F20"/>
          <w:sz w:val="22"/>
        </w:rPr>
        <w:t>Public</w:t>
      </w:r>
      <w:r>
        <w:rPr>
          <w:color w:val="231F20"/>
          <w:spacing w:val="-7"/>
          <w:sz w:val="22"/>
        </w:rPr>
        <w:t> </w:t>
      </w:r>
      <w:r>
        <w:rPr>
          <w:color w:val="231F20"/>
          <w:sz w:val="22"/>
        </w:rPr>
        <w:t>Health,</w:t>
      </w:r>
      <w:r>
        <w:rPr>
          <w:color w:val="231F20"/>
          <w:spacing w:val="-10"/>
          <w:sz w:val="22"/>
        </w:rPr>
        <w:t> </w:t>
      </w:r>
      <w:r>
        <w:rPr>
          <w:color w:val="231F20"/>
          <w:sz w:val="22"/>
        </w:rPr>
        <w:t>The</w:t>
      </w:r>
      <w:r>
        <w:rPr>
          <w:color w:val="231F20"/>
          <w:spacing w:val="-6"/>
          <w:sz w:val="22"/>
        </w:rPr>
        <w:t> </w:t>
      </w:r>
      <w:r>
        <w:rPr>
          <w:color w:val="231F20"/>
          <w:sz w:val="22"/>
        </w:rPr>
        <w:t>Fenway</w:t>
      </w:r>
      <w:r>
        <w:rPr>
          <w:color w:val="231F20"/>
          <w:spacing w:val="-7"/>
          <w:sz w:val="22"/>
        </w:rPr>
        <w:t> </w:t>
      </w:r>
      <w:r>
        <w:rPr>
          <w:color w:val="231F20"/>
          <w:sz w:val="22"/>
        </w:rPr>
        <w:t>Institute</w:t>
      </w:r>
    </w:p>
    <w:p>
      <w:pPr>
        <w:spacing w:line="266" w:lineRule="auto" w:before="88"/>
        <w:ind w:left="160" w:right="0" w:firstLine="0"/>
        <w:jc w:val="left"/>
        <w:rPr>
          <w:sz w:val="22"/>
        </w:rPr>
      </w:pPr>
      <w:r>
        <w:rPr>
          <w:b/>
          <w:color w:val="231F20"/>
          <w:spacing w:val="-1"/>
          <w:sz w:val="22"/>
        </w:rPr>
        <w:t>Deb</w:t>
      </w:r>
      <w:r>
        <w:rPr>
          <w:b/>
          <w:color w:val="231F20"/>
          <w:spacing w:val="-12"/>
          <w:sz w:val="22"/>
        </w:rPr>
        <w:t> </w:t>
      </w:r>
      <w:r>
        <w:rPr>
          <w:b/>
          <w:color w:val="231F20"/>
          <w:spacing w:val="-1"/>
          <w:sz w:val="22"/>
        </w:rPr>
        <w:t>Bourne,</w:t>
      </w:r>
      <w:r>
        <w:rPr>
          <w:b/>
          <w:color w:val="231F20"/>
          <w:spacing w:val="-11"/>
          <w:sz w:val="22"/>
        </w:rPr>
        <w:t> </w:t>
      </w:r>
      <w:r>
        <w:rPr>
          <w:b/>
          <w:color w:val="231F20"/>
          <w:spacing w:val="-1"/>
          <w:sz w:val="22"/>
        </w:rPr>
        <w:t>MD,</w:t>
      </w:r>
      <w:r>
        <w:rPr>
          <w:b/>
          <w:color w:val="231F20"/>
          <w:spacing w:val="-11"/>
          <w:sz w:val="22"/>
        </w:rPr>
        <w:t> </w:t>
      </w:r>
      <w:r>
        <w:rPr>
          <w:b/>
          <w:color w:val="231F20"/>
          <w:spacing w:val="-1"/>
          <w:sz w:val="22"/>
        </w:rPr>
        <w:t>MSW</w:t>
      </w:r>
      <w:r>
        <w:rPr>
          <w:b/>
          <w:color w:val="231F20"/>
          <w:spacing w:val="-11"/>
          <w:sz w:val="22"/>
        </w:rPr>
        <w:t> </w:t>
      </w:r>
      <w:r>
        <w:rPr>
          <w:color w:val="231F20"/>
          <w:spacing w:val="-1"/>
          <w:sz w:val="22"/>
        </w:rPr>
        <w:t>San</w:t>
      </w:r>
      <w:r>
        <w:rPr>
          <w:color w:val="231F20"/>
          <w:spacing w:val="-12"/>
          <w:sz w:val="22"/>
        </w:rPr>
        <w:t> </w:t>
      </w:r>
      <w:r>
        <w:rPr>
          <w:color w:val="231F20"/>
          <w:spacing w:val="-1"/>
          <w:sz w:val="22"/>
        </w:rPr>
        <w:t>Francisco</w:t>
      </w:r>
      <w:r>
        <w:rPr>
          <w:color w:val="231F20"/>
          <w:spacing w:val="-12"/>
          <w:sz w:val="22"/>
        </w:rPr>
        <w:t> </w:t>
      </w:r>
      <w:r>
        <w:rPr>
          <w:color w:val="231F20"/>
          <w:spacing w:val="-1"/>
          <w:sz w:val="22"/>
        </w:rPr>
        <w:t>Health</w:t>
      </w:r>
      <w:r>
        <w:rPr>
          <w:color w:val="231F20"/>
          <w:spacing w:val="-12"/>
          <w:sz w:val="22"/>
        </w:rPr>
        <w:t> </w:t>
      </w:r>
      <w:r>
        <w:rPr>
          <w:color w:val="231F20"/>
          <w:spacing w:val="-1"/>
          <w:sz w:val="22"/>
        </w:rPr>
        <w:t>Network,</w:t>
      </w:r>
      <w:r>
        <w:rPr>
          <w:color w:val="231F20"/>
          <w:spacing w:val="-52"/>
          <w:sz w:val="22"/>
        </w:rPr>
        <w:t> </w:t>
      </w:r>
      <w:r>
        <w:rPr>
          <w:color w:val="231F20"/>
          <w:sz w:val="22"/>
        </w:rPr>
        <w:t>San</w:t>
      </w:r>
      <w:r>
        <w:rPr>
          <w:color w:val="231F20"/>
          <w:spacing w:val="-9"/>
          <w:sz w:val="22"/>
        </w:rPr>
        <w:t> </w:t>
      </w:r>
      <w:r>
        <w:rPr>
          <w:color w:val="231F20"/>
          <w:sz w:val="22"/>
        </w:rPr>
        <w:t>Francisco</w:t>
      </w:r>
      <w:r>
        <w:rPr>
          <w:color w:val="231F20"/>
          <w:spacing w:val="-8"/>
          <w:sz w:val="22"/>
        </w:rPr>
        <w:t> </w:t>
      </w:r>
      <w:r>
        <w:rPr>
          <w:color w:val="231F20"/>
          <w:sz w:val="22"/>
        </w:rPr>
        <w:t>Department</w:t>
      </w:r>
      <w:r>
        <w:rPr>
          <w:color w:val="231F20"/>
          <w:spacing w:val="-8"/>
          <w:sz w:val="22"/>
        </w:rPr>
        <w:t> </w:t>
      </w:r>
      <w:r>
        <w:rPr>
          <w:color w:val="231F20"/>
          <w:sz w:val="22"/>
        </w:rPr>
        <w:t>of</w:t>
      </w:r>
      <w:r>
        <w:rPr>
          <w:color w:val="231F20"/>
          <w:spacing w:val="-7"/>
          <w:sz w:val="22"/>
        </w:rPr>
        <w:t> </w:t>
      </w:r>
      <w:r>
        <w:rPr>
          <w:color w:val="231F20"/>
          <w:sz w:val="22"/>
        </w:rPr>
        <w:t>Public</w:t>
      </w:r>
      <w:r>
        <w:rPr>
          <w:color w:val="231F20"/>
          <w:spacing w:val="-8"/>
          <w:sz w:val="22"/>
        </w:rPr>
        <w:t> </w:t>
      </w:r>
      <w:r>
        <w:rPr>
          <w:color w:val="231F20"/>
          <w:sz w:val="22"/>
        </w:rPr>
        <w:t>Health</w:t>
      </w:r>
    </w:p>
    <w:p>
      <w:pPr>
        <w:spacing w:line="266" w:lineRule="auto" w:before="89"/>
        <w:ind w:left="160" w:right="0" w:firstLine="0"/>
        <w:jc w:val="left"/>
        <w:rPr>
          <w:sz w:val="22"/>
        </w:rPr>
      </w:pPr>
      <w:r>
        <w:rPr>
          <w:b/>
          <w:color w:val="231F20"/>
          <w:spacing w:val="-2"/>
          <w:sz w:val="22"/>
        </w:rPr>
        <w:t>Redonna</w:t>
      </w:r>
      <w:r>
        <w:rPr>
          <w:b/>
          <w:color w:val="231F20"/>
          <w:spacing w:val="-11"/>
          <w:sz w:val="22"/>
        </w:rPr>
        <w:t> </w:t>
      </w:r>
      <w:r>
        <w:rPr>
          <w:b/>
          <w:color w:val="231F20"/>
          <w:spacing w:val="-2"/>
          <w:sz w:val="22"/>
        </w:rPr>
        <w:t>Chandler,</w:t>
      </w:r>
      <w:r>
        <w:rPr>
          <w:b/>
          <w:color w:val="231F20"/>
          <w:spacing w:val="-10"/>
          <w:sz w:val="22"/>
        </w:rPr>
        <w:t> </w:t>
      </w:r>
      <w:r>
        <w:rPr>
          <w:b/>
          <w:color w:val="231F20"/>
          <w:spacing w:val="-2"/>
          <w:sz w:val="22"/>
        </w:rPr>
        <w:t>PhD</w:t>
      </w:r>
      <w:r>
        <w:rPr>
          <w:b/>
          <w:color w:val="231F20"/>
          <w:spacing w:val="-10"/>
          <w:sz w:val="22"/>
        </w:rPr>
        <w:t> </w:t>
      </w:r>
      <w:r>
        <w:rPr>
          <w:color w:val="231F20"/>
          <w:spacing w:val="-2"/>
          <w:sz w:val="22"/>
        </w:rPr>
        <w:t>National</w:t>
      </w:r>
      <w:r>
        <w:rPr>
          <w:color w:val="231F20"/>
          <w:spacing w:val="-11"/>
          <w:sz w:val="22"/>
        </w:rPr>
        <w:t> </w:t>
      </w:r>
      <w:r>
        <w:rPr>
          <w:color w:val="231F20"/>
          <w:spacing w:val="-2"/>
          <w:sz w:val="22"/>
        </w:rPr>
        <w:t>Institute</w:t>
      </w:r>
      <w:r>
        <w:rPr>
          <w:color w:val="231F20"/>
          <w:spacing w:val="-10"/>
          <w:sz w:val="22"/>
        </w:rPr>
        <w:t> </w:t>
      </w:r>
      <w:r>
        <w:rPr>
          <w:color w:val="231F20"/>
          <w:spacing w:val="-1"/>
          <w:sz w:val="22"/>
        </w:rPr>
        <w:t>on</w:t>
      </w:r>
      <w:r>
        <w:rPr>
          <w:color w:val="231F20"/>
          <w:spacing w:val="-10"/>
          <w:sz w:val="22"/>
        </w:rPr>
        <w:t> </w:t>
      </w:r>
      <w:r>
        <w:rPr>
          <w:color w:val="231F20"/>
          <w:spacing w:val="-1"/>
          <w:sz w:val="22"/>
        </w:rPr>
        <w:t>Drug</w:t>
      </w:r>
      <w:r>
        <w:rPr>
          <w:color w:val="231F20"/>
          <w:spacing w:val="-52"/>
          <w:sz w:val="22"/>
        </w:rPr>
        <w:t> </w:t>
      </w:r>
      <w:r>
        <w:rPr>
          <w:color w:val="231F20"/>
          <w:sz w:val="22"/>
        </w:rPr>
        <w:t>Abuse</w:t>
      </w:r>
      <w:r>
        <w:rPr>
          <w:color w:val="231F20"/>
          <w:spacing w:val="-6"/>
          <w:sz w:val="22"/>
        </w:rPr>
        <w:t> </w:t>
      </w:r>
      <w:r>
        <w:rPr>
          <w:color w:val="231F20"/>
          <w:sz w:val="22"/>
        </w:rPr>
        <w:t>(NIDA)</w:t>
      </w:r>
    </w:p>
    <w:p>
      <w:pPr>
        <w:pStyle w:val="BodyText"/>
        <w:spacing w:line="266" w:lineRule="auto" w:before="88"/>
        <w:ind w:left="160"/>
      </w:pPr>
      <w:r>
        <w:rPr>
          <w:b/>
          <w:color w:val="231F20"/>
          <w:spacing w:val="-2"/>
        </w:rPr>
        <w:t>Francine</w:t>
      </w:r>
      <w:r>
        <w:rPr>
          <w:b/>
          <w:color w:val="231F20"/>
          <w:spacing w:val="-10"/>
        </w:rPr>
        <w:t> </w:t>
      </w:r>
      <w:r>
        <w:rPr>
          <w:b/>
          <w:color w:val="231F20"/>
          <w:spacing w:val="-2"/>
        </w:rPr>
        <w:t>Cournous,</w:t>
      </w:r>
      <w:r>
        <w:rPr>
          <w:b/>
          <w:color w:val="231F20"/>
          <w:spacing w:val="-11"/>
        </w:rPr>
        <w:t> </w:t>
      </w:r>
      <w:r>
        <w:rPr>
          <w:b/>
          <w:color w:val="231F20"/>
          <w:spacing w:val="-2"/>
        </w:rPr>
        <w:t>MD</w:t>
      </w:r>
      <w:r>
        <w:rPr>
          <w:b/>
          <w:color w:val="231F20"/>
          <w:spacing w:val="-9"/>
        </w:rPr>
        <w:t> </w:t>
      </w:r>
      <w:r>
        <w:rPr>
          <w:color w:val="231F20"/>
          <w:spacing w:val="-2"/>
        </w:rPr>
        <w:t>Columbia</w:t>
      </w:r>
      <w:r>
        <w:rPr>
          <w:color w:val="231F20"/>
          <w:spacing w:val="-10"/>
        </w:rPr>
        <w:t> </w:t>
      </w:r>
      <w:r>
        <w:rPr>
          <w:color w:val="231F20"/>
          <w:spacing w:val="-1"/>
        </w:rPr>
        <w:t>University</w:t>
      </w:r>
      <w:r>
        <w:rPr>
          <w:color w:val="231F20"/>
          <w:spacing w:val="-10"/>
        </w:rPr>
        <w:t> </w:t>
      </w:r>
      <w:r>
        <w:rPr>
          <w:color w:val="231F20"/>
          <w:spacing w:val="-1"/>
        </w:rPr>
        <w:t>Mailman</w:t>
      </w:r>
      <w:r>
        <w:rPr>
          <w:color w:val="231F20"/>
          <w:spacing w:val="-52"/>
        </w:rPr>
        <w:t> </w:t>
      </w:r>
      <w:r>
        <w:rPr>
          <w:color w:val="231F20"/>
          <w:spacing w:val="-3"/>
        </w:rPr>
        <w:t>School of Public Health, Northeast/Caribbean </w:t>
      </w:r>
      <w:r>
        <w:rPr>
          <w:color w:val="231F20"/>
          <w:spacing w:val="-2"/>
        </w:rPr>
        <w:t>AIDS</w:t>
      </w:r>
      <w:r>
        <w:rPr>
          <w:color w:val="231F20"/>
          <w:spacing w:val="-1"/>
        </w:rPr>
        <w:t> </w:t>
      </w:r>
      <w:r>
        <w:rPr>
          <w:color w:val="231F20"/>
        </w:rPr>
        <w:t>Education</w:t>
      </w:r>
      <w:r>
        <w:rPr>
          <w:color w:val="231F20"/>
          <w:spacing w:val="-6"/>
        </w:rPr>
        <w:t> </w:t>
      </w:r>
      <w:r>
        <w:rPr>
          <w:color w:val="231F20"/>
        </w:rPr>
        <w:t>and</w:t>
      </w:r>
      <w:r>
        <w:rPr>
          <w:color w:val="231F20"/>
          <w:spacing w:val="-9"/>
        </w:rPr>
        <w:t> </w:t>
      </w:r>
      <w:r>
        <w:rPr>
          <w:color w:val="231F20"/>
        </w:rPr>
        <w:t>Training</w:t>
      </w:r>
      <w:r>
        <w:rPr>
          <w:color w:val="231F20"/>
          <w:spacing w:val="-5"/>
        </w:rPr>
        <w:t> </w:t>
      </w:r>
      <w:r>
        <w:rPr>
          <w:color w:val="231F20"/>
        </w:rPr>
        <w:t>Center</w:t>
      </w:r>
    </w:p>
    <w:p>
      <w:pPr>
        <w:pStyle w:val="BodyText"/>
        <w:spacing w:line="266" w:lineRule="auto" w:before="88"/>
        <w:ind w:left="160"/>
      </w:pPr>
      <w:r>
        <w:rPr>
          <w:b/>
          <w:color w:val="231F20"/>
        </w:rPr>
        <w:t>Carlos Del Rio, MD </w:t>
      </w:r>
      <w:r>
        <w:rPr>
          <w:color w:val="231F20"/>
        </w:rPr>
        <w:t>Emory University School of</w:t>
      </w:r>
      <w:r>
        <w:rPr>
          <w:color w:val="231F20"/>
          <w:spacing w:val="1"/>
        </w:rPr>
        <w:t> </w:t>
      </w:r>
      <w:r>
        <w:rPr>
          <w:color w:val="231F20"/>
          <w:spacing w:val="-2"/>
        </w:rPr>
        <w:t>Medicine,</w:t>
      </w:r>
      <w:r>
        <w:rPr>
          <w:color w:val="231F20"/>
          <w:spacing w:val="-12"/>
        </w:rPr>
        <w:t> </w:t>
      </w:r>
      <w:r>
        <w:rPr>
          <w:color w:val="231F20"/>
          <w:spacing w:val="-2"/>
        </w:rPr>
        <w:t>Rollins</w:t>
      </w:r>
      <w:r>
        <w:rPr>
          <w:color w:val="231F20"/>
          <w:spacing w:val="-11"/>
        </w:rPr>
        <w:t> </w:t>
      </w:r>
      <w:r>
        <w:rPr>
          <w:color w:val="231F20"/>
          <w:spacing w:val="-2"/>
        </w:rPr>
        <w:t>School</w:t>
      </w:r>
      <w:r>
        <w:rPr>
          <w:color w:val="231F20"/>
          <w:spacing w:val="-11"/>
        </w:rPr>
        <w:t> </w:t>
      </w:r>
      <w:r>
        <w:rPr>
          <w:color w:val="231F20"/>
          <w:spacing w:val="-1"/>
        </w:rPr>
        <w:t>of</w:t>
      </w:r>
      <w:r>
        <w:rPr>
          <w:color w:val="231F20"/>
          <w:spacing w:val="-11"/>
        </w:rPr>
        <w:t> </w:t>
      </w:r>
      <w:r>
        <w:rPr>
          <w:color w:val="231F20"/>
          <w:spacing w:val="-1"/>
        </w:rPr>
        <w:t>Public</w:t>
      </w:r>
      <w:r>
        <w:rPr>
          <w:color w:val="231F20"/>
          <w:spacing w:val="-12"/>
        </w:rPr>
        <w:t> </w:t>
      </w:r>
      <w:r>
        <w:rPr>
          <w:color w:val="231F20"/>
          <w:spacing w:val="-1"/>
        </w:rPr>
        <w:t>Health.</w:t>
      </w:r>
      <w:r>
        <w:rPr>
          <w:color w:val="231F20"/>
          <w:spacing w:val="-11"/>
        </w:rPr>
        <w:t> </w:t>
      </w:r>
      <w:r>
        <w:rPr>
          <w:color w:val="231F20"/>
          <w:spacing w:val="-1"/>
        </w:rPr>
        <w:t>Principal</w:t>
      </w:r>
      <w:r>
        <w:rPr>
          <w:color w:val="231F20"/>
          <w:spacing w:val="-52"/>
        </w:rPr>
        <w:t> </w:t>
      </w:r>
      <w:r>
        <w:rPr>
          <w:color w:val="231F20"/>
          <w:spacing w:val="-3"/>
        </w:rPr>
        <w:t>Investigator,</w:t>
      </w:r>
      <w:r>
        <w:rPr>
          <w:color w:val="231F20"/>
          <w:spacing w:val="-4"/>
        </w:rPr>
        <w:t> </w:t>
      </w:r>
      <w:r>
        <w:rPr>
          <w:color w:val="231F20"/>
          <w:spacing w:val="-2"/>
        </w:rPr>
        <w:t>and</w:t>
      </w:r>
      <w:r>
        <w:rPr>
          <w:color w:val="231F20"/>
          <w:spacing w:val="-3"/>
        </w:rPr>
        <w:t> </w:t>
      </w:r>
      <w:r>
        <w:rPr>
          <w:color w:val="231F20"/>
          <w:spacing w:val="-2"/>
        </w:rPr>
        <w:t>Center</w:t>
      </w:r>
      <w:r>
        <w:rPr>
          <w:color w:val="231F20"/>
          <w:spacing w:val="-4"/>
        </w:rPr>
        <w:t> </w:t>
      </w:r>
      <w:r>
        <w:rPr>
          <w:color w:val="231F20"/>
          <w:spacing w:val="-2"/>
        </w:rPr>
        <w:t>for</w:t>
      </w:r>
      <w:r>
        <w:rPr>
          <w:color w:val="231F20"/>
          <w:spacing w:val="-16"/>
        </w:rPr>
        <w:t> </w:t>
      </w:r>
      <w:r>
        <w:rPr>
          <w:color w:val="231F20"/>
          <w:spacing w:val="-2"/>
        </w:rPr>
        <w:t>AIDS</w:t>
      </w:r>
      <w:r>
        <w:rPr>
          <w:color w:val="231F20"/>
          <w:spacing w:val="-5"/>
        </w:rPr>
        <w:t> </w:t>
      </w:r>
      <w:r>
        <w:rPr>
          <w:color w:val="231F20"/>
          <w:spacing w:val="-2"/>
        </w:rPr>
        <w:t>Research</w:t>
      </w:r>
    </w:p>
    <w:p>
      <w:pPr>
        <w:pStyle w:val="BodyText"/>
        <w:spacing w:line="266" w:lineRule="auto" w:before="90"/>
        <w:ind w:left="160"/>
      </w:pPr>
      <w:r>
        <w:rPr/>
        <w:br w:type="column"/>
      </w:r>
      <w:r>
        <w:rPr>
          <w:b/>
          <w:color w:val="231F20"/>
          <w:spacing w:val="-2"/>
        </w:rPr>
        <w:t>Antigone</w:t>
      </w:r>
      <w:r>
        <w:rPr>
          <w:b/>
          <w:color w:val="231F20"/>
          <w:spacing w:val="-11"/>
        </w:rPr>
        <w:t> </w:t>
      </w:r>
      <w:r>
        <w:rPr>
          <w:b/>
          <w:color w:val="231F20"/>
          <w:spacing w:val="-2"/>
        </w:rPr>
        <w:t>Dempsey,</w:t>
      </w:r>
      <w:r>
        <w:rPr>
          <w:b/>
          <w:color w:val="231F20"/>
          <w:spacing w:val="-10"/>
        </w:rPr>
        <w:t> </w:t>
      </w:r>
      <w:r>
        <w:rPr>
          <w:b/>
          <w:color w:val="231F20"/>
          <w:spacing w:val="-2"/>
        </w:rPr>
        <w:t>M.Ed</w:t>
      </w:r>
      <w:r>
        <w:rPr>
          <w:b/>
          <w:color w:val="231F20"/>
          <w:spacing w:val="-10"/>
        </w:rPr>
        <w:t> </w:t>
      </w:r>
      <w:r>
        <w:rPr>
          <w:color w:val="231F20"/>
          <w:spacing w:val="-2"/>
        </w:rPr>
        <w:t>Division</w:t>
      </w:r>
      <w:r>
        <w:rPr>
          <w:color w:val="231F20"/>
          <w:spacing w:val="-11"/>
        </w:rPr>
        <w:t> </w:t>
      </w:r>
      <w:r>
        <w:rPr>
          <w:color w:val="231F20"/>
          <w:spacing w:val="-1"/>
        </w:rPr>
        <w:t>of</w:t>
      </w:r>
      <w:r>
        <w:rPr>
          <w:color w:val="231F20"/>
          <w:spacing w:val="-10"/>
        </w:rPr>
        <w:t> </w:t>
      </w:r>
      <w:r>
        <w:rPr>
          <w:color w:val="231F20"/>
          <w:spacing w:val="-1"/>
        </w:rPr>
        <w:t>Policy</w:t>
      </w:r>
      <w:r>
        <w:rPr>
          <w:color w:val="231F20"/>
          <w:spacing w:val="-10"/>
        </w:rPr>
        <w:t> </w:t>
      </w:r>
      <w:r>
        <w:rPr>
          <w:color w:val="231F20"/>
          <w:spacing w:val="-1"/>
        </w:rPr>
        <w:t>and</w:t>
      </w:r>
      <w:r>
        <w:rPr>
          <w:color w:val="231F20"/>
          <w:spacing w:val="-10"/>
        </w:rPr>
        <w:t> </w:t>
      </w:r>
      <w:r>
        <w:rPr>
          <w:color w:val="231F20"/>
          <w:spacing w:val="-1"/>
        </w:rPr>
        <w:t>Data,</w:t>
      </w:r>
      <w:r>
        <w:rPr>
          <w:color w:val="231F20"/>
          <w:spacing w:val="-52"/>
        </w:rPr>
        <w:t> </w:t>
      </w:r>
      <w:r>
        <w:rPr>
          <w:color w:val="231F20"/>
        </w:rPr>
        <w:t>HIV/AIDS Bureau, Health Resources and Services</w:t>
      </w:r>
      <w:r>
        <w:rPr>
          <w:color w:val="231F20"/>
          <w:spacing w:val="1"/>
        </w:rPr>
        <w:t> </w:t>
      </w:r>
      <w:r>
        <w:rPr>
          <w:color w:val="231F20"/>
        </w:rPr>
        <w:t>Administration</w:t>
      </w:r>
      <w:r>
        <w:rPr>
          <w:color w:val="231F20"/>
          <w:spacing w:val="-6"/>
        </w:rPr>
        <w:t> </w:t>
      </w:r>
      <w:r>
        <w:rPr>
          <w:color w:val="231F20"/>
        </w:rPr>
        <w:t>(HRSA)</w:t>
      </w:r>
    </w:p>
    <w:p>
      <w:pPr>
        <w:spacing w:before="88"/>
        <w:ind w:left="160" w:right="0" w:firstLine="0"/>
        <w:jc w:val="left"/>
        <w:rPr>
          <w:sz w:val="22"/>
        </w:rPr>
      </w:pPr>
      <w:r>
        <w:rPr>
          <w:b/>
          <w:color w:val="231F20"/>
          <w:spacing w:val="-1"/>
          <w:sz w:val="22"/>
        </w:rPr>
        <w:t>Traci</w:t>
      </w:r>
      <w:r>
        <w:rPr>
          <w:b/>
          <w:color w:val="231F20"/>
          <w:spacing w:val="-12"/>
          <w:sz w:val="22"/>
        </w:rPr>
        <w:t> </w:t>
      </w:r>
      <w:r>
        <w:rPr>
          <w:b/>
          <w:color w:val="231F20"/>
          <w:spacing w:val="-1"/>
          <w:sz w:val="22"/>
        </w:rPr>
        <w:t>Green,</w:t>
      </w:r>
      <w:r>
        <w:rPr>
          <w:b/>
          <w:color w:val="231F20"/>
          <w:spacing w:val="-12"/>
          <w:sz w:val="22"/>
        </w:rPr>
        <w:t> </w:t>
      </w:r>
      <w:r>
        <w:rPr>
          <w:b/>
          <w:color w:val="231F20"/>
          <w:spacing w:val="-1"/>
          <w:sz w:val="22"/>
        </w:rPr>
        <w:t>PhD,</w:t>
      </w:r>
      <w:r>
        <w:rPr>
          <w:b/>
          <w:color w:val="231F20"/>
          <w:spacing w:val="-12"/>
          <w:sz w:val="22"/>
        </w:rPr>
        <w:t> </w:t>
      </w:r>
      <w:r>
        <w:rPr>
          <w:b/>
          <w:color w:val="231F20"/>
          <w:spacing w:val="-1"/>
          <w:sz w:val="22"/>
        </w:rPr>
        <w:t>MSc,</w:t>
      </w:r>
      <w:r>
        <w:rPr>
          <w:b/>
          <w:color w:val="231F20"/>
          <w:spacing w:val="-13"/>
          <w:sz w:val="22"/>
        </w:rPr>
        <w:t> </w:t>
      </w:r>
      <w:r>
        <w:rPr>
          <w:color w:val="231F20"/>
          <w:spacing w:val="-1"/>
          <w:sz w:val="22"/>
        </w:rPr>
        <w:t>Opioid</w:t>
      </w:r>
      <w:r>
        <w:rPr>
          <w:color w:val="231F20"/>
          <w:spacing w:val="-12"/>
          <w:sz w:val="22"/>
        </w:rPr>
        <w:t> </w:t>
      </w:r>
      <w:r>
        <w:rPr>
          <w:color w:val="231F20"/>
          <w:spacing w:val="-1"/>
          <w:sz w:val="22"/>
        </w:rPr>
        <w:t>Policy</w:t>
      </w:r>
      <w:r>
        <w:rPr>
          <w:color w:val="231F20"/>
          <w:spacing w:val="-13"/>
          <w:sz w:val="22"/>
        </w:rPr>
        <w:t> </w:t>
      </w:r>
      <w:r>
        <w:rPr>
          <w:color w:val="231F20"/>
          <w:spacing w:val="-1"/>
          <w:sz w:val="22"/>
        </w:rPr>
        <w:t>Research</w:t>
      </w:r>
    </w:p>
    <w:p>
      <w:pPr>
        <w:pStyle w:val="BodyText"/>
        <w:spacing w:before="27"/>
        <w:ind w:left="160"/>
      </w:pPr>
      <w:r>
        <w:rPr>
          <w:color w:val="231F20"/>
          <w:spacing w:val="-2"/>
        </w:rPr>
        <w:t>Collaborative,</w:t>
      </w:r>
      <w:r>
        <w:rPr>
          <w:color w:val="231F20"/>
          <w:spacing w:val="-11"/>
        </w:rPr>
        <w:t> </w:t>
      </w:r>
      <w:r>
        <w:rPr>
          <w:color w:val="231F20"/>
          <w:spacing w:val="-1"/>
        </w:rPr>
        <w:t>Brandeis</w:t>
      </w:r>
      <w:r>
        <w:rPr>
          <w:color w:val="231F20"/>
          <w:spacing w:val="-11"/>
        </w:rPr>
        <w:t> </w:t>
      </w:r>
      <w:r>
        <w:rPr>
          <w:color w:val="231F20"/>
          <w:spacing w:val="-1"/>
        </w:rPr>
        <w:t>University</w:t>
      </w:r>
    </w:p>
    <w:p>
      <w:pPr>
        <w:pStyle w:val="BodyText"/>
        <w:spacing w:line="266" w:lineRule="auto" w:before="117"/>
        <w:ind w:left="160" w:right="762"/>
      </w:pPr>
      <w:r>
        <w:rPr>
          <w:b/>
          <w:color w:val="231F20"/>
          <w:spacing w:val="-2"/>
        </w:rPr>
        <w:t>Douglas</w:t>
      </w:r>
      <w:r>
        <w:rPr>
          <w:b/>
          <w:color w:val="231F20"/>
          <w:spacing w:val="-11"/>
        </w:rPr>
        <w:t> </w:t>
      </w:r>
      <w:r>
        <w:rPr>
          <w:b/>
          <w:color w:val="231F20"/>
          <w:spacing w:val="-2"/>
        </w:rPr>
        <w:t>Krakower,</w:t>
      </w:r>
      <w:r>
        <w:rPr>
          <w:b/>
          <w:color w:val="231F20"/>
          <w:spacing w:val="-10"/>
        </w:rPr>
        <w:t> </w:t>
      </w:r>
      <w:r>
        <w:rPr>
          <w:b/>
          <w:color w:val="231F20"/>
          <w:spacing w:val="-2"/>
        </w:rPr>
        <w:t>MD</w:t>
      </w:r>
      <w:r>
        <w:rPr>
          <w:b/>
          <w:color w:val="231F20"/>
          <w:spacing w:val="-9"/>
        </w:rPr>
        <w:t> </w:t>
      </w:r>
      <w:r>
        <w:rPr>
          <w:color w:val="231F20"/>
          <w:spacing w:val="-2"/>
        </w:rPr>
        <w:t>Beth</w:t>
      </w:r>
      <w:r>
        <w:rPr>
          <w:color w:val="231F20"/>
          <w:spacing w:val="-10"/>
        </w:rPr>
        <w:t> </w:t>
      </w:r>
      <w:r>
        <w:rPr>
          <w:color w:val="231F20"/>
          <w:spacing w:val="-2"/>
        </w:rPr>
        <w:t>Israel</w:t>
      </w:r>
      <w:r>
        <w:rPr>
          <w:color w:val="231F20"/>
          <w:spacing w:val="-10"/>
        </w:rPr>
        <w:t> </w:t>
      </w:r>
      <w:r>
        <w:rPr>
          <w:color w:val="231F20"/>
          <w:spacing w:val="-2"/>
        </w:rPr>
        <w:t>Deaconess</w:t>
      </w:r>
      <w:r>
        <w:rPr>
          <w:color w:val="231F20"/>
          <w:spacing w:val="-11"/>
        </w:rPr>
        <w:t> </w:t>
      </w:r>
      <w:r>
        <w:rPr>
          <w:color w:val="231F20"/>
          <w:spacing w:val="-1"/>
        </w:rPr>
        <w:t>Medical</w:t>
      </w:r>
      <w:r>
        <w:rPr>
          <w:color w:val="231F20"/>
          <w:spacing w:val="-52"/>
        </w:rPr>
        <w:t> </w:t>
      </w:r>
      <w:r>
        <w:rPr>
          <w:color w:val="231F20"/>
          <w:spacing w:val="-1"/>
        </w:rPr>
        <w:t>Center, The Fenway Institute, </w:t>
      </w:r>
      <w:r>
        <w:rPr>
          <w:color w:val="231F20"/>
        </w:rPr>
        <w:t>and Harvard Medical</w:t>
      </w:r>
      <w:r>
        <w:rPr>
          <w:color w:val="231F20"/>
          <w:spacing w:val="1"/>
        </w:rPr>
        <w:t> </w:t>
      </w:r>
      <w:r>
        <w:rPr>
          <w:color w:val="231F20"/>
        </w:rPr>
        <w:t>School</w:t>
      </w:r>
    </w:p>
    <w:p>
      <w:pPr>
        <w:spacing w:line="266" w:lineRule="auto" w:before="88"/>
        <w:ind w:left="160" w:right="1189" w:firstLine="0"/>
        <w:jc w:val="left"/>
        <w:rPr>
          <w:sz w:val="22"/>
        </w:rPr>
      </w:pPr>
      <w:r>
        <w:rPr>
          <w:b/>
          <w:color w:val="231F20"/>
          <w:spacing w:val="-2"/>
          <w:sz w:val="22"/>
        </w:rPr>
        <w:t>Conall</w:t>
      </w:r>
      <w:r>
        <w:rPr>
          <w:b/>
          <w:color w:val="231F20"/>
          <w:spacing w:val="-12"/>
          <w:sz w:val="22"/>
        </w:rPr>
        <w:t> </w:t>
      </w:r>
      <w:r>
        <w:rPr>
          <w:b/>
          <w:color w:val="231F20"/>
          <w:spacing w:val="-2"/>
          <w:sz w:val="22"/>
        </w:rPr>
        <w:t>O’Cleirigh,</w:t>
      </w:r>
      <w:r>
        <w:rPr>
          <w:b/>
          <w:color w:val="231F20"/>
          <w:spacing w:val="-11"/>
          <w:sz w:val="22"/>
        </w:rPr>
        <w:t> </w:t>
      </w:r>
      <w:r>
        <w:rPr>
          <w:b/>
          <w:color w:val="231F20"/>
          <w:spacing w:val="-1"/>
          <w:sz w:val="22"/>
        </w:rPr>
        <w:t>PhD</w:t>
      </w:r>
      <w:r>
        <w:rPr>
          <w:b/>
          <w:color w:val="231F20"/>
          <w:spacing w:val="-11"/>
          <w:sz w:val="22"/>
        </w:rPr>
        <w:t> </w:t>
      </w:r>
      <w:r>
        <w:rPr>
          <w:color w:val="231F20"/>
          <w:spacing w:val="-1"/>
          <w:sz w:val="22"/>
        </w:rPr>
        <w:t>Harvard</w:t>
      </w:r>
      <w:r>
        <w:rPr>
          <w:color w:val="231F20"/>
          <w:spacing w:val="-12"/>
          <w:sz w:val="22"/>
        </w:rPr>
        <w:t> </w:t>
      </w:r>
      <w:r>
        <w:rPr>
          <w:color w:val="231F20"/>
          <w:spacing w:val="-1"/>
          <w:sz w:val="22"/>
        </w:rPr>
        <w:t>Medical</w:t>
      </w:r>
      <w:r>
        <w:rPr>
          <w:color w:val="231F20"/>
          <w:spacing w:val="-11"/>
          <w:sz w:val="22"/>
        </w:rPr>
        <w:t> </w:t>
      </w:r>
      <w:r>
        <w:rPr>
          <w:color w:val="231F20"/>
          <w:spacing w:val="-1"/>
          <w:sz w:val="22"/>
        </w:rPr>
        <w:t>School,</w:t>
      </w:r>
      <w:r>
        <w:rPr>
          <w:color w:val="231F20"/>
          <w:spacing w:val="-52"/>
          <w:sz w:val="22"/>
        </w:rPr>
        <w:t> </w:t>
      </w:r>
      <w:r>
        <w:rPr>
          <w:color w:val="231F20"/>
          <w:sz w:val="22"/>
        </w:rPr>
        <w:t>Massachusetts</w:t>
      </w:r>
      <w:r>
        <w:rPr>
          <w:color w:val="231F20"/>
          <w:spacing w:val="-8"/>
          <w:sz w:val="22"/>
        </w:rPr>
        <w:t> </w:t>
      </w:r>
      <w:r>
        <w:rPr>
          <w:color w:val="231F20"/>
          <w:sz w:val="22"/>
        </w:rPr>
        <w:t>General</w:t>
      </w:r>
      <w:r>
        <w:rPr>
          <w:color w:val="231F20"/>
          <w:spacing w:val="-7"/>
          <w:sz w:val="22"/>
        </w:rPr>
        <w:t> </w:t>
      </w:r>
      <w:r>
        <w:rPr>
          <w:color w:val="231F20"/>
          <w:sz w:val="22"/>
        </w:rPr>
        <w:t>Hospital</w:t>
      </w:r>
    </w:p>
    <w:p>
      <w:pPr>
        <w:pStyle w:val="BodyText"/>
        <w:spacing w:line="266" w:lineRule="auto" w:before="88"/>
        <w:ind w:left="160" w:right="1321"/>
        <w:jc w:val="both"/>
      </w:pPr>
      <w:r>
        <w:rPr>
          <w:b/>
          <w:color w:val="231F20"/>
          <w:spacing w:val="-3"/>
        </w:rPr>
        <w:t>Melinda</w:t>
      </w:r>
      <w:r>
        <w:rPr>
          <w:b/>
          <w:color w:val="231F20"/>
          <w:spacing w:val="-8"/>
        </w:rPr>
        <w:t> </w:t>
      </w:r>
      <w:r>
        <w:rPr>
          <w:b/>
          <w:color w:val="231F20"/>
          <w:spacing w:val="-3"/>
        </w:rPr>
        <w:t>Tinsley, MA</w:t>
      </w:r>
      <w:r>
        <w:rPr>
          <w:b/>
          <w:color w:val="231F20"/>
          <w:spacing w:val="-17"/>
        </w:rPr>
        <w:t> </w:t>
      </w:r>
      <w:r>
        <w:rPr>
          <w:color w:val="231F20"/>
          <w:spacing w:val="-3"/>
        </w:rPr>
        <w:t>Division</w:t>
      </w:r>
      <w:r>
        <w:rPr>
          <w:color w:val="231F20"/>
          <w:spacing w:val="-4"/>
        </w:rPr>
        <w:t> </w:t>
      </w:r>
      <w:r>
        <w:rPr>
          <w:color w:val="231F20"/>
          <w:spacing w:val="-2"/>
        </w:rPr>
        <w:t>of</w:t>
      </w:r>
      <w:r>
        <w:rPr>
          <w:color w:val="231F20"/>
          <w:spacing w:val="-3"/>
        </w:rPr>
        <w:t> </w:t>
      </w:r>
      <w:r>
        <w:rPr>
          <w:color w:val="231F20"/>
          <w:spacing w:val="-2"/>
        </w:rPr>
        <w:t>Policy</w:t>
      </w:r>
      <w:r>
        <w:rPr>
          <w:color w:val="231F20"/>
          <w:spacing w:val="-5"/>
        </w:rPr>
        <w:t> </w:t>
      </w:r>
      <w:r>
        <w:rPr>
          <w:color w:val="231F20"/>
          <w:spacing w:val="-2"/>
        </w:rPr>
        <w:t>and</w:t>
      </w:r>
      <w:r>
        <w:rPr>
          <w:color w:val="231F20"/>
          <w:spacing w:val="-3"/>
        </w:rPr>
        <w:t> </w:t>
      </w:r>
      <w:r>
        <w:rPr>
          <w:color w:val="231F20"/>
          <w:spacing w:val="-2"/>
        </w:rPr>
        <w:t>Data,</w:t>
      </w:r>
      <w:r>
        <w:rPr>
          <w:color w:val="231F20"/>
          <w:spacing w:val="-52"/>
        </w:rPr>
        <w:t> </w:t>
      </w:r>
      <w:r>
        <w:rPr>
          <w:color w:val="231F20"/>
          <w:spacing w:val="-2"/>
        </w:rPr>
        <w:t>HIV/AIDS </w:t>
      </w:r>
      <w:r>
        <w:rPr>
          <w:color w:val="231F20"/>
          <w:spacing w:val="-1"/>
        </w:rPr>
        <w:t>Bureau, Health Resources and Services</w:t>
      </w:r>
      <w:r>
        <w:rPr>
          <w:color w:val="231F20"/>
          <w:spacing w:val="-52"/>
        </w:rPr>
        <w:t> </w:t>
      </w:r>
      <w:r>
        <w:rPr>
          <w:color w:val="231F20"/>
        </w:rPr>
        <w:t>Administration</w:t>
      </w:r>
      <w:r>
        <w:rPr>
          <w:color w:val="231F20"/>
          <w:spacing w:val="-7"/>
        </w:rPr>
        <w:t> </w:t>
      </w:r>
      <w:r>
        <w:rPr>
          <w:color w:val="231F20"/>
        </w:rPr>
        <w:t>(HRSA)</w:t>
      </w:r>
    </w:p>
    <w:p>
      <w:pPr>
        <w:spacing w:line="266" w:lineRule="auto" w:before="88"/>
        <w:ind w:left="160" w:right="1000" w:firstLine="0"/>
        <w:jc w:val="both"/>
        <w:rPr>
          <w:sz w:val="22"/>
        </w:rPr>
      </w:pPr>
      <w:r>
        <w:rPr>
          <w:b/>
          <w:color w:val="231F20"/>
          <w:spacing w:val="-3"/>
          <w:sz w:val="22"/>
        </w:rPr>
        <w:t>Glenn</w:t>
      </w:r>
      <w:r>
        <w:rPr>
          <w:b/>
          <w:color w:val="231F20"/>
          <w:spacing w:val="-11"/>
          <w:sz w:val="22"/>
        </w:rPr>
        <w:t> </w:t>
      </w:r>
      <w:r>
        <w:rPr>
          <w:b/>
          <w:color w:val="231F20"/>
          <w:spacing w:val="-3"/>
          <w:sz w:val="22"/>
        </w:rPr>
        <w:t>Treisman,</w:t>
      </w:r>
      <w:r>
        <w:rPr>
          <w:b/>
          <w:color w:val="231F20"/>
          <w:spacing w:val="-6"/>
          <w:sz w:val="22"/>
        </w:rPr>
        <w:t> </w:t>
      </w:r>
      <w:r>
        <w:rPr>
          <w:b/>
          <w:color w:val="231F20"/>
          <w:spacing w:val="-2"/>
          <w:sz w:val="22"/>
        </w:rPr>
        <w:t>MD,</w:t>
      </w:r>
      <w:r>
        <w:rPr>
          <w:b/>
          <w:color w:val="231F20"/>
          <w:spacing w:val="-6"/>
          <w:sz w:val="22"/>
        </w:rPr>
        <w:t> </w:t>
      </w:r>
      <w:r>
        <w:rPr>
          <w:b/>
          <w:color w:val="231F20"/>
          <w:spacing w:val="-2"/>
          <w:sz w:val="22"/>
        </w:rPr>
        <w:t>PhD</w:t>
      </w:r>
      <w:r>
        <w:rPr>
          <w:b/>
          <w:color w:val="231F20"/>
          <w:spacing w:val="-7"/>
          <w:sz w:val="22"/>
        </w:rPr>
        <w:t> </w:t>
      </w:r>
      <w:r>
        <w:rPr>
          <w:color w:val="231F20"/>
          <w:spacing w:val="-2"/>
          <w:sz w:val="22"/>
        </w:rPr>
        <w:t>Johns</w:t>
      </w:r>
      <w:r>
        <w:rPr>
          <w:color w:val="231F20"/>
          <w:spacing w:val="-7"/>
          <w:sz w:val="22"/>
        </w:rPr>
        <w:t> </w:t>
      </w:r>
      <w:r>
        <w:rPr>
          <w:color w:val="231F20"/>
          <w:spacing w:val="-2"/>
          <w:sz w:val="22"/>
        </w:rPr>
        <w:t>Hopkins</w:t>
      </w:r>
      <w:r>
        <w:rPr>
          <w:color w:val="231F20"/>
          <w:spacing w:val="-7"/>
          <w:sz w:val="22"/>
        </w:rPr>
        <w:t> </w:t>
      </w:r>
      <w:r>
        <w:rPr>
          <w:color w:val="231F20"/>
          <w:spacing w:val="-2"/>
          <w:sz w:val="22"/>
        </w:rPr>
        <w:t>University</w:t>
      </w:r>
      <w:r>
        <w:rPr>
          <w:color w:val="231F20"/>
          <w:spacing w:val="-53"/>
          <w:sz w:val="22"/>
        </w:rPr>
        <w:t> </w:t>
      </w:r>
      <w:r>
        <w:rPr>
          <w:color w:val="231F20"/>
          <w:sz w:val="22"/>
        </w:rPr>
        <w:t>School</w:t>
      </w:r>
      <w:r>
        <w:rPr>
          <w:color w:val="231F20"/>
          <w:spacing w:val="-6"/>
          <w:sz w:val="22"/>
        </w:rPr>
        <w:t> </w:t>
      </w:r>
      <w:r>
        <w:rPr>
          <w:color w:val="231F20"/>
          <w:sz w:val="22"/>
        </w:rPr>
        <w:t>of</w:t>
      </w:r>
      <w:r>
        <w:rPr>
          <w:color w:val="231F20"/>
          <w:spacing w:val="-5"/>
          <w:sz w:val="22"/>
        </w:rPr>
        <w:t> </w:t>
      </w:r>
      <w:r>
        <w:rPr>
          <w:color w:val="231F20"/>
          <w:sz w:val="22"/>
        </w:rPr>
        <w:t>Medicine</w:t>
      </w:r>
    </w:p>
    <w:p>
      <w:pPr>
        <w:pStyle w:val="Heading6"/>
        <w:spacing w:before="178"/>
        <w:jc w:val="both"/>
      </w:pPr>
      <w:r>
        <w:rPr>
          <w:color w:val="CE384B"/>
        </w:rPr>
        <w:t>Contract</w:t>
      </w:r>
      <w:r>
        <w:rPr>
          <w:color w:val="CE384B"/>
          <w:spacing w:val="-5"/>
        </w:rPr>
        <w:t> </w:t>
      </w:r>
      <w:r>
        <w:rPr>
          <w:color w:val="CE384B"/>
        </w:rPr>
        <w:t>Staff</w:t>
      </w:r>
    </w:p>
    <w:p>
      <w:pPr>
        <w:spacing w:before="118"/>
        <w:ind w:left="160" w:right="0" w:firstLine="0"/>
        <w:jc w:val="left"/>
        <w:rPr>
          <w:sz w:val="22"/>
        </w:rPr>
      </w:pPr>
      <w:r>
        <w:rPr>
          <w:b/>
          <w:color w:val="231F20"/>
          <w:spacing w:val="-3"/>
          <w:sz w:val="22"/>
        </w:rPr>
        <w:t>Olivia Bacon</w:t>
      </w:r>
      <w:r>
        <w:rPr>
          <w:color w:val="231F20"/>
          <w:spacing w:val="-3"/>
          <w:sz w:val="22"/>
        </w:rPr>
        <w:t>,</w:t>
      </w:r>
      <w:r>
        <w:rPr>
          <w:color w:val="231F20"/>
          <w:spacing w:val="-16"/>
          <w:sz w:val="22"/>
        </w:rPr>
        <w:t> </w:t>
      </w:r>
      <w:r>
        <w:rPr>
          <w:color w:val="231F20"/>
          <w:spacing w:val="-2"/>
          <w:sz w:val="22"/>
        </w:rPr>
        <w:t>Abt</w:t>
      </w:r>
      <w:r>
        <w:rPr>
          <w:color w:val="231F20"/>
          <w:spacing w:val="-16"/>
          <w:sz w:val="22"/>
        </w:rPr>
        <w:t> </w:t>
      </w:r>
      <w:r>
        <w:rPr>
          <w:color w:val="231F20"/>
          <w:spacing w:val="-2"/>
          <w:sz w:val="22"/>
        </w:rPr>
        <w:t>Associates</w:t>
      </w:r>
    </w:p>
    <w:p>
      <w:pPr>
        <w:spacing w:before="117"/>
        <w:ind w:left="160" w:right="0" w:firstLine="0"/>
        <w:jc w:val="left"/>
        <w:rPr>
          <w:sz w:val="22"/>
        </w:rPr>
      </w:pPr>
      <w:r>
        <w:rPr>
          <w:b/>
          <w:color w:val="231F20"/>
          <w:spacing w:val="-2"/>
          <w:sz w:val="22"/>
        </w:rPr>
        <w:t>Korrin</w:t>
      </w:r>
      <w:r>
        <w:rPr>
          <w:b/>
          <w:color w:val="231F20"/>
          <w:spacing w:val="-9"/>
          <w:sz w:val="22"/>
        </w:rPr>
        <w:t> </w:t>
      </w:r>
      <w:r>
        <w:rPr>
          <w:b/>
          <w:color w:val="231F20"/>
          <w:spacing w:val="-1"/>
          <w:sz w:val="22"/>
        </w:rPr>
        <w:t>Bishop,</w:t>
      </w:r>
      <w:r>
        <w:rPr>
          <w:b/>
          <w:color w:val="231F20"/>
          <w:spacing w:val="-9"/>
          <w:sz w:val="22"/>
        </w:rPr>
        <w:t> </w:t>
      </w:r>
      <w:r>
        <w:rPr>
          <w:color w:val="231F20"/>
          <w:spacing w:val="-1"/>
          <w:sz w:val="22"/>
        </w:rPr>
        <w:t>Korrin</w:t>
      </w:r>
      <w:r>
        <w:rPr>
          <w:color w:val="231F20"/>
          <w:spacing w:val="-10"/>
          <w:sz w:val="22"/>
        </w:rPr>
        <w:t> </w:t>
      </w:r>
      <w:r>
        <w:rPr>
          <w:color w:val="231F20"/>
          <w:spacing w:val="-1"/>
          <w:sz w:val="22"/>
        </w:rPr>
        <w:t>Bishop</w:t>
      </w:r>
      <w:r>
        <w:rPr>
          <w:color w:val="231F20"/>
          <w:spacing w:val="-13"/>
          <w:sz w:val="22"/>
        </w:rPr>
        <w:t> </w:t>
      </w:r>
      <w:r>
        <w:rPr>
          <w:color w:val="231F20"/>
          <w:spacing w:val="-1"/>
          <w:sz w:val="22"/>
        </w:rPr>
        <w:t>Writing</w:t>
      </w:r>
      <w:r>
        <w:rPr>
          <w:color w:val="231F20"/>
          <w:spacing w:val="-9"/>
          <w:sz w:val="22"/>
        </w:rPr>
        <w:t> </w:t>
      </w:r>
      <w:r>
        <w:rPr>
          <w:color w:val="231F20"/>
          <w:spacing w:val="-1"/>
          <w:sz w:val="22"/>
        </w:rPr>
        <w:t>&amp;</w:t>
      </w:r>
      <w:r>
        <w:rPr>
          <w:color w:val="231F20"/>
          <w:spacing w:val="-8"/>
          <w:sz w:val="22"/>
        </w:rPr>
        <w:t> </w:t>
      </w:r>
      <w:r>
        <w:rPr>
          <w:color w:val="231F20"/>
          <w:spacing w:val="-1"/>
          <w:sz w:val="22"/>
        </w:rPr>
        <w:t>Editing</w:t>
      </w:r>
    </w:p>
    <w:p>
      <w:pPr>
        <w:spacing w:before="117"/>
        <w:ind w:left="160" w:right="0" w:firstLine="0"/>
        <w:jc w:val="left"/>
        <w:rPr>
          <w:sz w:val="22"/>
        </w:rPr>
      </w:pPr>
      <w:r>
        <w:rPr>
          <w:b/>
          <w:color w:val="231F20"/>
          <w:spacing w:val="-4"/>
          <w:sz w:val="22"/>
        </w:rPr>
        <w:t>Yvonne Cristy</w:t>
      </w:r>
      <w:r>
        <w:rPr>
          <w:color w:val="231F20"/>
          <w:spacing w:val="-4"/>
          <w:sz w:val="22"/>
        </w:rPr>
        <w:t>,</w:t>
      </w:r>
      <w:r>
        <w:rPr>
          <w:color w:val="231F20"/>
          <w:spacing w:val="-16"/>
          <w:sz w:val="22"/>
        </w:rPr>
        <w:t> </w:t>
      </w:r>
      <w:r>
        <w:rPr>
          <w:color w:val="231F20"/>
          <w:spacing w:val="-3"/>
          <w:sz w:val="22"/>
        </w:rPr>
        <w:t>Abt</w:t>
      </w:r>
      <w:r>
        <w:rPr>
          <w:color w:val="231F20"/>
          <w:spacing w:val="-16"/>
          <w:sz w:val="22"/>
        </w:rPr>
        <w:t> </w:t>
      </w:r>
      <w:r>
        <w:rPr>
          <w:color w:val="231F20"/>
          <w:spacing w:val="-3"/>
          <w:sz w:val="22"/>
        </w:rPr>
        <w:t>Associates</w:t>
      </w:r>
    </w:p>
    <w:p>
      <w:pPr>
        <w:spacing w:line="350" w:lineRule="auto" w:before="117"/>
        <w:ind w:left="160" w:right="1894" w:firstLine="0"/>
        <w:jc w:val="both"/>
        <w:rPr>
          <w:sz w:val="22"/>
        </w:rPr>
      </w:pPr>
      <w:r>
        <w:rPr>
          <w:b/>
          <w:color w:val="231F20"/>
          <w:spacing w:val="-3"/>
          <w:sz w:val="22"/>
        </w:rPr>
        <w:t>Margaret</w:t>
      </w:r>
      <w:r>
        <w:rPr>
          <w:b/>
          <w:color w:val="231F20"/>
          <w:spacing w:val="-4"/>
          <w:sz w:val="22"/>
        </w:rPr>
        <w:t> </w:t>
      </w:r>
      <w:r>
        <w:rPr>
          <w:b/>
          <w:color w:val="231F20"/>
          <w:spacing w:val="-3"/>
          <w:sz w:val="22"/>
        </w:rPr>
        <w:t>Gwaltney,</w:t>
      </w:r>
      <w:r>
        <w:rPr>
          <w:b/>
          <w:color w:val="231F20"/>
          <w:spacing w:val="-4"/>
          <w:sz w:val="22"/>
        </w:rPr>
        <w:t> </w:t>
      </w:r>
      <w:r>
        <w:rPr>
          <w:b/>
          <w:color w:val="231F20"/>
          <w:spacing w:val="-3"/>
          <w:sz w:val="22"/>
        </w:rPr>
        <w:t>MBA</w:t>
      </w:r>
      <w:r>
        <w:rPr>
          <w:b/>
          <w:color w:val="231F20"/>
          <w:spacing w:val="-17"/>
          <w:sz w:val="22"/>
        </w:rPr>
        <w:t> </w:t>
      </w:r>
      <w:r>
        <w:rPr>
          <w:color w:val="231F20"/>
          <w:spacing w:val="-2"/>
          <w:sz w:val="22"/>
        </w:rPr>
        <w:t>Abt</w:t>
      </w:r>
      <w:r>
        <w:rPr>
          <w:color w:val="231F20"/>
          <w:spacing w:val="-17"/>
          <w:sz w:val="22"/>
        </w:rPr>
        <w:t> </w:t>
      </w:r>
      <w:r>
        <w:rPr>
          <w:color w:val="231F20"/>
          <w:spacing w:val="-2"/>
          <w:sz w:val="22"/>
        </w:rPr>
        <w:t>Associates*</w:t>
      </w:r>
      <w:r>
        <w:rPr>
          <w:color w:val="231F20"/>
          <w:spacing w:val="-52"/>
          <w:sz w:val="22"/>
        </w:rPr>
        <w:t> </w:t>
      </w:r>
      <w:r>
        <w:rPr>
          <w:b/>
          <w:color w:val="231F20"/>
          <w:spacing w:val="-4"/>
          <w:sz w:val="22"/>
        </w:rPr>
        <w:t>Alexis </w:t>
      </w:r>
      <w:r>
        <w:rPr>
          <w:b/>
          <w:color w:val="231F20"/>
          <w:spacing w:val="-3"/>
          <w:sz w:val="22"/>
        </w:rPr>
        <w:t>V. Marbach, MPH, </w:t>
      </w:r>
      <w:r>
        <w:rPr>
          <w:color w:val="231F20"/>
          <w:spacing w:val="-3"/>
          <w:sz w:val="22"/>
        </w:rPr>
        <w:t>Abt Associates*</w:t>
      </w:r>
      <w:r>
        <w:rPr>
          <w:color w:val="231F20"/>
          <w:spacing w:val="-2"/>
          <w:sz w:val="22"/>
        </w:rPr>
        <w:t> </w:t>
      </w:r>
      <w:r>
        <w:rPr>
          <w:b/>
          <w:color w:val="231F20"/>
          <w:spacing w:val="-3"/>
          <w:sz w:val="22"/>
        </w:rPr>
        <w:t>Nikitha</w:t>
      </w:r>
      <w:r>
        <w:rPr>
          <w:b/>
          <w:color w:val="231F20"/>
          <w:spacing w:val="-5"/>
          <w:sz w:val="22"/>
        </w:rPr>
        <w:t> </w:t>
      </w:r>
      <w:r>
        <w:rPr>
          <w:b/>
          <w:color w:val="231F20"/>
          <w:spacing w:val="-3"/>
          <w:sz w:val="22"/>
        </w:rPr>
        <w:t>Reddy</w:t>
      </w:r>
      <w:r>
        <w:rPr>
          <w:color w:val="231F20"/>
          <w:spacing w:val="-3"/>
          <w:sz w:val="22"/>
        </w:rPr>
        <w:t>,</w:t>
      </w:r>
      <w:r>
        <w:rPr>
          <w:color w:val="231F20"/>
          <w:spacing w:val="-17"/>
          <w:sz w:val="22"/>
        </w:rPr>
        <w:t> </w:t>
      </w:r>
      <w:r>
        <w:rPr>
          <w:color w:val="231F20"/>
          <w:spacing w:val="-3"/>
          <w:sz w:val="22"/>
        </w:rPr>
        <w:t>Abt</w:t>
      </w:r>
      <w:r>
        <w:rPr>
          <w:color w:val="231F20"/>
          <w:spacing w:val="-17"/>
          <w:sz w:val="22"/>
        </w:rPr>
        <w:t> </w:t>
      </w:r>
      <w:r>
        <w:rPr>
          <w:color w:val="231F20"/>
          <w:spacing w:val="-3"/>
          <w:sz w:val="22"/>
        </w:rPr>
        <w:t>Associates</w:t>
      </w:r>
    </w:p>
    <w:p>
      <w:pPr>
        <w:spacing w:before="2"/>
        <w:ind w:left="160" w:right="0" w:firstLine="0"/>
        <w:jc w:val="both"/>
        <w:rPr>
          <w:sz w:val="22"/>
        </w:rPr>
      </w:pPr>
      <w:r>
        <w:rPr>
          <w:b/>
          <w:color w:val="231F20"/>
          <w:spacing w:val="-3"/>
          <w:sz w:val="22"/>
        </w:rPr>
        <w:t>Cayla</w:t>
      </w:r>
      <w:r>
        <w:rPr>
          <w:b/>
          <w:color w:val="231F20"/>
          <w:spacing w:val="-5"/>
          <w:sz w:val="22"/>
        </w:rPr>
        <w:t> </w:t>
      </w:r>
      <w:r>
        <w:rPr>
          <w:b/>
          <w:color w:val="231F20"/>
          <w:spacing w:val="-3"/>
          <w:sz w:val="22"/>
        </w:rPr>
        <w:t>D.</w:t>
      </w:r>
      <w:r>
        <w:rPr>
          <w:b/>
          <w:color w:val="231F20"/>
          <w:spacing w:val="-5"/>
          <w:sz w:val="22"/>
        </w:rPr>
        <w:t> </w:t>
      </w:r>
      <w:r>
        <w:rPr>
          <w:b/>
          <w:color w:val="231F20"/>
          <w:spacing w:val="-3"/>
          <w:sz w:val="22"/>
        </w:rPr>
        <w:t>Roby,</w:t>
      </w:r>
      <w:r>
        <w:rPr>
          <w:b/>
          <w:color w:val="231F20"/>
          <w:spacing w:val="-4"/>
          <w:sz w:val="22"/>
        </w:rPr>
        <w:t> </w:t>
      </w:r>
      <w:r>
        <w:rPr>
          <w:b/>
          <w:color w:val="231F20"/>
          <w:spacing w:val="-3"/>
          <w:sz w:val="22"/>
        </w:rPr>
        <w:t>MA,</w:t>
      </w:r>
      <w:r>
        <w:rPr>
          <w:b/>
          <w:color w:val="231F20"/>
          <w:spacing w:val="-4"/>
          <w:sz w:val="22"/>
        </w:rPr>
        <w:t> </w:t>
      </w:r>
      <w:r>
        <w:rPr>
          <w:b/>
          <w:color w:val="231F20"/>
          <w:spacing w:val="-3"/>
          <w:sz w:val="22"/>
        </w:rPr>
        <w:t>MPH,</w:t>
      </w:r>
      <w:r>
        <w:rPr>
          <w:b/>
          <w:color w:val="231F20"/>
          <w:spacing w:val="-4"/>
          <w:sz w:val="22"/>
        </w:rPr>
        <w:t> </w:t>
      </w:r>
      <w:r>
        <w:rPr>
          <w:color w:val="231F20"/>
          <w:spacing w:val="-3"/>
          <w:sz w:val="22"/>
        </w:rPr>
        <w:t>Abt</w:t>
      </w:r>
      <w:r>
        <w:rPr>
          <w:color w:val="231F20"/>
          <w:spacing w:val="-17"/>
          <w:sz w:val="22"/>
        </w:rPr>
        <w:t> </w:t>
      </w:r>
      <w:r>
        <w:rPr>
          <w:color w:val="231F20"/>
          <w:spacing w:val="-2"/>
          <w:sz w:val="22"/>
        </w:rPr>
        <w:t>Associates</w:t>
      </w:r>
    </w:p>
    <w:p>
      <w:pPr>
        <w:spacing w:before="117"/>
        <w:ind w:left="160" w:right="0" w:firstLine="0"/>
        <w:jc w:val="left"/>
        <w:rPr>
          <w:sz w:val="22"/>
        </w:rPr>
      </w:pPr>
      <w:r>
        <w:rPr>
          <w:b/>
          <w:color w:val="231F20"/>
          <w:spacing w:val="-3"/>
          <w:sz w:val="22"/>
        </w:rPr>
        <w:t>Daniel</w:t>
      </w:r>
      <w:r>
        <w:rPr>
          <w:b/>
          <w:color w:val="231F20"/>
          <w:spacing w:val="-5"/>
          <w:sz w:val="22"/>
        </w:rPr>
        <w:t> </w:t>
      </w:r>
      <w:r>
        <w:rPr>
          <w:b/>
          <w:color w:val="231F20"/>
          <w:spacing w:val="-3"/>
          <w:sz w:val="22"/>
        </w:rPr>
        <w:t>Jefferson</w:t>
      </w:r>
      <w:r>
        <w:rPr>
          <w:b/>
          <w:color w:val="231F20"/>
          <w:spacing w:val="-4"/>
          <w:sz w:val="22"/>
        </w:rPr>
        <w:t> </w:t>
      </w:r>
      <w:r>
        <w:rPr>
          <w:b/>
          <w:color w:val="231F20"/>
          <w:spacing w:val="-2"/>
          <w:sz w:val="22"/>
        </w:rPr>
        <w:t>Smith,</w:t>
      </w:r>
      <w:r>
        <w:rPr>
          <w:b/>
          <w:color w:val="231F20"/>
          <w:spacing w:val="-17"/>
          <w:sz w:val="22"/>
        </w:rPr>
        <w:t> </w:t>
      </w:r>
      <w:r>
        <w:rPr>
          <w:color w:val="231F20"/>
          <w:spacing w:val="-2"/>
          <w:sz w:val="22"/>
        </w:rPr>
        <w:t>Abt</w:t>
      </w:r>
      <w:r>
        <w:rPr>
          <w:color w:val="231F20"/>
          <w:spacing w:val="-17"/>
          <w:sz w:val="22"/>
        </w:rPr>
        <w:t> </w:t>
      </w:r>
      <w:r>
        <w:rPr>
          <w:color w:val="231F20"/>
          <w:spacing w:val="-2"/>
          <w:sz w:val="22"/>
        </w:rPr>
        <w:t>Associates</w:t>
      </w:r>
    </w:p>
    <w:p>
      <w:pPr>
        <w:spacing w:before="117"/>
        <w:ind w:left="160" w:right="0" w:firstLine="0"/>
        <w:jc w:val="left"/>
        <w:rPr>
          <w:sz w:val="22"/>
        </w:rPr>
      </w:pPr>
      <w:r>
        <w:rPr>
          <w:b/>
          <w:color w:val="231F20"/>
          <w:spacing w:val="-3"/>
          <w:sz w:val="22"/>
        </w:rPr>
        <w:t>Sarah</w:t>
      </w:r>
      <w:r>
        <w:rPr>
          <w:b/>
          <w:color w:val="231F20"/>
          <w:spacing w:val="-5"/>
          <w:sz w:val="22"/>
        </w:rPr>
        <w:t> </w:t>
      </w:r>
      <w:r>
        <w:rPr>
          <w:b/>
          <w:color w:val="231F20"/>
          <w:spacing w:val="-3"/>
          <w:sz w:val="22"/>
        </w:rPr>
        <w:t>Steverman,</w:t>
      </w:r>
      <w:r>
        <w:rPr>
          <w:b/>
          <w:color w:val="231F20"/>
          <w:spacing w:val="-5"/>
          <w:sz w:val="22"/>
        </w:rPr>
        <w:t> </w:t>
      </w:r>
      <w:r>
        <w:rPr>
          <w:b/>
          <w:color w:val="231F20"/>
          <w:spacing w:val="-2"/>
          <w:sz w:val="22"/>
        </w:rPr>
        <w:t>PhD,</w:t>
      </w:r>
      <w:r>
        <w:rPr>
          <w:b/>
          <w:color w:val="231F20"/>
          <w:spacing w:val="-4"/>
          <w:sz w:val="22"/>
        </w:rPr>
        <w:t> </w:t>
      </w:r>
      <w:r>
        <w:rPr>
          <w:b/>
          <w:color w:val="231F20"/>
          <w:spacing w:val="-2"/>
          <w:sz w:val="22"/>
        </w:rPr>
        <w:t>MSW</w:t>
      </w:r>
      <w:r>
        <w:rPr>
          <w:b/>
          <w:color w:val="231F20"/>
          <w:spacing w:val="-7"/>
          <w:sz w:val="22"/>
        </w:rPr>
        <w:t> </w:t>
      </w:r>
      <w:r>
        <w:rPr>
          <w:color w:val="231F20"/>
          <w:spacing w:val="-2"/>
          <w:sz w:val="22"/>
        </w:rPr>
        <w:t>Abt</w:t>
      </w:r>
      <w:r>
        <w:rPr>
          <w:color w:val="231F20"/>
          <w:spacing w:val="-17"/>
          <w:sz w:val="22"/>
        </w:rPr>
        <w:t> </w:t>
      </w:r>
      <w:r>
        <w:rPr>
          <w:color w:val="231F20"/>
          <w:spacing w:val="-2"/>
          <w:sz w:val="22"/>
        </w:rPr>
        <w:t>Associates*</w:t>
      </w:r>
    </w:p>
    <w:p>
      <w:pPr>
        <w:spacing w:before="117"/>
        <w:ind w:left="160" w:right="0" w:firstLine="0"/>
        <w:jc w:val="left"/>
        <w:rPr>
          <w:sz w:val="22"/>
        </w:rPr>
      </w:pPr>
      <w:r>
        <w:rPr>
          <w:b/>
          <w:color w:val="231F20"/>
          <w:spacing w:val="-3"/>
          <w:sz w:val="22"/>
        </w:rPr>
        <w:t>Christopher</w:t>
      </w:r>
      <w:r>
        <w:rPr>
          <w:b/>
          <w:color w:val="231F20"/>
          <w:spacing w:val="-11"/>
          <w:sz w:val="22"/>
        </w:rPr>
        <w:t> </w:t>
      </w:r>
      <w:r>
        <w:rPr>
          <w:b/>
          <w:color w:val="231F20"/>
          <w:spacing w:val="-3"/>
          <w:sz w:val="22"/>
        </w:rPr>
        <w:t>Weiss, PhD</w:t>
      </w:r>
      <w:r>
        <w:rPr>
          <w:b/>
          <w:color w:val="231F20"/>
          <w:spacing w:val="-16"/>
          <w:sz w:val="22"/>
        </w:rPr>
        <w:t> </w:t>
      </w:r>
      <w:r>
        <w:rPr>
          <w:color w:val="231F20"/>
          <w:spacing w:val="-3"/>
          <w:sz w:val="22"/>
        </w:rPr>
        <w:t>Abt</w:t>
      </w:r>
      <w:r>
        <w:rPr>
          <w:color w:val="231F20"/>
          <w:spacing w:val="-16"/>
          <w:sz w:val="22"/>
        </w:rPr>
        <w:t> </w:t>
      </w:r>
      <w:r>
        <w:rPr>
          <w:color w:val="231F20"/>
          <w:spacing w:val="-3"/>
          <w:sz w:val="22"/>
        </w:rPr>
        <w:t>Associates</w:t>
      </w:r>
    </w:p>
    <w:p>
      <w:pPr>
        <w:spacing w:before="117"/>
        <w:ind w:left="160" w:right="0" w:firstLine="0"/>
        <w:jc w:val="left"/>
        <w:rPr>
          <w:sz w:val="22"/>
        </w:rPr>
      </w:pPr>
      <w:r>
        <w:rPr>
          <w:b/>
          <w:color w:val="231F20"/>
          <w:spacing w:val="-3"/>
          <w:sz w:val="22"/>
        </w:rPr>
        <w:t>Elyse</w:t>
      </w:r>
      <w:r>
        <w:rPr>
          <w:b/>
          <w:color w:val="231F20"/>
          <w:spacing w:val="-13"/>
          <w:sz w:val="22"/>
        </w:rPr>
        <w:t> </w:t>
      </w:r>
      <w:r>
        <w:rPr>
          <w:b/>
          <w:color w:val="231F20"/>
          <w:spacing w:val="-3"/>
          <w:sz w:val="22"/>
        </w:rPr>
        <w:t>Yarmosky</w:t>
      </w:r>
      <w:r>
        <w:rPr>
          <w:color w:val="231F20"/>
          <w:spacing w:val="-3"/>
          <w:sz w:val="22"/>
        </w:rPr>
        <w:t>,</w:t>
      </w:r>
      <w:r>
        <w:rPr>
          <w:color w:val="231F20"/>
          <w:spacing w:val="-4"/>
          <w:sz w:val="22"/>
        </w:rPr>
        <w:t> </w:t>
      </w:r>
      <w:r>
        <w:rPr>
          <w:b/>
          <w:color w:val="231F20"/>
          <w:spacing w:val="-3"/>
          <w:sz w:val="22"/>
        </w:rPr>
        <w:t>LISCW</w:t>
      </w:r>
      <w:r>
        <w:rPr>
          <w:color w:val="231F20"/>
          <w:spacing w:val="-3"/>
          <w:sz w:val="22"/>
        </w:rPr>
        <w:t>,</w:t>
      </w:r>
      <w:r>
        <w:rPr>
          <w:color w:val="231F20"/>
          <w:spacing w:val="-16"/>
          <w:sz w:val="22"/>
        </w:rPr>
        <w:t> </w:t>
      </w:r>
      <w:r>
        <w:rPr>
          <w:color w:val="231F20"/>
          <w:spacing w:val="-3"/>
          <w:sz w:val="22"/>
        </w:rPr>
        <w:t>Abt</w:t>
      </w:r>
      <w:r>
        <w:rPr>
          <w:color w:val="231F20"/>
          <w:spacing w:val="-17"/>
          <w:sz w:val="22"/>
        </w:rPr>
        <w:t> </w:t>
      </w:r>
      <w:r>
        <w:rPr>
          <w:color w:val="231F20"/>
          <w:spacing w:val="-3"/>
          <w:sz w:val="22"/>
        </w:rPr>
        <w:t>Associates</w:t>
      </w:r>
    </w:p>
    <w:p>
      <w:pPr>
        <w:pStyle w:val="BodyText"/>
        <w:spacing w:before="207"/>
        <w:ind w:left="160"/>
      </w:pPr>
      <w:r>
        <w:rPr>
          <w:color w:val="231F20"/>
          <w:spacing w:val="-3"/>
        </w:rPr>
        <w:t>*Members</w:t>
      </w:r>
      <w:r>
        <w:rPr>
          <w:color w:val="231F20"/>
          <w:spacing w:val="-9"/>
        </w:rPr>
        <w:t> </w:t>
      </w:r>
      <w:r>
        <w:rPr>
          <w:color w:val="231F20"/>
          <w:spacing w:val="-2"/>
        </w:rPr>
        <w:t>of</w:t>
      </w:r>
      <w:r>
        <w:rPr>
          <w:color w:val="231F20"/>
          <w:spacing w:val="-7"/>
        </w:rPr>
        <w:t> </w:t>
      </w:r>
      <w:r>
        <w:rPr>
          <w:color w:val="231F20"/>
          <w:spacing w:val="-2"/>
        </w:rPr>
        <w:t>Guide</w:t>
      </w:r>
      <w:r>
        <w:rPr>
          <w:color w:val="231F20"/>
          <w:spacing w:val="-8"/>
        </w:rPr>
        <w:t> </w:t>
      </w:r>
      <w:r>
        <w:rPr>
          <w:color w:val="231F20"/>
          <w:spacing w:val="-2"/>
        </w:rPr>
        <w:t>Planning</w:t>
      </w:r>
      <w:r>
        <w:rPr>
          <w:color w:val="231F20"/>
          <w:spacing w:val="-11"/>
        </w:rPr>
        <w:t> </w:t>
      </w:r>
      <w:r>
        <w:rPr>
          <w:color w:val="231F20"/>
          <w:spacing w:val="-2"/>
        </w:rPr>
        <w:t>Team</w:t>
      </w:r>
    </w:p>
    <w:p>
      <w:pPr>
        <w:spacing w:after="0"/>
        <w:sectPr>
          <w:type w:val="continuous"/>
          <w:pgSz w:w="12240" w:h="15840"/>
          <w:pgMar w:header="0" w:footer="666" w:top="1500" w:bottom="0" w:left="560" w:right="0"/>
          <w:cols w:num="2" w:equalWidth="0">
            <w:col w:w="5186" w:space="574"/>
            <w:col w:w="5920"/>
          </w:cols>
        </w:sectPr>
      </w:pPr>
    </w:p>
    <w:p>
      <w:pPr>
        <w:pStyle w:val="BodyText"/>
        <w:spacing w:before="1"/>
        <w:rPr>
          <w:sz w:val="27"/>
        </w:rPr>
      </w:pPr>
    </w:p>
    <w:p>
      <w:pPr>
        <w:spacing w:after="0"/>
        <w:rPr>
          <w:sz w:val="27"/>
        </w:rPr>
        <w:sectPr>
          <w:headerReference w:type="default" r:id="rId385"/>
          <w:footerReference w:type="default" r:id="rId386"/>
          <w:pgSz w:w="12240" w:h="15840"/>
          <w:pgMar w:header="0" w:footer="666" w:top="1900" w:bottom="860" w:left="560" w:right="0"/>
        </w:sectPr>
      </w:pPr>
    </w:p>
    <w:p>
      <w:pPr>
        <w:pStyle w:val="BodyText"/>
        <w:spacing w:line="266" w:lineRule="auto" w:before="90"/>
        <w:ind w:left="160" w:right="151"/>
      </w:pPr>
      <w:bookmarkStart w:name="Appendix 2: Evidence Review Methodology" w:id="155"/>
      <w:bookmarkEnd w:id="155"/>
      <w:r>
        <w:rPr/>
      </w:r>
      <w:bookmarkStart w:name="Step 1: Practice Selection" w:id="156"/>
      <w:bookmarkEnd w:id="156"/>
      <w:r>
        <w:rPr/>
      </w:r>
      <w:bookmarkStart w:name="Step 2: Study Identification" w:id="157"/>
      <w:bookmarkEnd w:id="157"/>
      <w:r>
        <w:rPr/>
      </w:r>
      <w:bookmarkStart w:name="Step 3: Study Review and Rating" w:id="158"/>
      <w:bookmarkEnd w:id="158"/>
      <w:r>
        <w:rPr/>
      </w:r>
      <w:r>
        <w:rPr>
          <w:color w:val="231F20"/>
        </w:rPr>
        <w:t>The authors followed a rigorous, systematic evidence</w:t>
      </w:r>
      <w:r>
        <w:rPr>
          <w:color w:val="231F20"/>
          <w:spacing w:val="1"/>
        </w:rPr>
        <w:t> </w:t>
      </w:r>
      <w:r>
        <w:rPr>
          <w:color w:val="231F20"/>
        </w:rPr>
        <w:t>review process in the development of this guide. This</w:t>
      </w:r>
      <w:r>
        <w:rPr>
          <w:color w:val="231F20"/>
          <w:spacing w:val="1"/>
        </w:rPr>
        <w:t> </w:t>
      </w:r>
      <w:r>
        <w:rPr>
          <w:color w:val="231F20"/>
        </w:rPr>
        <w:t>appendix provides an overview of the evidence review</w:t>
      </w:r>
      <w:r>
        <w:rPr>
          <w:color w:val="231F20"/>
          <w:spacing w:val="1"/>
        </w:rPr>
        <w:t> </w:t>
      </w:r>
      <w:r>
        <w:rPr>
          <w:color w:val="231F20"/>
          <w:spacing w:val="-1"/>
        </w:rPr>
        <w:t>methodology</w:t>
      </w:r>
      <w:r>
        <w:rPr>
          <w:color w:val="231F20"/>
          <w:spacing w:val="-13"/>
        </w:rPr>
        <w:t> </w:t>
      </w:r>
      <w:r>
        <w:rPr>
          <w:color w:val="231F20"/>
          <w:spacing w:val="-1"/>
        </w:rPr>
        <w:t>used</w:t>
      </w:r>
      <w:r>
        <w:rPr>
          <w:color w:val="231F20"/>
          <w:spacing w:val="-13"/>
        </w:rPr>
        <w:t> </w:t>
      </w:r>
      <w:r>
        <w:rPr>
          <w:color w:val="231F20"/>
          <w:spacing w:val="-1"/>
        </w:rPr>
        <w:t>to</w:t>
      </w:r>
      <w:r>
        <w:rPr>
          <w:color w:val="231F20"/>
          <w:spacing w:val="-13"/>
        </w:rPr>
        <w:t> </w:t>
      </w:r>
      <w:r>
        <w:rPr>
          <w:color w:val="231F20"/>
          <w:spacing w:val="-1"/>
        </w:rPr>
        <w:t>identify</w:t>
      </w:r>
      <w:r>
        <w:rPr>
          <w:color w:val="231F20"/>
          <w:spacing w:val="-12"/>
        </w:rPr>
        <w:t> </w:t>
      </w:r>
      <w:r>
        <w:rPr>
          <w:color w:val="231F20"/>
        </w:rPr>
        <w:t>the</w:t>
      </w:r>
      <w:r>
        <w:rPr>
          <w:color w:val="231F20"/>
          <w:spacing w:val="-13"/>
        </w:rPr>
        <w:t> </w:t>
      </w:r>
      <w:r>
        <w:rPr>
          <w:color w:val="231F20"/>
        </w:rPr>
        <w:t>ratings</w:t>
      </w:r>
      <w:r>
        <w:rPr>
          <w:color w:val="231F20"/>
          <w:spacing w:val="-13"/>
        </w:rPr>
        <w:t> </w:t>
      </w:r>
      <w:r>
        <w:rPr>
          <w:color w:val="231F20"/>
        </w:rPr>
        <w:t>for</w:t>
      </w:r>
      <w:r>
        <w:rPr>
          <w:color w:val="231F20"/>
          <w:spacing w:val="-12"/>
        </w:rPr>
        <w:t> </w:t>
      </w:r>
      <w:r>
        <w:rPr>
          <w:color w:val="231F20"/>
        </w:rPr>
        <w:t>the</w:t>
      </w:r>
      <w:r>
        <w:rPr>
          <w:color w:val="231F20"/>
          <w:spacing w:val="-13"/>
        </w:rPr>
        <w:t> </w:t>
      </w:r>
      <w:r>
        <w:rPr>
          <w:color w:val="231F20"/>
        </w:rPr>
        <w:t>practices</w:t>
      </w:r>
      <w:r>
        <w:rPr>
          <w:color w:val="231F20"/>
          <w:spacing w:val="-52"/>
        </w:rPr>
        <w:t> </w:t>
      </w:r>
      <w:r>
        <w:rPr>
          <w:color w:val="231F20"/>
        </w:rPr>
        <w:t>included</w:t>
      </w:r>
      <w:r>
        <w:rPr>
          <w:color w:val="231F20"/>
          <w:spacing w:val="-13"/>
        </w:rPr>
        <w:t> </w:t>
      </w:r>
      <w:r>
        <w:rPr>
          <w:color w:val="231F20"/>
        </w:rPr>
        <w:t>in</w:t>
      </w:r>
      <w:r>
        <w:rPr>
          <w:color w:val="231F20"/>
          <w:spacing w:val="-12"/>
        </w:rPr>
        <w:t> </w:t>
      </w:r>
      <w:r>
        <w:rPr>
          <w:color w:val="231F20"/>
        </w:rPr>
        <w:t>the</w:t>
      </w:r>
      <w:r>
        <w:rPr>
          <w:color w:val="231F20"/>
          <w:spacing w:val="-12"/>
        </w:rPr>
        <w:t> </w:t>
      </w:r>
      <w:r>
        <w:rPr>
          <w:color w:val="231F20"/>
        </w:rPr>
        <w:t>guide:</w:t>
      </w:r>
      <w:r>
        <w:rPr>
          <w:color w:val="231F20"/>
          <w:spacing w:val="-12"/>
        </w:rPr>
        <w:t> </w:t>
      </w:r>
      <w:r>
        <w:rPr>
          <w:color w:val="231F20"/>
        </w:rPr>
        <w:t>practices</w:t>
      </w:r>
      <w:r>
        <w:rPr>
          <w:color w:val="231F20"/>
          <w:spacing w:val="-13"/>
        </w:rPr>
        <w:t> </w:t>
      </w:r>
      <w:r>
        <w:rPr>
          <w:color w:val="231F20"/>
        </w:rPr>
        <w:t>to</w:t>
      </w:r>
      <w:r>
        <w:rPr>
          <w:color w:val="231F20"/>
          <w:spacing w:val="-12"/>
        </w:rPr>
        <w:t> </w:t>
      </w:r>
      <w:r>
        <w:rPr>
          <w:color w:val="231F20"/>
        </w:rPr>
        <w:t>increase</w:t>
      </w:r>
      <w:r>
        <w:rPr>
          <w:color w:val="231F20"/>
          <w:spacing w:val="-12"/>
        </w:rPr>
        <w:t> </w:t>
      </w:r>
      <w:r>
        <w:rPr>
          <w:color w:val="231F20"/>
        </w:rPr>
        <w:t>uptake</w:t>
      </w:r>
      <w:r>
        <w:rPr>
          <w:color w:val="231F20"/>
          <w:spacing w:val="-12"/>
        </w:rPr>
        <w:t> </w:t>
      </w:r>
      <w:r>
        <w:rPr>
          <w:color w:val="231F20"/>
        </w:rPr>
        <w:t>of</w:t>
      </w:r>
      <w:r>
        <w:rPr>
          <w:color w:val="231F20"/>
          <w:spacing w:val="-12"/>
        </w:rPr>
        <w:t> </w:t>
      </w:r>
      <w:r>
        <w:rPr>
          <w:color w:val="231F20"/>
        </w:rPr>
        <w:t>and</w:t>
      </w:r>
      <w:r>
        <w:rPr>
          <w:color w:val="231F20"/>
          <w:spacing w:val="-52"/>
        </w:rPr>
        <w:t> </w:t>
      </w:r>
      <w:r>
        <w:rPr>
          <w:color w:val="231F20"/>
          <w:spacing w:val="-1"/>
        </w:rPr>
        <w:t>improve adherence to PrEP, syringe services programs,</w:t>
      </w:r>
      <w:r>
        <w:rPr>
          <w:color w:val="231F20"/>
        </w:rPr>
        <w:t> </w:t>
      </w:r>
      <w:r>
        <w:rPr>
          <w:color w:val="231F20"/>
          <w:spacing w:val="-2"/>
        </w:rPr>
        <w:t>cognitive </w:t>
      </w:r>
      <w:r>
        <w:rPr>
          <w:color w:val="231F20"/>
          <w:spacing w:val="-1"/>
        </w:rPr>
        <w:t>behavioral therapy, contingency management,</w:t>
      </w:r>
      <w:r>
        <w:rPr>
          <w:color w:val="231F20"/>
          <w:spacing w:val="-52"/>
        </w:rPr>
        <w:t> </w:t>
      </w:r>
      <w:r>
        <w:rPr>
          <w:color w:val="231F20"/>
          <w:spacing w:val="-1"/>
        </w:rPr>
        <w:t>and patient navigation. </w:t>
      </w:r>
      <w:r>
        <w:rPr>
          <w:color w:val="231F20"/>
        </w:rPr>
        <w:t>Reviewers, in coordination with</w:t>
      </w:r>
      <w:r>
        <w:rPr>
          <w:color w:val="231F20"/>
          <w:spacing w:val="1"/>
        </w:rPr>
        <w:t> </w:t>
      </w:r>
      <w:r>
        <w:rPr>
          <w:color w:val="231F20"/>
          <w:spacing w:val="-2"/>
        </w:rPr>
        <w:t>SAMHSA and experts, conducted a four-step process </w:t>
      </w:r>
      <w:r>
        <w:rPr>
          <w:color w:val="231F20"/>
          <w:spacing w:val="-1"/>
        </w:rPr>
        <w:t>to</w:t>
      </w:r>
      <w:r>
        <w:rPr>
          <w:color w:val="231F20"/>
        </w:rPr>
        <w:t> </w:t>
      </w:r>
      <w:r>
        <w:rPr>
          <w:color w:val="231F20"/>
          <w:spacing w:val="-1"/>
        </w:rPr>
        <w:t>select practices, identify related </w:t>
      </w:r>
      <w:r>
        <w:rPr>
          <w:color w:val="231F20"/>
        </w:rPr>
        <w:t>studies, review and rate</w:t>
      </w:r>
      <w:r>
        <w:rPr>
          <w:color w:val="231F20"/>
          <w:spacing w:val="-52"/>
        </w:rPr>
        <w:t> </w:t>
      </w:r>
      <w:r>
        <w:rPr>
          <w:color w:val="231F20"/>
        </w:rPr>
        <w:t>studies,</w:t>
      </w:r>
      <w:r>
        <w:rPr>
          <w:color w:val="231F20"/>
          <w:spacing w:val="-7"/>
        </w:rPr>
        <w:t> </w:t>
      </w:r>
      <w:r>
        <w:rPr>
          <w:color w:val="231F20"/>
        </w:rPr>
        <w:t>and</w:t>
      </w:r>
      <w:r>
        <w:rPr>
          <w:color w:val="231F20"/>
          <w:spacing w:val="-6"/>
        </w:rPr>
        <w:t> </w:t>
      </w:r>
      <w:r>
        <w:rPr>
          <w:color w:val="231F20"/>
        </w:rPr>
        <w:t>identify</w:t>
      </w:r>
      <w:r>
        <w:rPr>
          <w:color w:val="231F20"/>
          <w:spacing w:val="-6"/>
        </w:rPr>
        <w:t> </w:t>
      </w:r>
      <w:r>
        <w:rPr>
          <w:color w:val="231F20"/>
        </w:rPr>
        <w:t>practice</w:t>
      </w:r>
      <w:r>
        <w:rPr>
          <w:color w:val="231F20"/>
          <w:spacing w:val="-6"/>
        </w:rPr>
        <w:t> </w:t>
      </w:r>
      <w:r>
        <w:rPr>
          <w:color w:val="231F20"/>
        </w:rPr>
        <w:t>ratings.</w:t>
      </w:r>
    </w:p>
    <w:p>
      <w:pPr>
        <w:pStyle w:val="Heading2"/>
        <w:spacing w:before="132"/>
      </w:pPr>
      <w:r>
        <w:rPr>
          <w:color w:val="1C384B"/>
        </w:rPr>
        <w:t>Step</w:t>
      </w:r>
      <w:r>
        <w:rPr>
          <w:color w:val="1C384B"/>
          <w:spacing w:val="-3"/>
        </w:rPr>
        <w:t> </w:t>
      </w:r>
      <w:r>
        <w:rPr>
          <w:color w:val="1C384B"/>
        </w:rPr>
        <w:t>1:</w:t>
      </w:r>
      <w:r>
        <w:rPr>
          <w:color w:val="1C384B"/>
          <w:spacing w:val="-3"/>
        </w:rPr>
        <w:t> </w:t>
      </w:r>
      <w:r>
        <w:rPr>
          <w:color w:val="1C384B"/>
        </w:rPr>
        <w:t>Practice</w:t>
      </w:r>
      <w:r>
        <w:rPr>
          <w:color w:val="1C384B"/>
          <w:spacing w:val="-3"/>
        </w:rPr>
        <w:t> </w:t>
      </w:r>
      <w:r>
        <w:rPr>
          <w:color w:val="1C384B"/>
        </w:rPr>
        <w:t>Selection</w:t>
      </w:r>
    </w:p>
    <w:p>
      <w:pPr>
        <w:pStyle w:val="BodyText"/>
        <w:spacing w:line="266" w:lineRule="auto" w:before="86"/>
        <w:ind w:left="160" w:right="88"/>
      </w:pPr>
      <w:r>
        <w:rPr>
          <w:color w:val="231F20"/>
          <w:spacing w:val="-1"/>
        </w:rPr>
        <w:t>The authors </w:t>
      </w:r>
      <w:r>
        <w:rPr>
          <w:color w:val="231F20"/>
        </w:rPr>
        <w:t>identified these five practices after a review</w:t>
      </w:r>
      <w:r>
        <w:rPr>
          <w:color w:val="231F20"/>
          <w:spacing w:val="-52"/>
        </w:rPr>
        <w:t> </w:t>
      </w:r>
      <w:r>
        <w:rPr>
          <w:color w:val="231F20"/>
        </w:rPr>
        <w:t>of the literature and in consultation with experts. In an</w:t>
      </w:r>
      <w:r>
        <w:rPr>
          <w:color w:val="231F20"/>
          <w:spacing w:val="1"/>
        </w:rPr>
        <w:t> </w:t>
      </w:r>
      <w:r>
        <w:rPr>
          <w:color w:val="231F20"/>
        </w:rPr>
        <w:t>effort to include interventions that would be most useful</w:t>
      </w:r>
      <w:r>
        <w:rPr>
          <w:color w:val="231F20"/>
          <w:spacing w:val="-52"/>
        </w:rPr>
        <w:t> </w:t>
      </w:r>
      <w:r>
        <w:rPr>
          <w:color w:val="231F20"/>
          <w:spacing w:val="-1"/>
        </w:rPr>
        <w:t>to </w:t>
      </w:r>
      <w:r>
        <w:rPr>
          <w:color w:val="231F20"/>
        </w:rPr>
        <w:t>those seeking to prevent and treat HIV among people</w:t>
      </w:r>
      <w:r>
        <w:rPr>
          <w:color w:val="231F20"/>
          <w:spacing w:val="1"/>
        </w:rPr>
        <w:t> </w:t>
      </w:r>
      <w:r>
        <w:rPr>
          <w:color w:val="231F20"/>
          <w:spacing w:val="-1"/>
        </w:rPr>
        <w:t>with</w:t>
      </w:r>
      <w:r>
        <w:rPr>
          <w:color w:val="231F20"/>
          <w:spacing w:val="-13"/>
        </w:rPr>
        <w:t> </w:t>
      </w:r>
      <w:r>
        <w:rPr>
          <w:color w:val="231F20"/>
          <w:spacing w:val="-1"/>
        </w:rPr>
        <w:t>mental</w:t>
      </w:r>
      <w:r>
        <w:rPr>
          <w:color w:val="231F20"/>
          <w:spacing w:val="-11"/>
        </w:rPr>
        <w:t> </w:t>
      </w:r>
      <w:r>
        <w:rPr>
          <w:color w:val="231F20"/>
          <w:spacing w:val="-1"/>
        </w:rPr>
        <w:t>illness</w:t>
      </w:r>
      <w:r>
        <w:rPr>
          <w:color w:val="231F20"/>
          <w:spacing w:val="-11"/>
        </w:rPr>
        <w:t> </w:t>
      </w:r>
      <w:r>
        <w:rPr>
          <w:color w:val="231F20"/>
          <w:spacing w:val="-1"/>
        </w:rPr>
        <w:t>and/or</w:t>
      </w:r>
      <w:r>
        <w:rPr>
          <w:color w:val="231F20"/>
          <w:spacing w:val="-11"/>
        </w:rPr>
        <w:t> </w:t>
      </w:r>
      <w:r>
        <w:rPr>
          <w:color w:val="231F20"/>
          <w:spacing w:val="-1"/>
        </w:rPr>
        <w:t>substance</w:t>
      </w:r>
      <w:r>
        <w:rPr>
          <w:color w:val="231F20"/>
          <w:spacing w:val="-12"/>
        </w:rPr>
        <w:t> </w:t>
      </w:r>
      <w:r>
        <w:rPr>
          <w:color w:val="231F20"/>
          <w:spacing w:val="-1"/>
        </w:rPr>
        <w:t>use</w:t>
      </w:r>
      <w:r>
        <w:rPr>
          <w:color w:val="231F20"/>
          <w:spacing w:val="-12"/>
        </w:rPr>
        <w:t> </w:t>
      </w:r>
      <w:r>
        <w:rPr>
          <w:color w:val="231F20"/>
          <w:spacing w:val="-1"/>
        </w:rPr>
        <w:t>disorders</w:t>
      </w:r>
      <w:r>
        <w:rPr>
          <w:color w:val="231F20"/>
          <w:spacing w:val="-11"/>
        </w:rPr>
        <w:t> </w:t>
      </w:r>
      <w:r>
        <w:rPr>
          <w:color w:val="231F20"/>
        </w:rPr>
        <w:t>(SUD),</w:t>
      </w:r>
      <w:r>
        <w:rPr>
          <w:color w:val="231F20"/>
          <w:spacing w:val="-52"/>
        </w:rPr>
        <w:t> </w:t>
      </w:r>
      <w:r>
        <w:rPr>
          <w:color w:val="231F20"/>
        </w:rPr>
        <w:t>eligible practices were required to meet the following</w:t>
      </w:r>
      <w:r>
        <w:rPr>
          <w:color w:val="231F20"/>
          <w:spacing w:val="1"/>
        </w:rPr>
        <w:t> </w:t>
      </w:r>
      <w:r>
        <w:rPr>
          <w:color w:val="231F20"/>
        </w:rPr>
        <w:t>criteria</w:t>
      </w:r>
      <w:r>
        <w:rPr>
          <w:color w:val="231F20"/>
          <w:spacing w:val="-5"/>
        </w:rPr>
        <w:t> </w:t>
      </w:r>
      <w:r>
        <w:rPr>
          <w:color w:val="231F20"/>
        </w:rPr>
        <w:t>for</w:t>
      </w:r>
      <w:r>
        <w:rPr>
          <w:color w:val="231F20"/>
          <w:spacing w:val="-5"/>
        </w:rPr>
        <w:t> </w:t>
      </w:r>
      <w:r>
        <w:rPr>
          <w:color w:val="231F20"/>
        </w:rPr>
        <w:t>evidence</w:t>
      </w:r>
      <w:r>
        <w:rPr>
          <w:color w:val="231F20"/>
          <w:spacing w:val="-5"/>
        </w:rPr>
        <w:t> </w:t>
      </w:r>
      <w:r>
        <w:rPr>
          <w:color w:val="231F20"/>
        </w:rPr>
        <w:t>review:</w:t>
      </w:r>
    </w:p>
    <w:p>
      <w:pPr>
        <w:pStyle w:val="ListParagraph"/>
        <w:numPr>
          <w:ilvl w:val="1"/>
          <w:numId w:val="27"/>
        </w:numPr>
        <w:tabs>
          <w:tab w:pos="879" w:val="left" w:leader="none"/>
          <w:tab w:pos="880" w:val="left" w:leader="none"/>
        </w:tabs>
        <w:spacing w:line="267" w:lineRule="exact" w:before="143" w:after="0"/>
        <w:ind w:left="879" w:right="0" w:hanging="361"/>
        <w:jc w:val="left"/>
        <w:rPr>
          <w:sz w:val="22"/>
        </w:rPr>
      </w:pPr>
      <w:r>
        <w:rPr>
          <w:color w:val="010202"/>
          <w:sz w:val="22"/>
        </w:rPr>
        <w:t>Be</w:t>
      </w:r>
      <w:r>
        <w:rPr>
          <w:color w:val="010202"/>
          <w:spacing w:val="-3"/>
          <w:sz w:val="22"/>
        </w:rPr>
        <w:t> </w:t>
      </w:r>
      <w:r>
        <w:rPr>
          <w:color w:val="010202"/>
          <w:sz w:val="22"/>
        </w:rPr>
        <w:t>clearly</w:t>
      </w:r>
      <w:r>
        <w:rPr>
          <w:color w:val="010202"/>
          <w:spacing w:val="-2"/>
          <w:sz w:val="22"/>
        </w:rPr>
        <w:t> </w:t>
      </w:r>
      <w:r>
        <w:rPr>
          <w:color w:val="010202"/>
          <w:sz w:val="22"/>
        </w:rPr>
        <w:t>defined</w:t>
      </w:r>
      <w:r>
        <w:rPr>
          <w:color w:val="010202"/>
          <w:spacing w:val="-2"/>
          <w:sz w:val="22"/>
        </w:rPr>
        <w:t> </w:t>
      </w:r>
      <w:r>
        <w:rPr>
          <w:color w:val="010202"/>
          <w:sz w:val="22"/>
        </w:rPr>
        <w:t>and</w:t>
      </w:r>
      <w:r>
        <w:rPr>
          <w:color w:val="010202"/>
          <w:spacing w:val="-3"/>
          <w:sz w:val="22"/>
        </w:rPr>
        <w:t> </w:t>
      </w:r>
      <w:r>
        <w:rPr>
          <w:color w:val="010202"/>
          <w:sz w:val="22"/>
        </w:rPr>
        <w:t>replicable</w:t>
      </w:r>
    </w:p>
    <w:p>
      <w:pPr>
        <w:pStyle w:val="ListParagraph"/>
        <w:numPr>
          <w:ilvl w:val="1"/>
          <w:numId w:val="27"/>
        </w:numPr>
        <w:tabs>
          <w:tab w:pos="879" w:val="left" w:leader="none"/>
          <w:tab w:pos="880" w:val="left" w:leader="none"/>
        </w:tabs>
        <w:spacing w:line="249" w:lineRule="auto" w:before="0" w:after="0"/>
        <w:ind w:left="879" w:right="169" w:hanging="360"/>
        <w:jc w:val="left"/>
        <w:rPr>
          <w:sz w:val="22"/>
        </w:rPr>
      </w:pPr>
      <w:r>
        <w:rPr>
          <w:color w:val="010202"/>
          <w:sz w:val="22"/>
        </w:rPr>
        <w:t>Address the target outcome of preventing and</w:t>
      </w:r>
      <w:r>
        <w:rPr>
          <w:color w:val="010202"/>
          <w:spacing w:val="1"/>
          <w:sz w:val="22"/>
        </w:rPr>
        <w:t> </w:t>
      </w:r>
      <w:r>
        <w:rPr>
          <w:color w:val="010202"/>
          <w:sz w:val="22"/>
        </w:rPr>
        <w:t>treating</w:t>
      </w:r>
      <w:r>
        <w:rPr>
          <w:color w:val="010202"/>
          <w:spacing w:val="-3"/>
          <w:sz w:val="22"/>
        </w:rPr>
        <w:t> </w:t>
      </w:r>
      <w:r>
        <w:rPr>
          <w:color w:val="010202"/>
          <w:sz w:val="22"/>
        </w:rPr>
        <w:t>HIV</w:t>
      </w:r>
      <w:r>
        <w:rPr>
          <w:color w:val="010202"/>
          <w:spacing w:val="-7"/>
          <w:sz w:val="22"/>
        </w:rPr>
        <w:t> </w:t>
      </w:r>
      <w:r>
        <w:rPr>
          <w:color w:val="010202"/>
          <w:sz w:val="22"/>
        </w:rPr>
        <w:t>among</w:t>
      </w:r>
      <w:r>
        <w:rPr>
          <w:color w:val="010202"/>
          <w:spacing w:val="-2"/>
          <w:sz w:val="22"/>
        </w:rPr>
        <w:t> </w:t>
      </w:r>
      <w:r>
        <w:rPr>
          <w:color w:val="010202"/>
          <w:sz w:val="22"/>
        </w:rPr>
        <w:t>people</w:t>
      </w:r>
      <w:r>
        <w:rPr>
          <w:color w:val="010202"/>
          <w:spacing w:val="-2"/>
          <w:sz w:val="22"/>
        </w:rPr>
        <w:t> </w:t>
      </w:r>
      <w:r>
        <w:rPr>
          <w:color w:val="010202"/>
          <w:sz w:val="22"/>
        </w:rPr>
        <w:t>who</w:t>
      </w:r>
      <w:r>
        <w:rPr>
          <w:color w:val="010202"/>
          <w:spacing w:val="-3"/>
          <w:sz w:val="22"/>
        </w:rPr>
        <w:t> </w:t>
      </w:r>
      <w:r>
        <w:rPr>
          <w:color w:val="010202"/>
          <w:sz w:val="22"/>
        </w:rPr>
        <w:t>use</w:t>
      </w:r>
      <w:r>
        <w:rPr>
          <w:color w:val="010202"/>
          <w:spacing w:val="-3"/>
          <w:sz w:val="22"/>
        </w:rPr>
        <w:t> </w:t>
      </w:r>
      <w:r>
        <w:rPr>
          <w:color w:val="010202"/>
          <w:sz w:val="22"/>
        </w:rPr>
        <w:t>substances</w:t>
      </w:r>
      <w:r>
        <w:rPr>
          <w:color w:val="010202"/>
          <w:spacing w:val="-52"/>
          <w:sz w:val="22"/>
        </w:rPr>
        <w:t> </w:t>
      </w:r>
      <w:r>
        <w:rPr>
          <w:color w:val="010202"/>
          <w:sz w:val="22"/>
        </w:rPr>
        <w:t>and/or have mental health concerns</w:t>
      </w:r>
    </w:p>
    <w:p>
      <w:pPr>
        <w:pStyle w:val="ListParagraph"/>
        <w:numPr>
          <w:ilvl w:val="1"/>
          <w:numId w:val="27"/>
        </w:numPr>
        <w:tabs>
          <w:tab w:pos="879" w:val="left" w:leader="none"/>
          <w:tab w:pos="880" w:val="left" w:leader="none"/>
        </w:tabs>
        <w:spacing w:line="252" w:lineRule="exact" w:before="0" w:after="0"/>
        <w:ind w:left="879" w:right="0" w:hanging="361"/>
        <w:jc w:val="left"/>
        <w:rPr>
          <w:sz w:val="22"/>
        </w:rPr>
      </w:pPr>
      <w:r>
        <w:rPr>
          <w:color w:val="010202"/>
          <w:sz w:val="22"/>
        </w:rPr>
        <w:t>Be currently in use</w:t>
      </w:r>
    </w:p>
    <w:p>
      <w:pPr>
        <w:pStyle w:val="ListParagraph"/>
        <w:numPr>
          <w:ilvl w:val="1"/>
          <w:numId w:val="27"/>
        </w:numPr>
        <w:tabs>
          <w:tab w:pos="879" w:val="left" w:leader="none"/>
          <w:tab w:pos="880" w:val="left" w:leader="none"/>
        </w:tabs>
        <w:spacing w:line="264" w:lineRule="exact" w:before="0" w:after="0"/>
        <w:ind w:left="879" w:right="0" w:hanging="361"/>
        <w:jc w:val="left"/>
        <w:rPr>
          <w:sz w:val="22"/>
        </w:rPr>
      </w:pPr>
      <w:r>
        <w:rPr>
          <w:color w:val="010202"/>
          <w:sz w:val="22"/>
        </w:rPr>
        <w:t>Have</w:t>
      </w:r>
      <w:r>
        <w:rPr>
          <w:color w:val="010202"/>
          <w:spacing w:val="-4"/>
          <w:sz w:val="22"/>
        </w:rPr>
        <w:t> </w:t>
      </w:r>
      <w:r>
        <w:rPr>
          <w:color w:val="010202"/>
          <w:sz w:val="22"/>
        </w:rPr>
        <w:t>studies</w:t>
      </w:r>
      <w:r>
        <w:rPr>
          <w:color w:val="010202"/>
          <w:spacing w:val="-4"/>
          <w:sz w:val="22"/>
        </w:rPr>
        <w:t> </w:t>
      </w:r>
      <w:r>
        <w:rPr>
          <w:color w:val="010202"/>
          <w:sz w:val="22"/>
        </w:rPr>
        <w:t>of</w:t>
      </w:r>
      <w:r>
        <w:rPr>
          <w:color w:val="010202"/>
          <w:spacing w:val="-2"/>
          <w:sz w:val="22"/>
        </w:rPr>
        <w:t> </w:t>
      </w:r>
      <w:r>
        <w:rPr>
          <w:color w:val="010202"/>
          <w:sz w:val="22"/>
        </w:rPr>
        <w:t>their</w:t>
      </w:r>
      <w:r>
        <w:rPr>
          <w:color w:val="010202"/>
          <w:spacing w:val="-3"/>
          <w:sz w:val="22"/>
        </w:rPr>
        <w:t> </w:t>
      </w:r>
      <w:r>
        <w:rPr>
          <w:color w:val="010202"/>
          <w:sz w:val="22"/>
        </w:rPr>
        <w:t>effectiveness</w:t>
      </w:r>
    </w:p>
    <w:p>
      <w:pPr>
        <w:pStyle w:val="ListParagraph"/>
        <w:numPr>
          <w:ilvl w:val="1"/>
          <w:numId w:val="27"/>
        </w:numPr>
        <w:tabs>
          <w:tab w:pos="879" w:val="left" w:leader="none"/>
          <w:tab w:pos="880" w:val="left" w:leader="none"/>
        </w:tabs>
        <w:spacing w:line="267" w:lineRule="exact" w:before="0" w:after="0"/>
        <w:ind w:left="879" w:right="0" w:hanging="361"/>
        <w:jc w:val="left"/>
        <w:rPr>
          <w:sz w:val="22"/>
        </w:rPr>
      </w:pPr>
      <w:r>
        <w:rPr>
          <w:color w:val="010202"/>
          <w:sz w:val="22"/>
        </w:rPr>
        <w:t>Have</w:t>
      </w:r>
      <w:r>
        <w:rPr>
          <w:color w:val="010202"/>
          <w:spacing w:val="-6"/>
          <w:sz w:val="22"/>
        </w:rPr>
        <w:t> </w:t>
      </w:r>
      <w:r>
        <w:rPr>
          <w:color w:val="010202"/>
          <w:sz w:val="22"/>
        </w:rPr>
        <w:t>accessible</w:t>
      </w:r>
      <w:r>
        <w:rPr>
          <w:color w:val="010202"/>
          <w:spacing w:val="-4"/>
          <w:sz w:val="22"/>
        </w:rPr>
        <w:t> </w:t>
      </w:r>
      <w:r>
        <w:rPr>
          <w:color w:val="010202"/>
          <w:sz w:val="22"/>
        </w:rPr>
        <w:t>implementation</w:t>
      </w:r>
      <w:r>
        <w:rPr>
          <w:color w:val="010202"/>
          <w:spacing w:val="-4"/>
          <w:sz w:val="22"/>
        </w:rPr>
        <w:t> </w:t>
      </w:r>
      <w:r>
        <w:rPr>
          <w:color w:val="010202"/>
          <w:sz w:val="22"/>
        </w:rPr>
        <w:t>and</w:t>
      </w:r>
      <w:r>
        <w:rPr>
          <w:color w:val="010202"/>
          <w:spacing w:val="-5"/>
          <w:sz w:val="22"/>
        </w:rPr>
        <w:t> </w:t>
      </w:r>
      <w:r>
        <w:rPr>
          <w:color w:val="010202"/>
          <w:sz w:val="22"/>
        </w:rPr>
        <w:t>fidelity</w:t>
      </w:r>
    </w:p>
    <w:p>
      <w:pPr>
        <w:pStyle w:val="BodyText"/>
        <w:spacing w:before="7"/>
        <w:ind w:left="879"/>
      </w:pPr>
      <w:r>
        <w:rPr>
          <w:color w:val="010202"/>
        </w:rPr>
        <w:t>supports</w:t>
      </w:r>
    </w:p>
    <w:p>
      <w:pPr>
        <w:pStyle w:val="BodyText"/>
        <w:spacing w:line="266" w:lineRule="auto" w:before="207"/>
        <w:ind w:left="159" w:right="203"/>
      </w:pPr>
      <w:r>
        <w:rPr>
          <w:color w:val="231F20"/>
          <w:spacing w:val="-3"/>
        </w:rPr>
        <w:t>At</w:t>
      </w:r>
      <w:r>
        <w:rPr>
          <w:color w:val="231F20"/>
          <w:spacing w:val="-5"/>
        </w:rPr>
        <w:t> </w:t>
      </w:r>
      <w:r>
        <w:rPr>
          <w:color w:val="231F20"/>
          <w:spacing w:val="-3"/>
        </w:rPr>
        <w:t>the</w:t>
      </w:r>
      <w:r>
        <w:rPr>
          <w:color w:val="231F20"/>
          <w:spacing w:val="-4"/>
        </w:rPr>
        <w:t> </w:t>
      </w:r>
      <w:r>
        <w:rPr>
          <w:color w:val="231F20"/>
          <w:spacing w:val="-2"/>
        </w:rPr>
        <w:t>conclusion</w:t>
      </w:r>
      <w:r>
        <w:rPr>
          <w:color w:val="231F20"/>
          <w:spacing w:val="-4"/>
        </w:rPr>
        <w:t> </w:t>
      </w:r>
      <w:r>
        <w:rPr>
          <w:color w:val="231F20"/>
          <w:spacing w:val="-2"/>
        </w:rPr>
        <w:t>of</w:t>
      </w:r>
      <w:r>
        <w:rPr>
          <w:color w:val="231F20"/>
          <w:spacing w:val="-4"/>
        </w:rPr>
        <w:t> </w:t>
      </w:r>
      <w:r>
        <w:rPr>
          <w:color w:val="231F20"/>
          <w:spacing w:val="-2"/>
        </w:rPr>
        <w:t>this</w:t>
      </w:r>
      <w:r>
        <w:rPr>
          <w:color w:val="231F20"/>
          <w:spacing w:val="-3"/>
        </w:rPr>
        <w:t> </w:t>
      </w:r>
      <w:r>
        <w:rPr>
          <w:color w:val="231F20"/>
          <w:spacing w:val="-2"/>
        </w:rPr>
        <w:t>step,</w:t>
      </w:r>
      <w:r>
        <w:rPr>
          <w:color w:val="231F20"/>
          <w:spacing w:val="-5"/>
        </w:rPr>
        <w:t> </w:t>
      </w:r>
      <w:r>
        <w:rPr>
          <w:color w:val="231F20"/>
          <w:spacing w:val="-2"/>
        </w:rPr>
        <w:t>SAMHSA</w:t>
      </w:r>
      <w:r>
        <w:rPr>
          <w:color w:val="231F20"/>
          <w:spacing w:val="-17"/>
        </w:rPr>
        <w:t> </w:t>
      </w:r>
      <w:r>
        <w:rPr>
          <w:color w:val="231F20"/>
          <w:spacing w:val="-2"/>
        </w:rPr>
        <w:t>and</w:t>
      </w:r>
      <w:r>
        <w:rPr>
          <w:color w:val="231F20"/>
          <w:spacing w:val="-4"/>
        </w:rPr>
        <w:t> </w:t>
      </w:r>
      <w:r>
        <w:rPr>
          <w:color w:val="231F20"/>
          <w:spacing w:val="-2"/>
        </w:rPr>
        <w:t>the</w:t>
      </w:r>
      <w:r>
        <w:rPr>
          <w:color w:val="231F20"/>
          <w:spacing w:val="-4"/>
        </w:rPr>
        <w:t> </w:t>
      </w:r>
      <w:r>
        <w:rPr>
          <w:color w:val="231F20"/>
          <w:spacing w:val="-2"/>
        </w:rPr>
        <w:t>guide’s</w:t>
      </w:r>
      <w:r>
        <w:rPr>
          <w:color w:val="231F20"/>
          <w:spacing w:val="-52"/>
        </w:rPr>
        <w:t> </w:t>
      </w:r>
      <w:r>
        <w:rPr>
          <w:color w:val="231F20"/>
          <w:spacing w:val="-1"/>
        </w:rPr>
        <w:t>Expert Panel reviewed the proposed practices identified</w:t>
      </w:r>
      <w:r>
        <w:rPr>
          <w:color w:val="231F20"/>
          <w:spacing w:val="-52"/>
        </w:rPr>
        <w:t> </w:t>
      </w:r>
      <w:r>
        <w:rPr>
          <w:color w:val="231F20"/>
        </w:rPr>
        <w:t>by the authors and agreed on five for inclusion in the</w:t>
      </w:r>
      <w:r>
        <w:rPr>
          <w:color w:val="231F20"/>
          <w:spacing w:val="1"/>
        </w:rPr>
        <w:t> </w:t>
      </w:r>
      <w:r>
        <w:rPr>
          <w:color w:val="231F20"/>
        </w:rPr>
        <w:t>evidence</w:t>
      </w:r>
      <w:r>
        <w:rPr>
          <w:color w:val="231F20"/>
          <w:spacing w:val="-6"/>
        </w:rPr>
        <w:t> </w:t>
      </w:r>
      <w:r>
        <w:rPr>
          <w:color w:val="231F20"/>
        </w:rPr>
        <w:t>review</w:t>
      </w:r>
      <w:r>
        <w:rPr>
          <w:color w:val="231F20"/>
          <w:spacing w:val="-5"/>
        </w:rPr>
        <w:t> </w:t>
      </w:r>
      <w:r>
        <w:rPr>
          <w:color w:val="231F20"/>
        </w:rPr>
        <w:t>and</w:t>
      </w:r>
      <w:r>
        <w:rPr>
          <w:color w:val="231F20"/>
          <w:spacing w:val="-6"/>
        </w:rPr>
        <w:t> </w:t>
      </w:r>
      <w:r>
        <w:rPr>
          <w:color w:val="231F20"/>
        </w:rPr>
        <w:t>rating</w:t>
      </w:r>
      <w:r>
        <w:rPr>
          <w:color w:val="231F20"/>
          <w:spacing w:val="-5"/>
        </w:rPr>
        <w:t> </w:t>
      </w:r>
      <w:r>
        <w:rPr>
          <w:color w:val="231F20"/>
        </w:rPr>
        <w:t>process.</w:t>
      </w:r>
    </w:p>
    <w:p>
      <w:pPr>
        <w:pStyle w:val="Heading2"/>
        <w:spacing w:line="437" w:lineRule="exact" w:before="137"/>
      </w:pPr>
      <w:r>
        <w:rPr>
          <w:color w:val="1C384B"/>
        </w:rPr>
        <w:t>Step</w:t>
      </w:r>
      <w:r>
        <w:rPr>
          <w:color w:val="1C384B"/>
          <w:spacing w:val="-5"/>
        </w:rPr>
        <w:t> </w:t>
      </w:r>
      <w:r>
        <w:rPr>
          <w:color w:val="1C384B"/>
        </w:rPr>
        <w:t>2:</w:t>
      </w:r>
      <w:r>
        <w:rPr>
          <w:color w:val="1C384B"/>
          <w:spacing w:val="-5"/>
        </w:rPr>
        <w:t> </w:t>
      </w:r>
      <w:r>
        <w:rPr>
          <w:color w:val="1C384B"/>
        </w:rPr>
        <w:t>Study</w:t>
      </w:r>
    </w:p>
    <w:p>
      <w:pPr>
        <w:spacing w:line="437" w:lineRule="exact" w:before="0"/>
        <w:ind w:left="160" w:right="0" w:firstLine="0"/>
        <w:jc w:val="left"/>
        <w:rPr>
          <w:rFonts w:ascii="Arial Black"/>
          <w:sz w:val="35"/>
        </w:rPr>
      </w:pPr>
      <w:r>
        <w:rPr>
          <w:rFonts w:ascii="Arial Black"/>
          <w:color w:val="1C384B"/>
          <w:sz w:val="35"/>
        </w:rPr>
        <w:t>Identification</w:t>
      </w:r>
    </w:p>
    <w:p>
      <w:pPr>
        <w:pStyle w:val="BodyText"/>
        <w:spacing w:line="266" w:lineRule="auto" w:before="86"/>
        <w:ind w:left="160" w:right="36"/>
      </w:pPr>
      <w:r>
        <w:rPr>
          <w:color w:val="231F20"/>
          <w:spacing w:val="-1"/>
        </w:rPr>
        <w:t>Once</w:t>
      </w:r>
      <w:r>
        <w:rPr>
          <w:color w:val="231F20"/>
          <w:spacing w:val="-13"/>
        </w:rPr>
        <w:t> </w:t>
      </w:r>
      <w:r>
        <w:rPr>
          <w:color w:val="231F20"/>
          <w:spacing w:val="-1"/>
        </w:rPr>
        <w:t>the</w:t>
      </w:r>
      <w:r>
        <w:rPr>
          <w:color w:val="231F20"/>
          <w:spacing w:val="-11"/>
        </w:rPr>
        <w:t> </w:t>
      </w:r>
      <w:r>
        <w:rPr>
          <w:color w:val="231F20"/>
          <w:spacing w:val="-1"/>
        </w:rPr>
        <w:t>practices</w:t>
      </w:r>
      <w:r>
        <w:rPr>
          <w:color w:val="231F20"/>
          <w:spacing w:val="-11"/>
        </w:rPr>
        <w:t> </w:t>
      </w:r>
      <w:r>
        <w:rPr>
          <w:color w:val="231F20"/>
          <w:spacing w:val="-1"/>
        </w:rPr>
        <w:t>were</w:t>
      </w:r>
      <w:r>
        <w:rPr>
          <w:color w:val="231F20"/>
          <w:spacing w:val="-13"/>
        </w:rPr>
        <w:t> </w:t>
      </w:r>
      <w:r>
        <w:rPr>
          <w:color w:val="231F20"/>
          <w:spacing w:val="-1"/>
        </w:rPr>
        <w:t>selected,</w:t>
      </w:r>
      <w:r>
        <w:rPr>
          <w:color w:val="231F20"/>
          <w:spacing w:val="-12"/>
        </w:rPr>
        <w:t> </w:t>
      </w:r>
      <w:r>
        <w:rPr>
          <w:color w:val="231F20"/>
          <w:spacing w:val="-1"/>
        </w:rPr>
        <w:t>the</w:t>
      </w:r>
      <w:r>
        <w:rPr>
          <w:color w:val="231F20"/>
          <w:spacing w:val="-11"/>
        </w:rPr>
        <w:t> </w:t>
      </w:r>
      <w:r>
        <w:rPr>
          <w:color w:val="231F20"/>
          <w:spacing w:val="-1"/>
        </w:rPr>
        <w:t>reviewers</w:t>
      </w:r>
      <w:r>
        <w:rPr>
          <w:color w:val="231F20"/>
          <w:spacing w:val="-12"/>
        </w:rPr>
        <w:t> </w:t>
      </w:r>
      <w:r>
        <w:rPr>
          <w:color w:val="231F20"/>
        </w:rPr>
        <w:t>conducted</w:t>
      </w:r>
      <w:r>
        <w:rPr>
          <w:color w:val="231F20"/>
          <w:spacing w:val="-52"/>
        </w:rPr>
        <w:t> </w:t>
      </w:r>
      <w:r>
        <w:rPr>
          <w:color w:val="231F20"/>
        </w:rPr>
        <w:t>a comprehensive review of published research on these</w:t>
      </w:r>
      <w:r>
        <w:rPr>
          <w:color w:val="231F20"/>
          <w:spacing w:val="1"/>
        </w:rPr>
        <w:t> </w:t>
      </w:r>
      <w:r>
        <w:rPr>
          <w:color w:val="231F20"/>
          <w:spacing w:val="-1"/>
        </w:rPr>
        <w:t>practices to identify studies of the selected practices. This</w:t>
      </w:r>
      <w:r>
        <w:rPr>
          <w:color w:val="231F20"/>
          <w:spacing w:val="-52"/>
        </w:rPr>
        <w:t> </w:t>
      </w:r>
      <w:r>
        <w:rPr>
          <w:color w:val="231F20"/>
        </w:rPr>
        <w:t>review only included studies from eligible sources (i.e.,</w:t>
      </w:r>
      <w:r>
        <w:rPr>
          <w:color w:val="231F20"/>
          <w:spacing w:val="1"/>
        </w:rPr>
        <w:t> </w:t>
      </w:r>
      <w:r>
        <w:rPr>
          <w:color w:val="231F20"/>
          <w:spacing w:val="-1"/>
        </w:rPr>
        <w:t>peer</w:t>
      </w:r>
      <w:r>
        <w:rPr>
          <w:color w:val="231F20"/>
          <w:spacing w:val="-13"/>
        </w:rPr>
        <w:t> </w:t>
      </w:r>
      <w:r>
        <w:rPr>
          <w:color w:val="231F20"/>
          <w:spacing w:val="-1"/>
        </w:rPr>
        <w:t>reviewed</w:t>
      </w:r>
      <w:r>
        <w:rPr>
          <w:color w:val="231F20"/>
          <w:spacing w:val="-12"/>
        </w:rPr>
        <w:t> </w:t>
      </w:r>
      <w:r>
        <w:rPr>
          <w:color w:val="231F20"/>
          <w:spacing w:val="-1"/>
        </w:rPr>
        <w:t>journals</w:t>
      </w:r>
      <w:r>
        <w:rPr>
          <w:color w:val="231F20"/>
          <w:spacing w:val="-12"/>
        </w:rPr>
        <w:t> </w:t>
      </w:r>
      <w:r>
        <w:rPr>
          <w:color w:val="231F20"/>
          <w:spacing w:val="-1"/>
        </w:rPr>
        <w:t>and</w:t>
      </w:r>
      <w:r>
        <w:rPr>
          <w:color w:val="231F20"/>
          <w:spacing w:val="-12"/>
        </w:rPr>
        <w:t> </w:t>
      </w:r>
      <w:r>
        <w:rPr>
          <w:color w:val="231F20"/>
          <w:spacing w:val="-1"/>
        </w:rPr>
        <w:t>government</w:t>
      </w:r>
      <w:r>
        <w:rPr>
          <w:color w:val="231F20"/>
          <w:spacing w:val="-12"/>
        </w:rPr>
        <w:t> </w:t>
      </w:r>
      <w:r>
        <w:rPr>
          <w:color w:val="231F20"/>
          <w:spacing w:val="-1"/>
        </w:rPr>
        <w:t>reports)</w:t>
      </w:r>
      <w:r>
        <w:rPr>
          <w:color w:val="231F20"/>
          <w:spacing w:val="-13"/>
        </w:rPr>
        <w:t> </w:t>
      </w:r>
      <w:r>
        <w:rPr>
          <w:color w:val="231F20"/>
        </w:rPr>
        <w:t>that</w:t>
      </w:r>
      <w:r>
        <w:rPr>
          <w:color w:val="231F20"/>
          <w:spacing w:val="-12"/>
        </w:rPr>
        <w:t> </w:t>
      </w:r>
      <w:r>
        <w:rPr>
          <w:color w:val="231F20"/>
        </w:rPr>
        <w:t>avoid</w:t>
      </w:r>
      <w:r>
        <w:rPr>
          <w:color w:val="231F20"/>
          <w:spacing w:val="-52"/>
        </w:rPr>
        <w:t> </w:t>
      </w:r>
      <w:r>
        <w:rPr>
          <w:color w:val="231F20"/>
          <w:spacing w:val="-1"/>
        </w:rPr>
        <w:t>clear conflicts of interest. The reviewers documented </w:t>
      </w:r>
      <w:r>
        <w:rPr>
          <w:color w:val="231F20"/>
        </w:rPr>
        <w:t>all</w:t>
      </w:r>
      <w:r>
        <w:rPr>
          <w:color w:val="231F20"/>
          <w:spacing w:val="1"/>
        </w:rPr>
        <w:t> </w:t>
      </w:r>
      <w:r>
        <w:rPr>
          <w:color w:val="231F20"/>
          <w:spacing w:val="-1"/>
        </w:rPr>
        <w:t>potential</w:t>
      </w:r>
      <w:r>
        <w:rPr>
          <w:color w:val="231F20"/>
          <w:spacing w:val="-12"/>
        </w:rPr>
        <w:t> </w:t>
      </w:r>
      <w:r>
        <w:rPr>
          <w:color w:val="231F20"/>
          <w:spacing w:val="-1"/>
        </w:rPr>
        <w:t>studies</w:t>
      </w:r>
      <w:r>
        <w:rPr>
          <w:color w:val="231F20"/>
          <w:spacing w:val="-13"/>
        </w:rPr>
        <w:t> </w:t>
      </w:r>
      <w:r>
        <w:rPr>
          <w:color w:val="231F20"/>
          <w:spacing w:val="-1"/>
        </w:rPr>
        <w:t>identified</w:t>
      </w:r>
      <w:r>
        <w:rPr>
          <w:color w:val="231F20"/>
          <w:spacing w:val="-11"/>
        </w:rPr>
        <w:t> </w:t>
      </w:r>
      <w:r>
        <w:rPr>
          <w:color w:val="231F20"/>
          <w:spacing w:val="-1"/>
        </w:rPr>
        <w:t>through</w:t>
      </w:r>
      <w:r>
        <w:rPr>
          <w:color w:val="231F20"/>
          <w:spacing w:val="-12"/>
        </w:rPr>
        <w:t> </w:t>
      </w:r>
      <w:r>
        <w:rPr>
          <w:color w:val="231F20"/>
        </w:rPr>
        <w:t>the</w:t>
      </w:r>
      <w:r>
        <w:rPr>
          <w:color w:val="231F20"/>
          <w:spacing w:val="-12"/>
        </w:rPr>
        <w:t> </w:t>
      </w:r>
      <w:r>
        <w:rPr>
          <w:color w:val="231F20"/>
        </w:rPr>
        <w:t>literature</w:t>
      </w:r>
      <w:r>
        <w:rPr>
          <w:color w:val="231F20"/>
          <w:spacing w:val="-11"/>
        </w:rPr>
        <w:t> </w:t>
      </w:r>
      <w:r>
        <w:rPr>
          <w:color w:val="231F20"/>
        </w:rPr>
        <w:t>search.</w:t>
      </w:r>
    </w:p>
    <w:p>
      <w:pPr>
        <w:pStyle w:val="BodyText"/>
        <w:spacing w:line="266" w:lineRule="auto" w:before="91"/>
        <w:ind w:left="160" w:right="761"/>
      </w:pPr>
      <w:r>
        <w:rPr/>
        <w:br w:type="column"/>
      </w:r>
      <w:r>
        <w:rPr>
          <w:color w:val="231F20"/>
        </w:rPr>
        <w:t>The studies identified in the literature search varied in</w:t>
      </w:r>
      <w:r>
        <w:rPr>
          <w:color w:val="231F20"/>
          <w:spacing w:val="1"/>
        </w:rPr>
        <w:t> </w:t>
      </w:r>
      <w:r>
        <w:rPr>
          <w:color w:val="231F20"/>
        </w:rPr>
        <w:t>type</w:t>
      </w:r>
      <w:r>
        <w:rPr>
          <w:color w:val="231F20"/>
          <w:spacing w:val="-13"/>
        </w:rPr>
        <w:t> </w:t>
      </w:r>
      <w:r>
        <w:rPr>
          <w:color w:val="231F20"/>
        </w:rPr>
        <w:t>and</w:t>
      </w:r>
      <w:r>
        <w:rPr>
          <w:color w:val="231F20"/>
          <w:spacing w:val="-12"/>
        </w:rPr>
        <w:t> </w:t>
      </w:r>
      <w:r>
        <w:rPr>
          <w:color w:val="231F20"/>
        </w:rPr>
        <w:t>rigor,</w:t>
      </w:r>
      <w:r>
        <w:rPr>
          <w:color w:val="231F20"/>
          <w:spacing w:val="-13"/>
        </w:rPr>
        <w:t> </w:t>
      </w:r>
      <w:r>
        <w:rPr>
          <w:color w:val="231F20"/>
        </w:rPr>
        <w:t>so</w:t>
      </w:r>
      <w:r>
        <w:rPr>
          <w:color w:val="231F20"/>
          <w:spacing w:val="-13"/>
        </w:rPr>
        <w:t> </w:t>
      </w:r>
      <w:r>
        <w:rPr>
          <w:color w:val="231F20"/>
        </w:rPr>
        <w:t>the</w:t>
      </w:r>
      <w:r>
        <w:rPr>
          <w:color w:val="231F20"/>
          <w:spacing w:val="-12"/>
        </w:rPr>
        <w:t> </w:t>
      </w:r>
      <w:r>
        <w:rPr>
          <w:color w:val="231F20"/>
        </w:rPr>
        <w:t>reviewers</w:t>
      </w:r>
      <w:r>
        <w:rPr>
          <w:color w:val="231F20"/>
          <w:spacing w:val="-12"/>
        </w:rPr>
        <w:t> </w:t>
      </w:r>
      <w:r>
        <w:rPr>
          <w:color w:val="231F20"/>
        </w:rPr>
        <w:t>assessed</w:t>
      </w:r>
      <w:r>
        <w:rPr>
          <w:color w:val="231F20"/>
          <w:spacing w:val="-13"/>
        </w:rPr>
        <w:t> </w:t>
      </w:r>
      <w:r>
        <w:rPr>
          <w:color w:val="231F20"/>
        </w:rPr>
        <w:t>them</w:t>
      </w:r>
      <w:r>
        <w:rPr>
          <w:color w:val="231F20"/>
          <w:spacing w:val="-12"/>
        </w:rPr>
        <w:t> </w:t>
      </w:r>
      <w:r>
        <w:rPr>
          <w:color w:val="231F20"/>
        </w:rPr>
        <w:t>further</w:t>
      </w:r>
      <w:r>
        <w:rPr>
          <w:color w:val="231F20"/>
          <w:spacing w:val="-13"/>
        </w:rPr>
        <w:t> </w:t>
      </w:r>
      <w:r>
        <w:rPr>
          <w:color w:val="231F20"/>
        </w:rPr>
        <w:t>for</w:t>
      </w:r>
      <w:r>
        <w:rPr>
          <w:color w:val="231F20"/>
          <w:spacing w:val="1"/>
        </w:rPr>
        <w:t> </w:t>
      </w:r>
      <w:r>
        <w:rPr>
          <w:color w:val="231F20"/>
          <w:spacing w:val="-2"/>
        </w:rPr>
        <w:t>inclusion</w:t>
      </w:r>
      <w:r>
        <w:rPr>
          <w:color w:val="231F20"/>
          <w:spacing w:val="-8"/>
        </w:rPr>
        <w:t> </w:t>
      </w:r>
      <w:r>
        <w:rPr>
          <w:color w:val="231F20"/>
          <w:spacing w:val="-2"/>
        </w:rPr>
        <w:t>in</w:t>
      </w:r>
      <w:r>
        <w:rPr>
          <w:color w:val="231F20"/>
          <w:spacing w:val="-8"/>
        </w:rPr>
        <w:t> </w:t>
      </w:r>
      <w:r>
        <w:rPr>
          <w:color w:val="231F20"/>
          <w:spacing w:val="-2"/>
        </w:rPr>
        <w:t>the</w:t>
      </w:r>
      <w:r>
        <w:rPr>
          <w:color w:val="231F20"/>
          <w:spacing w:val="-8"/>
        </w:rPr>
        <w:t> </w:t>
      </w:r>
      <w:r>
        <w:rPr>
          <w:color w:val="231F20"/>
          <w:spacing w:val="-2"/>
        </w:rPr>
        <w:t>evidence</w:t>
      </w:r>
      <w:r>
        <w:rPr>
          <w:color w:val="231F20"/>
          <w:spacing w:val="-7"/>
        </w:rPr>
        <w:t> </w:t>
      </w:r>
      <w:r>
        <w:rPr>
          <w:color w:val="231F20"/>
          <w:spacing w:val="-2"/>
        </w:rPr>
        <w:t>review.</w:t>
      </w:r>
      <w:r>
        <w:rPr>
          <w:color w:val="231F20"/>
          <w:spacing w:val="-12"/>
        </w:rPr>
        <w:t> </w:t>
      </w:r>
      <w:r>
        <w:rPr>
          <w:color w:val="231F20"/>
          <w:spacing w:val="-2"/>
        </w:rPr>
        <w:t>To</w:t>
      </w:r>
      <w:r>
        <w:rPr>
          <w:color w:val="231F20"/>
          <w:spacing w:val="-8"/>
        </w:rPr>
        <w:t> </w:t>
      </w:r>
      <w:r>
        <w:rPr>
          <w:color w:val="231F20"/>
          <w:spacing w:val="-2"/>
        </w:rPr>
        <w:t>be</w:t>
      </w:r>
      <w:r>
        <w:rPr>
          <w:color w:val="231F20"/>
          <w:spacing w:val="-7"/>
        </w:rPr>
        <w:t> </w:t>
      </w:r>
      <w:r>
        <w:rPr>
          <w:color w:val="231F20"/>
          <w:spacing w:val="-2"/>
        </w:rPr>
        <w:t>eligible</w:t>
      </w:r>
      <w:r>
        <w:rPr>
          <w:color w:val="231F20"/>
          <w:spacing w:val="-8"/>
        </w:rPr>
        <w:t> </w:t>
      </w:r>
      <w:r>
        <w:rPr>
          <w:color w:val="231F20"/>
          <w:spacing w:val="-1"/>
        </w:rPr>
        <w:t>for</w:t>
      </w:r>
      <w:r>
        <w:rPr>
          <w:color w:val="231F20"/>
          <w:spacing w:val="-8"/>
        </w:rPr>
        <w:t> </w:t>
      </w:r>
      <w:r>
        <w:rPr>
          <w:color w:val="231F20"/>
          <w:spacing w:val="-1"/>
        </w:rPr>
        <w:t>review</w:t>
      </w:r>
      <w:r>
        <w:rPr>
          <w:color w:val="231F20"/>
          <w:spacing w:val="-52"/>
        </w:rPr>
        <w:t> </w:t>
      </w:r>
      <w:r>
        <w:rPr>
          <w:color w:val="231F20"/>
        </w:rPr>
        <w:t>and</w:t>
      </w:r>
      <w:r>
        <w:rPr>
          <w:color w:val="231F20"/>
          <w:spacing w:val="-6"/>
        </w:rPr>
        <w:t> </w:t>
      </w:r>
      <w:r>
        <w:rPr>
          <w:color w:val="231F20"/>
        </w:rPr>
        <w:t>study</w:t>
      </w:r>
      <w:r>
        <w:rPr>
          <w:color w:val="231F20"/>
          <w:spacing w:val="-7"/>
        </w:rPr>
        <w:t> </w:t>
      </w:r>
      <w:r>
        <w:rPr>
          <w:color w:val="231F20"/>
        </w:rPr>
        <w:t>rating,</w:t>
      </w:r>
      <w:r>
        <w:rPr>
          <w:color w:val="231F20"/>
          <w:spacing w:val="-6"/>
        </w:rPr>
        <w:t> </w:t>
      </w:r>
      <w:r>
        <w:rPr>
          <w:color w:val="231F20"/>
        </w:rPr>
        <w:t>research</w:t>
      </w:r>
      <w:r>
        <w:rPr>
          <w:color w:val="231F20"/>
          <w:spacing w:val="-6"/>
        </w:rPr>
        <w:t> </w:t>
      </w:r>
      <w:r>
        <w:rPr>
          <w:color w:val="231F20"/>
        </w:rPr>
        <w:t>studies</w:t>
      </w:r>
      <w:r>
        <w:rPr>
          <w:color w:val="231F20"/>
          <w:spacing w:val="-7"/>
        </w:rPr>
        <w:t> </w:t>
      </w:r>
      <w:r>
        <w:rPr>
          <w:color w:val="231F20"/>
        </w:rPr>
        <w:t>had</w:t>
      </w:r>
      <w:r>
        <w:rPr>
          <w:color w:val="231F20"/>
          <w:spacing w:val="-6"/>
        </w:rPr>
        <w:t> </w:t>
      </w:r>
      <w:r>
        <w:rPr>
          <w:color w:val="231F20"/>
        </w:rPr>
        <w:t>to:</w:t>
      </w:r>
    </w:p>
    <w:p>
      <w:pPr>
        <w:pStyle w:val="ListParagraph"/>
        <w:numPr>
          <w:ilvl w:val="1"/>
          <w:numId w:val="27"/>
        </w:numPr>
        <w:tabs>
          <w:tab w:pos="880" w:val="left" w:leader="none"/>
        </w:tabs>
        <w:spacing w:line="240" w:lineRule="auto" w:before="145" w:after="0"/>
        <w:ind w:left="879" w:right="0" w:hanging="361"/>
        <w:jc w:val="both"/>
        <w:rPr>
          <w:sz w:val="22"/>
        </w:rPr>
      </w:pPr>
      <w:r>
        <w:rPr>
          <w:color w:val="010202"/>
          <w:sz w:val="22"/>
        </w:rPr>
        <w:t>Employ a randomized or quasi-experimental</w:t>
      </w:r>
    </w:p>
    <w:p>
      <w:pPr>
        <w:pStyle w:val="BodyText"/>
        <w:spacing w:line="251" w:lineRule="exact" w:before="10"/>
        <w:ind w:left="879"/>
        <w:jc w:val="both"/>
      </w:pPr>
      <w:r>
        <w:rPr>
          <w:color w:val="010202"/>
        </w:rPr>
        <w:t>design, or</w:t>
      </w:r>
    </w:p>
    <w:p>
      <w:pPr>
        <w:pStyle w:val="ListParagraph"/>
        <w:numPr>
          <w:ilvl w:val="1"/>
          <w:numId w:val="27"/>
        </w:numPr>
        <w:tabs>
          <w:tab w:pos="880" w:val="left" w:leader="none"/>
        </w:tabs>
        <w:spacing w:line="249" w:lineRule="auto" w:before="0" w:after="0"/>
        <w:ind w:left="879" w:right="1622" w:hanging="360"/>
        <w:jc w:val="both"/>
        <w:rPr>
          <w:sz w:val="22"/>
        </w:rPr>
      </w:pPr>
      <w:r>
        <w:rPr>
          <w:color w:val="010202"/>
          <w:sz w:val="22"/>
        </w:rPr>
        <w:t>Be a single sample pre-post design or</w:t>
      </w:r>
      <w:r>
        <w:rPr>
          <w:color w:val="010202"/>
          <w:spacing w:val="1"/>
          <w:sz w:val="22"/>
        </w:rPr>
        <w:t> </w:t>
      </w:r>
      <w:r>
        <w:rPr>
          <w:color w:val="010202"/>
          <w:sz w:val="22"/>
        </w:rPr>
        <w:t>an</w:t>
      </w:r>
      <w:r>
        <w:rPr>
          <w:color w:val="010202"/>
          <w:spacing w:val="-3"/>
          <w:sz w:val="22"/>
        </w:rPr>
        <w:t> </w:t>
      </w:r>
      <w:r>
        <w:rPr>
          <w:color w:val="010202"/>
          <w:sz w:val="22"/>
        </w:rPr>
        <w:t>epidemiological</w:t>
      </w:r>
      <w:r>
        <w:rPr>
          <w:color w:val="010202"/>
          <w:spacing w:val="-3"/>
          <w:sz w:val="22"/>
        </w:rPr>
        <w:t> </w:t>
      </w:r>
      <w:r>
        <w:rPr>
          <w:color w:val="010202"/>
          <w:sz w:val="22"/>
        </w:rPr>
        <w:t>study</w:t>
      </w:r>
      <w:r>
        <w:rPr>
          <w:color w:val="010202"/>
          <w:spacing w:val="-3"/>
          <w:sz w:val="22"/>
        </w:rPr>
        <w:t> </w:t>
      </w:r>
      <w:r>
        <w:rPr>
          <w:color w:val="010202"/>
          <w:sz w:val="22"/>
        </w:rPr>
        <w:t>with</w:t>
      </w:r>
      <w:r>
        <w:rPr>
          <w:color w:val="010202"/>
          <w:spacing w:val="-4"/>
          <w:sz w:val="22"/>
        </w:rPr>
        <w:t> </w:t>
      </w:r>
      <w:r>
        <w:rPr>
          <w:color w:val="010202"/>
          <w:sz w:val="22"/>
        </w:rPr>
        <w:t>a</w:t>
      </w:r>
      <w:r>
        <w:rPr>
          <w:color w:val="010202"/>
          <w:spacing w:val="-2"/>
          <w:sz w:val="22"/>
        </w:rPr>
        <w:t> </w:t>
      </w:r>
      <w:r>
        <w:rPr>
          <w:color w:val="010202"/>
          <w:sz w:val="22"/>
        </w:rPr>
        <w:t>strong</w:t>
      </w:r>
    </w:p>
    <w:p>
      <w:pPr>
        <w:pStyle w:val="BodyText"/>
        <w:spacing w:line="249" w:lineRule="auto"/>
        <w:ind w:left="879" w:right="1249"/>
        <w:jc w:val="both"/>
      </w:pPr>
      <w:r>
        <w:rPr>
          <w:color w:val="010202"/>
        </w:rPr>
        <w:t>counterfactual—a study that analyzes what</w:t>
      </w:r>
      <w:r>
        <w:rPr>
          <w:color w:val="010202"/>
          <w:spacing w:val="-52"/>
        </w:rPr>
        <w:t> </w:t>
      </w:r>
      <w:r>
        <w:rPr>
          <w:color w:val="010202"/>
        </w:rPr>
        <w:t>would have happened in the absence of the</w:t>
      </w:r>
      <w:r>
        <w:rPr>
          <w:color w:val="010202"/>
          <w:spacing w:val="-52"/>
        </w:rPr>
        <w:t> </w:t>
      </w:r>
      <w:r>
        <w:rPr>
          <w:color w:val="010202"/>
        </w:rPr>
        <w:t>intervention.</w:t>
      </w:r>
    </w:p>
    <w:p>
      <w:pPr>
        <w:pStyle w:val="BodyText"/>
        <w:spacing w:line="266" w:lineRule="auto" w:before="197"/>
        <w:ind w:left="159" w:right="1018"/>
      </w:pPr>
      <w:r>
        <w:rPr>
          <w:color w:val="231F20"/>
          <w:spacing w:val="-2"/>
        </w:rPr>
        <w:t>Literature</w:t>
      </w:r>
      <w:r>
        <w:rPr>
          <w:color w:val="231F20"/>
          <w:spacing w:val="-12"/>
        </w:rPr>
        <w:t> </w:t>
      </w:r>
      <w:r>
        <w:rPr>
          <w:color w:val="231F20"/>
          <w:spacing w:val="-2"/>
        </w:rPr>
        <w:t>reviews,</w:t>
      </w:r>
      <w:r>
        <w:rPr>
          <w:color w:val="231F20"/>
          <w:spacing w:val="-12"/>
        </w:rPr>
        <w:t> </w:t>
      </w:r>
      <w:r>
        <w:rPr>
          <w:color w:val="231F20"/>
          <w:spacing w:val="-1"/>
        </w:rPr>
        <w:t>descriptive</w:t>
      </w:r>
      <w:r>
        <w:rPr>
          <w:color w:val="231F20"/>
          <w:spacing w:val="-11"/>
        </w:rPr>
        <w:t> </w:t>
      </w:r>
      <w:r>
        <w:rPr>
          <w:color w:val="231F20"/>
          <w:spacing w:val="-1"/>
        </w:rPr>
        <w:t>studies,</w:t>
      </w:r>
      <w:r>
        <w:rPr>
          <w:color w:val="231F20"/>
          <w:spacing w:val="-12"/>
        </w:rPr>
        <w:t> </w:t>
      </w:r>
      <w:r>
        <w:rPr>
          <w:color w:val="231F20"/>
          <w:spacing w:val="-1"/>
        </w:rPr>
        <w:t>implementation</w:t>
      </w:r>
      <w:r>
        <w:rPr>
          <w:color w:val="231F20"/>
          <w:spacing w:val="-52"/>
        </w:rPr>
        <w:t> </w:t>
      </w:r>
      <w:r>
        <w:rPr>
          <w:color w:val="231F20"/>
        </w:rPr>
        <w:t>studies, and meta-analyses were not included in the</w:t>
      </w:r>
      <w:r>
        <w:rPr>
          <w:color w:val="231F20"/>
          <w:spacing w:val="1"/>
        </w:rPr>
        <w:t> </w:t>
      </w:r>
      <w:r>
        <w:rPr>
          <w:color w:val="231F20"/>
        </w:rPr>
        <w:t>review, but were documented to provide context and</w:t>
      </w:r>
      <w:r>
        <w:rPr>
          <w:color w:val="231F20"/>
          <w:spacing w:val="1"/>
        </w:rPr>
        <w:t> </w:t>
      </w:r>
      <w:r>
        <w:rPr>
          <w:color w:val="231F20"/>
        </w:rPr>
        <w:t>identify</w:t>
      </w:r>
      <w:r>
        <w:rPr>
          <w:color w:val="231F20"/>
          <w:spacing w:val="-11"/>
        </w:rPr>
        <w:t> </w:t>
      </w:r>
      <w:r>
        <w:rPr>
          <w:color w:val="231F20"/>
        </w:rPr>
        <w:t>implementation</w:t>
      </w:r>
      <w:r>
        <w:rPr>
          <w:color w:val="231F20"/>
          <w:spacing w:val="-11"/>
        </w:rPr>
        <w:t> </w:t>
      </w:r>
      <w:r>
        <w:rPr>
          <w:color w:val="231F20"/>
        </w:rPr>
        <w:t>supports</w:t>
      </w:r>
      <w:r>
        <w:rPr>
          <w:color w:val="231F20"/>
          <w:spacing w:val="-12"/>
        </w:rPr>
        <w:t> </w:t>
      </w:r>
      <w:r>
        <w:rPr>
          <w:color w:val="231F20"/>
        </w:rPr>
        <w:t>for</w:t>
      </w:r>
      <w:r>
        <w:rPr>
          <w:color w:val="231F20"/>
          <w:spacing w:val="-11"/>
        </w:rPr>
        <w:t> </w:t>
      </w:r>
      <w:r>
        <w:rPr>
          <w:color w:val="231F20"/>
        </w:rPr>
        <w:t>the</w:t>
      </w:r>
      <w:r>
        <w:rPr>
          <w:color w:val="231F20"/>
          <w:spacing w:val="-11"/>
        </w:rPr>
        <w:t> </w:t>
      </w:r>
      <w:r>
        <w:rPr>
          <w:color w:val="231F20"/>
        </w:rPr>
        <w:t>practices.</w:t>
      </w:r>
    </w:p>
    <w:p>
      <w:pPr>
        <w:pStyle w:val="BodyText"/>
        <w:spacing w:line="266" w:lineRule="auto" w:before="177"/>
        <w:ind w:left="159" w:right="897"/>
      </w:pPr>
      <w:r>
        <w:rPr>
          <w:color w:val="231F20"/>
          <w:spacing w:val="-1"/>
        </w:rPr>
        <w:t>Additionally,</w:t>
      </w:r>
      <w:r>
        <w:rPr>
          <w:color w:val="231F20"/>
          <w:spacing w:val="-13"/>
        </w:rPr>
        <w:t> </w:t>
      </w:r>
      <w:r>
        <w:rPr>
          <w:color w:val="231F20"/>
          <w:spacing w:val="-1"/>
        </w:rPr>
        <w:t>to</w:t>
      </w:r>
      <w:r>
        <w:rPr>
          <w:color w:val="231F20"/>
          <w:spacing w:val="-13"/>
        </w:rPr>
        <w:t> </w:t>
      </w:r>
      <w:r>
        <w:rPr>
          <w:color w:val="231F20"/>
          <w:spacing w:val="-1"/>
        </w:rPr>
        <w:t>be</w:t>
      </w:r>
      <w:r>
        <w:rPr>
          <w:color w:val="231F20"/>
          <w:spacing w:val="-12"/>
        </w:rPr>
        <w:t> </w:t>
      </w:r>
      <w:r>
        <w:rPr>
          <w:color w:val="231F20"/>
          <w:spacing w:val="-1"/>
        </w:rPr>
        <w:t>eligible</w:t>
      </w:r>
      <w:r>
        <w:rPr>
          <w:color w:val="231F20"/>
          <w:spacing w:val="-13"/>
        </w:rPr>
        <w:t> </w:t>
      </w:r>
      <w:r>
        <w:rPr>
          <w:color w:val="231F20"/>
          <w:spacing w:val="-1"/>
        </w:rPr>
        <w:t>for</w:t>
      </w:r>
      <w:r>
        <w:rPr>
          <w:color w:val="231F20"/>
          <w:spacing w:val="-12"/>
        </w:rPr>
        <w:t> </w:t>
      </w:r>
      <w:r>
        <w:rPr>
          <w:color w:val="231F20"/>
          <w:spacing w:val="-1"/>
        </w:rPr>
        <w:t>further</w:t>
      </w:r>
      <w:r>
        <w:rPr>
          <w:color w:val="231F20"/>
          <w:spacing w:val="-13"/>
        </w:rPr>
        <w:t> </w:t>
      </w:r>
      <w:r>
        <w:rPr>
          <w:color w:val="231F20"/>
          <w:spacing w:val="-1"/>
        </w:rPr>
        <w:t>review</w:t>
      </w:r>
      <w:r>
        <w:rPr>
          <w:color w:val="231F20"/>
          <w:spacing w:val="-12"/>
        </w:rPr>
        <w:t> </w:t>
      </w:r>
      <w:r>
        <w:rPr>
          <w:color w:val="231F20"/>
        </w:rPr>
        <w:t>and</w:t>
      </w:r>
      <w:r>
        <w:rPr>
          <w:color w:val="231F20"/>
          <w:spacing w:val="-13"/>
        </w:rPr>
        <w:t> </w:t>
      </w:r>
      <w:r>
        <w:rPr>
          <w:color w:val="231F20"/>
        </w:rPr>
        <w:t>rating,</w:t>
      </w:r>
      <w:r>
        <w:rPr>
          <w:color w:val="231F20"/>
          <w:spacing w:val="-52"/>
        </w:rPr>
        <w:t> </w:t>
      </w:r>
      <w:r>
        <w:rPr>
          <w:color w:val="231F20"/>
        </w:rPr>
        <w:t>studies</w:t>
      </w:r>
      <w:r>
        <w:rPr>
          <w:color w:val="231F20"/>
          <w:spacing w:val="-6"/>
        </w:rPr>
        <w:t> </w:t>
      </w:r>
      <w:r>
        <w:rPr>
          <w:color w:val="231F20"/>
        </w:rPr>
        <w:t>had</w:t>
      </w:r>
      <w:r>
        <w:rPr>
          <w:color w:val="231F20"/>
          <w:spacing w:val="-4"/>
        </w:rPr>
        <w:t> </w:t>
      </w:r>
      <w:r>
        <w:rPr>
          <w:color w:val="231F20"/>
        </w:rPr>
        <w:t>to:</w:t>
      </w:r>
    </w:p>
    <w:p>
      <w:pPr>
        <w:pStyle w:val="ListParagraph"/>
        <w:numPr>
          <w:ilvl w:val="1"/>
          <w:numId w:val="27"/>
        </w:numPr>
        <w:tabs>
          <w:tab w:pos="879" w:val="left" w:leader="none"/>
          <w:tab w:pos="880" w:val="left" w:leader="none"/>
        </w:tabs>
        <w:spacing w:line="267" w:lineRule="exact" w:before="147" w:after="0"/>
        <w:ind w:left="879" w:right="0" w:hanging="361"/>
        <w:jc w:val="left"/>
        <w:rPr>
          <w:sz w:val="22"/>
        </w:rPr>
      </w:pPr>
      <w:r>
        <w:rPr>
          <w:color w:val="010202"/>
          <w:sz w:val="22"/>
        </w:rPr>
        <w:t>Be published or prepared in or after 2000</w:t>
      </w:r>
    </w:p>
    <w:p>
      <w:pPr>
        <w:pStyle w:val="ListParagraph"/>
        <w:numPr>
          <w:ilvl w:val="1"/>
          <w:numId w:val="27"/>
        </w:numPr>
        <w:tabs>
          <w:tab w:pos="879" w:val="left" w:leader="none"/>
          <w:tab w:pos="880" w:val="left" w:leader="none"/>
        </w:tabs>
        <w:spacing w:line="249" w:lineRule="auto" w:before="0" w:after="0"/>
        <w:ind w:left="879" w:right="925" w:hanging="360"/>
        <w:jc w:val="left"/>
        <w:rPr>
          <w:sz w:val="22"/>
        </w:rPr>
      </w:pPr>
      <w:r>
        <w:rPr>
          <w:color w:val="010202"/>
          <w:sz w:val="22"/>
        </w:rPr>
        <w:t>Be</w:t>
      </w:r>
      <w:r>
        <w:rPr>
          <w:color w:val="010202"/>
          <w:spacing w:val="-4"/>
          <w:sz w:val="22"/>
        </w:rPr>
        <w:t> </w:t>
      </w:r>
      <w:r>
        <w:rPr>
          <w:color w:val="010202"/>
          <w:sz w:val="22"/>
        </w:rPr>
        <w:t>a</w:t>
      </w:r>
      <w:r>
        <w:rPr>
          <w:color w:val="010202"/>
          <w:spacing w:val="-3"/>
          <w:sz w:val="22"/>
        </w:rPr>
        <w:t> </w:t>
      </w:r>
      <w:r>
        <w:rPr>
          <w:color w:val="010202"/>
          <w:sz w:val="22"/>
        </w:rPr>
        <w:t>publicly</w:t>
      </w:r>
      <w:r>
        <w:rPr>
          <w:color w:val="010202"/>
          <w:spacing w:val="-3"/>
          <w:sz w:val="22"/>
        </w:rPr>
        <w:t> </w:t>
      </w:r>
      <w:r>
        <w:rPr>
          <w:color w:val="010202"/>
          <w:sz w:val="22"/>
        </w:rPr>
        <w:t>available</w:t>
      </w:r>
      <w:r>
        <w:rPr>
          <w:color w:val="010202"/>
          <w:spacing w:val="-4"/>
          <w:sz w:val="22"/>
        </w:rPr>
        <w:t> </w:t>
      </w:r>
      <w:r>
        <w:rPr>
          <w:color w:val="010202"/>
          <w:sz w:val="22"/>
        </w:rPr>
        <w:t>peer-reviewed</w:t>
      </w:r>
      <w:r>
        <w:rPr>
          <w:color w:val="010202"/>
          <w:spacing w:val="-3"/>
          <w:sz w:val="22"/>
        </w:rPr>
        <w:t> </w:t>
      </w:r>
      <w:r>
        <w:rPr>
          <w:color w:val="010202"/>
          <w:sz w:val="22"/>
        </w:rPr>
        <w:t>paper</w:t>
      </w:r>
      <w:r>
        <w:rPr>
          <w:color w:val="010202"/>
          <w:spacing w:val="-3"/>
          <w:sz w:val="22"/>
        </w:rPr>
        <w:t> </w:t>
      </w:r>
      <w:r>
        <w:rPr>
          <w:color w:val="010202"/>
          <w:sz w:val="22"/>
        </w:rPr>
        <w:t>or</w:t>
      </w:r>
      <w:r>
        <w:rPr>
          <w:color w:val="010202"/>
          <w:spacing w:val="-52"/>
          <w:sz w:val="22"/>
        </w:rPr>
        <w:t> </w:t>
      </w:r>
      <w:r>
        <w:rPr>
          <w:color w:val="010202"/>
          <w:sz w:val="22"/>
        </w:rPr>
        <w:t>research report</w:t>
      </w:r>
    </w:p>
    <w:p>
      <w:pPr>
        <w:pStyle w:val="ListParagraph"/>
        <w:numPr>
          <w:ilvl w:val="1"/>
          <w:numId w:val="27"/>
        </w:numPr>
        <w:tabs>
          <w:tab w:pos="879" w:val="left" w:leader="none"/>
          <w:tab w:pos="880" w:val="left" w:leader="none"/>
        </w:tabs>
        <w:spacing w:line="251" w:lineRule="exact" w:before="0" w:after="0"/>
        <w:ind w:left="879" w:right="0" w:hanging="361"/>
        <w:jc w:val="left"/>
        <w:rPr>
          <w:sz w:val="22"/>
        </w:rPr>
      </w:pPr>
      <w:r>
        <w:rPr>
          <w:color w:val="010202"/>
          <w:sz w:val="22"/>
        </w:rPr>
        <w:t>Be available in English</w:t>
      </w:r>
    </w:p>
    <w:p>
      <w:pPr>
        <w:pStyle w:val="ListParagraph"/>
        <w:numPr>
          <w:ilvl w:val="1"/>
          <w:numId w:val="27"/>
        </w:numPr>
        <w:tabs>
          <w:tab w:pos="879" w:val="left" w:leader="none"/>
          <w:tab w:pos="880" w:val="left" w:leader="none"/>
        </w:tabs>
        <w:spacing w:line="249" w:lineRule="auto" w:before="0" w:after="0"/>
        <w:ind w:left="879" w:right="926" w:hanging="360"/>
        <w:jc w:val="left"/>
        <w:rPr>
          <w:sz w:val="22"/>
        </w:rPr>
      </w:pPr>
      <w:r>
        <w:rPr>
          <w:color w:val="010202"/>
          <w:sz w:val="22"/>
        </w:rPr>
        <w:t>Include at least one eligible outcome related to</w:t>
      </w:r>
      <w:r>
        <w:rPr>
          <w:color w:val="010202"/>
          <w:spacing w:val="-52"/>
          <w:sz w:val="22"/>
        </w:rPr>
        <w:t> </w:t>
      </w:r>
      <w:r>
        <w:rPr>
          <w:color w:val="010202"/>
          <w:sz w:val="22"/>
        </w:rPr>
        <w:t>HIV</w:t>
      </w:r>
      <w:r>
        <w:rPr>
          <w:color w:val="010202"/>
          <w:spacing w:val="-5"/>
          <w:sz w:val="22"/>
        </w:rPr>
        <w:t> </w:t>
      </w:r>
      <w:r>
        <w:rPr>
          <w:color w:val="010202"/>
          <w:sz w:val="22"/>
        </w:rPr>
        <w:t>prevention and/or treatment</w:t>
      </w:r>
    </w:p>
    <w:p>
      <w:pPr>
        <w:pStyle w:val="ListParagraph"/>
        <w:numPr>
          <w:ilvl w:val="1"/>
          <w:numId w:val="27"/>
        </w:numPr>
        <w:tabs>
          <w:tab w:pos="879" w:val="left" w:leader="none"/>
          <w:tab w:pos="880" w:val="left" w:leader="none"/>
        </w:tabs>
        <w:spacing w:line="254" w:lineRule="exact" w:before="0" w:after="0"/>
        <w:ind w:left="879" w:right="0" w:hanging="361"/>
        <w:jc w:val="left"/>
        <w:rPr>
          <w:sz w:val="22"/>
        </w:rPr>
      </w:pPr>
      <w:r>
        <w:rPr>
          <w:color w:val="010202"/>
          <w:sz w:val="22"/>
        </w:rPr>
        <w:t>Have</w:t>
      </w:r>
      <w:r>
        <w:rPr>
          <w:color w:val="010202"/>
          <w:spacing w:val="-2"/>
          <w:sz w:val="22"/>
        </w:rPr>
        <w:t> </w:t>
      </w:r>
      <w:r>
        <w:rPr>
          <w:color w:val="010202"/>
          <w:sz w:val="22"/>
        </w:rPr>
        <w:t>a comparison/control</w:t>
      </w:r>
      <w:r>
        <w:rPr>
          <w:color w:val="010202"/>
          <w:spacing w:val="-1"/>
          <w:sz w:val="22"/>
        </w:rPr>
        <w:t> </w:t>
      </w:r>
      <w:r>
        <w:rPr>
          <w:color w:val="010202"/>
          <w:sz w:val="22"/>
        </w:rPr>
        <w:t>group that</w:t>
      </w:r>
      <w:r>
        <w:rPr>
          <w:color w:val="010202"/>
          <w:spacing w:val="-1"/>
          <w:sz w:val="22"/>
        </w:rPr>
        <w:t> </w:t>
      </w:r>
      <w:r>
        <w:rPr>
          <w:color w:val="010202"/>
          <w:sz w:val="22"/>
        </w:rPr>
        <w:t>is</w:t>
      </w:r>
    </w:p>
    <w:p>
      <w:pPr>
        <w:pStyle w:val="BodyText"/>
        <w:spacing w:line="249" w:lineRule="auto" w:before="4"/>
        <w:ind w:left="879" w:right="1006"/>
      </w:pPr>
      <w:r>
        <w:rPr>
          <w:color w:val="010202"/>
        </w:rPr>
        <w:t>treatment as usual or no/minimal intervention</w:t>
      </w:r>
      <w:r>
        <w:rPr>
          <w:color w:val="010202"/>
          <w:spacing w:val="-52"/>
        </w:rPr>
        <w:t> </w:t>
      </w:r>
      <w:r>
        <w:rPr>
          <w:color w:val="010202"/>
        </w:rPr>
        <w:t>if using a randomized experimental or quasi-</w:t>
      </w:r>
      <w:r>
        <w:rPr>
          <w:color w:val="010202"/>
          <w:spacing w:val="1"/>
        </w:rPr>
        <w:t> </w:t>
      </w:r>
      <w:r>
        <w:rPr>
          <w:color w:val="010202"/>
        </w:rPr>
        <w:t>experimental design</w:t>
      </w:r>
    </w:p>
    <w:p>
      <w:pPr>
        <w:pStyle w:val="BodyText"/>
        <w:spacing w:before="5"/>
        <w:rPr>
          <w:sz w:val="21"/>
        </w:rPr>
      </w:pPr>
    </w:p>
    <w:p>
      <w:pPr>
        <w:pStyle w:val="Heading2"/>
        <w:spacing w:line="184" w:lineRule="auto" w:before="0"/>
        <w:ind w:left="159" w:right="890"/>
      </w:pPr>
      <w:r>
        <w:rPr>
          <w:color w:val="1C384B"/>
        </w:rPr>
        <w:t>Step</w:t>
      </w:r>
      <w:r>
        <w:rPr>
          <w:color w:val="1C384B"/>
          <w:spacing w:val="-8"/>
        </w:rPr>
        <w:t> </w:t>
      </w:r>
      <w:r>
        <w:rPr>
          <w:color w:val="1C384B"/>
        </w:rPr>
        <w:t>3:</w:t>
      </w:r>
      <w:r>
        <w:rPr>
          <w:color w:val="1C384B"/>
          <w:spacing w:val="-7"/>
        </w:rPr>
        <w:t> </w:t>
      </w:r>
      <w:r>
        <w:rPr>
          <w:color w:val="1C384B"/>
        </w:rPr>
        <w:t>Study</w:t>
      </w:r>
      <w:r>
        <w:rPr>
          <w:color w:val="1C384B"/>
          <w:spacing w:val="-7"/>
        </w:rPr>
        <w:t> </w:t>
      </w:r>
      <w:r>
        <w:rPr>
          <w:color w:val="1C384B"/>
        </w:rPr>
        <w:t>Review</w:t>
      </w:r>
      <w:r>
        <w:rPr>
          <w:color w:val="1C384B"/>
          <w:spacing w:val="-8"/>
        </w:rPr>
        <w:t> </w:t>
      </w:r>
      <w:r>
        <w:rPr>
          <w:color w:val="1C384B"/>
        </w:rPr>
        <w:t>and</w:t>
      </w:r>
      <w:r>
        <w:rPr>
          <w:color w:val="1C384B"/>
          <w:spacing w:val="-113"/>
        </w:rPr>
        <w:t> </w:t>
      </w:r>
      <w:r>
        <w:rPr>
          <w:color w:val="1C384B"/>
        </w:rPr>
        <w:t>Rating</w:t>
      </w:r>
    </w:p>
    <w:p>
      <w:pPr>
        <w:pStyle w:val="BodyText"/>
        <w:spacing w:line="266" w:lineRule="auto" w:before="112"/>
        <w:ind w:left="159" w:right="1151"/>
      </w:pPr>
      <w:r>
        <w:rPr>
          <w:color w:val="231F20"/>
          <w:spacing w:val="-1"/>
        </w:rPr>
        <w:t>Next,</w:t>
      </w:r>
      <w:r>
        <w:rPr>
          <w:color w:val="231F20"/>
          <w:spacing w:val="-13"/>
        </w:rPr>
        <w:t> </w:t>
      </w:r>
      <w:r>
        <w:rPr>
          <w:color w:val="231F20"/>
          <w:spacing w:val="-1"/>
        </w:rPr>
        <w:t>trained</w:t>
      </w:r>
      <w:r>
        <w:rPr>
          <w:color w:val="231F20"/>
          <w:spacing w:val="-12"/>
        </w:rPr>
        <w:t> </w:t>
      </w:r>
      <w:r>
        <w:rPr>
          <w:color w:val="231F20"/>
          <w:spacing w:val="-1"/>
        </w:rPr>
        <w:t>reviewers</w:t>
      </w:r>
      <w:r>
        <w:rPr>
          <w:color w:val="231F20"/>
          <w:spacing w:val="-12"/>
        </w:rPr>
        <w:t> </w:t>
      </w:r>
      <w:r>
        <w:rPr>
          <w:color w:val="231F20"/>
          <w:spacing w:val="-1"/>
        </w:rPr>
        <w:t>assessed</w:t>
      </w:r>
      <w:r>
        <w:rPr>
          <w:color w:val="231F20"/>
          <w:spacing w:val="-12"/>
        </w:rPr>
        <w:t> </w:t>
      </w:r>
      <w:r>
        <w:rPr>
          <w:color w:val="231F20"/>
        </w:rPr>
        <w:t>each</w:t>
      </w:r>
      <w:r>
        <w:rPr>
          <w:color w:val="231F20"/>
          <w:spacing w:val="-12"/>
        </w:rPr>
        <w:t> </w:t>
      </w:r>
      <w:r>
        <w:rPr>
          <w:color w:val="231F20"/>
        </w:rPr>
        <w:t>study</w:t>
      </w:r>
      <w:r>
        <w:rPr>
          <w:color w:val="231F20"/>
          <w:spacing w:val="-12"/>
        </w:rPr>
        <w:t> </w:t>
      </w:r>
      <w:r>
        <w:rPr>
          <w:color w:val="231F20"/>
        </w:rPr>
        <w:t>to</w:t>
      </w:r>
      <w:r>
        <w:rPr>
          <w:color w:val="231F20"/>
          <w:spacing w:val="-12"/>
        </w:rPr>
        <w:t> </w:t>
      </w:r>
      <w:r>
        <w:rPr>
          <w:color w:val="231F20"/>
        </w:rPr>
        <w:t>ensure</w:t>
      </w:r>
      <w:r>
        <w:rPr>
          <w:color w:val="231F20"/>
          <w:spacing w:val="-52"/>
        </w:rPr>
        <w:t> </w:t>
      </w:r>
      <w:r>
        <w:rPr>
          <w:color w:val="231F20"/>
        </w:rPr>
        <w:t>the methodology was rigorous and therefore could</w:t>
      </w:r>
      <w:r>
        <w:rPr>
          <w:color w:val="231F20"/>
          <w:spacing w:val="1"/>
        </w:rPr>
        <w:t> </w:t>
      </w:r>
      <w:r>
        <w:rPr>
          <w:color w:val="231F20"/>
        </w:rPr>
        <w:t>demonstrate</w:t>
      </w:r>
      <w:r>
        <w:rPr>
          <w:color w:val="231F20"/>
          <w:spacing w:val="-12"/>
        </w:rPr>
        <w:t> </w:t>
      </w:r>
      <w:r>
        <w:rPr>
          <w:color w:val="231F20"/>
        </w:rPr>
        <w:t>causation</w:t>
      </w:r>
      <w:r>
        <w:rPr>
          <w:color w:val="231F20"/>
          <w:spacing w:val="-12"/>
        </w:rPr>
        <w:t> </w:t>
      </w:r>
      <w:r>
        <w:rPr>
          <w:color w:val="231F20"/>
        </w:rPr>
        <w:t>between</w:t>
      </w:r>
      <w:r>
        <w:rPr>
          <w:color w:val="231F20"/>
          <w:spacing w:val="-12"/>
        </w:rPr>
        <w:t> </w:t>
      </w:r>
      <w:r>
        <w:rPr>
          <w:color w:val="231F20"/>
        </w:rPr>
        <w:t>the</w:t>
      </w:r>
      <w:r>
        <w:rPr>
          <w:color w:val="231F20"/>
          <w:spacing w:val="-12"/>
        </w:rPr>
        <w:t> </w:t>
      </w:r>
      <w:r>
        <w:rPr>
          <w:color w:val="231F20"/>
        </w:rPr>
        <w:t>practice</w:t>
      </w:r>
      <w:r>
        <w:rPr>
          <w:color w:val="231F20"/>
          <w:spacing w:val="-12"/>
        </w:rPr>
        <w:t> </w:t>
      </w:r>
      <w:r>
        <w:rPr>
          <w:color w:val="231F20"/>
        </w:rPr>
        <w:t>and</w:t>
      </w:r>
      <w:r>
        <w:rPr>
          <w:color w:val="231F20"/>
          <w:spacing w:val="-12"/>
        </w:rPr>
        <w:t> </w:t>
      </w:r>
      <w:r>
        <w:rPr>
          <w:color w:val="231F20"/>
        </w:rPr>
        <w:t>the</w:t>
      </w:r>
    </w:p>
    <w:p>
      <w:pPr>
        <w:pStyle w:val="BodyText"/>
        <w:spacing w:line="251" w:lineRule="exact"/>
        <w:ind w:left="159"/>
      </w:pPr>
      <w:r>
        <w:rPr>
          <w:color w:val="231F20"/>
          <w:spacing w:val="-1"/>
        </w:rPr>
        <w:t>identified</w:t>
      </w:r>
      <w:r>
        <w:rPr>
          <w:color w:val="231F20"/>
          <w:spacing w:val="-12"/>
        </w:rPr>
        <w:t> </w:t>
      </w:r>
      <w:r>
        <w:rPr>
          <w:color w:val="231F20"/>
          <w:spacing w:val="-1"/>
        </w:rPr>
        <w:t>outcomes.</w:t>
      </w:r>
      <w:r>
        <w:rPr>
          <w:color w:val="231F20"/>
          <w:spacing w:val="-12"/>
        </w:rPr>
        <w:t> </w:t>
      </w:r>
      <w:r>
        <w:rPr>
          <w:color w:val="231F20"/>
          <w:spacing w:val="-1"/>
        </w:rPr>
        <w:t>Reviewers</w:t>
      </w:r>
      <w:r>
        <w:rPr>
          <w:color w:val="231F20"/>
          <w:spacing w:val="-12"/>
        </w:rPr>
        <w:t> </w:t>
      </w:r>
      <w:r>
        <w:rPr>
          <w:color w:val="231F20"/>
          <w:spacing w:val="-1"/>
        </w:rPr>
        <w:t>reviewed</w:t>
      </w:r>
      <w:r>
        <w:rPr>
          <w:color w:val="231F20"/>
          <w:spacing w:val="-12"/>
        </w:rPr>
        <w:t> </w:t>
      </w:r>
      <w:r>
        <w:rPr>
          <w:color w:val="231F20"/>
          <w:spacing w:val="-1"/>
        </w:rPr>
        <w:t>and</w:t>
      </w:r>
      <w:r>
        <w:rPr>
          <w:color w:val="231F20"/>
          <w:spacing w:val="-12"/>
        </w:rPr>
        <w:t> </w:t>
      </w:r>
      <w:r>
        <w:rPr>
          <w:color w:val="231F20"/>
          <w:spacing w:val="-1"/>
        </w:rPr>
        <w:t>documented</w:t>
      </w:r>
    </w:p>
    <w:p>
      <w:pPr>
        <w:pStyle w:val="BodyText"/>
        <w:spacing w:before="27"/>
        <w:ind w:left="159"/>
      </w:pPr>
      <w:r>
        <w:rPr>
          <w:color w:val="231F20"/>
        </w:rPr>
        <w:t>each</w:t>
      </w:r>
      <w:r>
        <w:rPr>
          <w:color w:val="231F20"/>
          <w:spacing w:val="-12"/>
        </w:rPr>
        <w:t> </w:t>
      </w:r>
      <w:r>
        <w:rPr>
          <w:color w:val="231F20"/>
        </w:rPr>
        <w:t>study</w:t>
      </w:r>
      <w:r>
        <w:rPr>
          <w:color w:val="231F20"/>
          <w:spacing w:val="-12"/>
        </w:rPr>
        <w:t> </w:t>
      </w:r>
      <w:r>
        <w:rPr>
          <w:color w:val="231F20"/>
        </w:rPr>
        <w:t>to</w:t>
      </w:r>
      <w:r>
        <w:rPr>
          <w:color w:val="231F20"/>
          <w:spacing w:val="-11"/>
        </w:rPr>
        <w:t> </w:t>
      </w:r>
      <w:r>
        <w:rPr>
          <w:color w:val="231F20"/>
        </w:rPr>
        <w:t>ensure</w:t>
      </w:r>
      <w:r>
        <w:rPr>
          <w:color w:val="231F20"/>
          <w:spacing w:val="-12"/>
        </w:rPr>
        <w:t> </w:t>
      </w:r>
      <w:r>
        <w:rPr>
          <w:color w:val="231F20"/>
        </w:rPr>
        <w:t>that:</w:t>
      </w:r>
    </w:p>
    <w:p>
      <w:pPr>
        <w:pStyle w:val="ListParagraph"/>
        <w:numPr>
          <w:ilvl w:val="1"/>
          <w:numId w:val="27"/>
        </w:numPr>
        <w:tabs>
          <w:tab w:pos="879" w:val="left" w:leader="none"/>
          <w:tab w:pos="880" w:val="left" w:leader="none"/>
        </w:tabs>
        <w:spacing w:line="249" w:lineRule="auto" w:before="175" w:after="0"/>
        <w:ind w:left="879" w:right="760" w:hanging="360"/>
        <w:jc w:val="left"/>
        <w:rPr>
          <w:sz w:val="22"/>
        </w:rPr>
      </w:pPr>
      <w:r>
        <w:rPr>
          <w:color w:val="010202"/>
          <w:sz w:val="22"/>
        </w:rPr>
        <w:t>Experimental and comparison groups were</w:t>
      </w:r>
      <w:r>
        <w:rPr>
          <w:color w:val="010202"/>
          <w:spacing w:val="1"/>
          <w:sz w:val="22"/>
        </w:rPr>
        <w:t> </w:t>
      </w:r>
      <w:r>
        <w:rPr>
          <w:color w:val="010202"/>
          <w:sz w:val="22"/>
        </w:rPr>
        <w:t>statistically equivalent, with the only difference</w:t>
      </w:r>
      <w:r>
        <w:rPr>
          <w:color w:val="010202"/>
          <w:spacing w:val="1"/>
          <w:sz w:val="22"/>
        </w:rPr>
        <w:t> </w:t>
      </w:r>
      <w:r>
        <w:rPr>
          <w:color w:val="010202"/>
          <w:sz w:val="22"/>
        </w:rPr>
        <w:t>being</w:t>
      </w:r>
      <w:r>
        <w:rPr>
          <w:color w:val="010202"/>
          <w:spacing w:val="11"/>
          <w:sz w:val="22"/>
        </w:rPr>
        <w:t> </w:t>
      </w:r>
      <w:r>
        <w:rPr>
          <w:color w:val="010202"/>
          <w:sz w:val="22"/>
        </w:rPr>
        <w:t>that</w:t>
      </w:r>
      <w:r>
        <w:rPr>
          <w:color w:val="010202"/>
          <w:spacing w:val="12"/>
          <w:sz w:val="22"/>
        </w:rPr>
        <w:t> </w:t>
      </w:r>
      <w:r>
        <w:rPr>
          <w:color w:val="010202"/>
          <w:sz w:val="22"/>
        </w:rPr>
        <w:t>participants</w:t>
      </w:r>
      <w:r>
        <w:rPr>
          <w:color w:val="010202"/>
          <w:spacing w:val="12"/>
          <w:sz w:val="22"/>
        </w:rPr>
        <w:t> </w:t>
      </w:r>
      <w:r>
        <w:rPr>
          <w:color w:val="010202"/>
          <w:sz w:val="22"/>
        </w:rPr>
        <w:t>in</w:t>
      </w:r>
      <w:r>
        <w:rPr>
          <w:color w:val="010202"/>
          <w:spacing w:val="12"/>
          <w:sz w:val="22"/>
        </w:rPr>
        <w:t> </w:t>
      </w:r>
      <w:r>
        <w:rPr>
          <w:color w:val="010202"/>
          <w:sz w:val="22"/>
        </w:rPr>
        <w:t>the</w:t>
      </w:r>
      <w:r>
        <w:rPr>
          <w:color w:val="010202"/>
          <w:spacing w:val="12"/>
          <w:sz w:val="22"/>
        </w:rPr>
        <w:t> </w:t>
      </w:r>
      <w:r>
        <w:rPr>
          <w:color w:val="010202"/>
          <w:sz w:val="22"/>
        </w:rPr>
        <w:t>experimental</w:t>
      </w:r>
      <w:r>
        <w:rPr>
          <w:color w:val="010202"/>
          <w:spacing w:val="1"/>
          <w:sz w:val="22"/>
        </w:rPr>
        <w:t> </w:t>
      </w:r>
      <w:r>
        <w:rPr>
          <w:color w:val="010202"/>
          <w:sz w:val="22"/>
        </w:rPr>
        <w:t>group received the intervention and those in the</w:t>
      </w:r>
      <w:r>
        <w:rPr>
          <w:color w:val="010202"/>
          <w:spacing w:val="1"/>
          <w:sz w:val="22"/>
        </w:rPr>
        <w:t> </w:t>
      </w:r>
      <w:r>
        <w:rPr>
          <w:color w:val="010202"/>
          <w:sz w:val="22"/>
        </w:rPr>
        <w:t>comparison group received treatment as usual or</w:t>
      </w:r>
      <w:r>
        <w:rPr>
          <w:color w:val="010202"/>
          <w:spacing w:val="-52"/>
          <w:sz w:val="22"/>
        </w:rPr>
        <w:t> </w:t>
      </w:r>
      <w:r>
        <w:rPr>
          <w:color w:val="010202"/>
          <w:sz w:val="22"/>
        </w:rPr>
        <w:t>no/minimal intervention</w:t>
      </w:r>
    </w:p>
    <w:p>
      <w:pPr>
        <w:spacing w:after="0" w:line="249" w:lineRule="auto"/>
        <w:jc w:val="left"/>
        <w:rPr>
          <w:sz w:val="22"/>
        </w:rPr>
        <w:sectPr>
          <w:type w:val="continuous"/>
          <w:pgSz w:w="12240" w:h="15840"/>
          <w:pgMar w:header="0" w:footer="666" w:top="1500" w:bottom="0" w:left="560" w:right="0"/>
          <w:cols w:num="2" w:equalWidth="0">
            <w:col w:w="5239" w:space="521"/>
            <w:col w:w="5920"/>
          </w:cols>
        </w:sectPr>
      </w:pPr>
    </w:p>
    <w:p>
      <w:pPr>
        <w:pStyle w:val="BodyText"/>
        <w:rPr>
          <w:sz w:val="20"/>
        </w:rPr>
      </w:pPr>
    </w:p>
    <w:p>
      <w:pPr>
        <w:pStyle w:val="BodyText"/>
        <w:spacing w:before="3"/>
        <w:rPr>
          <w:sz w:val="19"/>
        </w:rPr>
      </w:pPr>
    </w:p>
    <w:p>
      <w:pPr>
        <w:spacing w:after="0"/>
        <w:rPr>
          <w:sz w:val="19"/>
        </w:rPr>
        <w:sectPr>
          <w:headerReference w:type="default" r:id="rId387"/>
          <w:footerReference w:type="default" r:id="rId388"/>
          <w:pgSz w:w="12240" w:h="15840"/>
          <w:pgMar w:header="0" w:footer="666" w:top="380" w:bottom="860" w:left="560" w:right="0"/>
        </w:sectPr>
      </w:pPr>
    </w:p>
    <w:p>
      <w:pPr>
        <w:pStyle w:val="ListParagraph"/>
        <w:numPr>
          <w:ilvl w:val="1"/>
          <w:numId w:val="27"/>
        </w:numPr>
        <w:tabs>
          <w:tab w:pos="879" w:val="left" w:leader="none"/>
          <w:tab w:pos="880" w:val="left" w:leader="none"/>
        </w:tabs>
        <w:spacing w:line="249" w:lineRule="auto" w:before="166" w:after="0"/>
        <w:ind w:left="879" w:right="177" w:hanging="360"/>
        <w:jc w:val="left"/>
        <w:rPr>
          <w:sz w:val="22"/>
        </w:rPr>
      </w:pPr>
      <w:bookmarkStart w:name="Step 4: Practice Rating" w:id="159"/>
      <w:bookmarkEnd w:id="159"/>
      <w:r>
        <w:rPr/>
      </w:r>
      <w:bookmarkStart w:name="Step 4: Practice Rating" w:id="160"/>
      <w:bookmarkEnd w:id="160"/>
      <w:r>
        <w:rPr>
          <w:color w:val="010202"/>
          <w:sz w:val="22"/>
        </w:rPr>
        <w:t>Fo</w:t>
      </w:r>
      <w:r>
        <w:rPr>
          <w:color w:val="010202"/>
          <w:sz w:val="22"/>
        </w:rPr>
        <w:t>r randomized experiments with high attrition</w:t>
      </w:r>
      <w:r>
        <w:rPr>
          <w:color w:val="010202"/>
          <w:spacing w:val="-52"/>
          <w:sz w:val="22"/>
        </w:rPr>
        <w:t> </w:t>
      </w:r>
      <w:r>
        <w:rPr>
          <w:color w:val="010202"/>
          <w:sz w:val="22"/>
        </w:rPr>
        <w:t>and for quasi-experimental designs, baseline</w:t>
      </w:r>
      <w:r>
        <w:rPr>
          <w:color w:val="010202"/>
          <w:spacing w:val="1"/>
          <w:sz w:val="22"/>
        </w:rPr>
        <w:t> </w:t>
      </w:r>
      <w:r>
        <w:rPr>
          <w:color w:val="010202"/>
          <w:sz w:val="22"/>
        </w:rPr>
        <w:t>equivalence was established between the</w:t>
      </w:r>
      <w:r>
        <w:rPr>
          <w:color w:val="010202"/>
          <w:spacing w:val="1"/>
          <w:sz w:val="22"/>
        </w:rPr>
        <w:t> </w:t>
      </w:r>
      <w:r>
        <w:rPr>
          <w:color w:val="010202"/>
          <w:sz w:val="22"/>
        </w:rPr>
        <w:t>treatment and comparison groups</w:t>
      </w:r>
    </w:p>
    <w:p>
      <w:pPr>
        <w:pStyle w:val="ListParagraph"/>
        <w:numPr>
          <w:ilvl w:val="1"/>
          <w:numId w:val="27"/>
        </w:numPr>
        <w:tabs>
          <w:tab w:pos="879" w:val="left" w:leader="none"/>
          <w:tab w:pos="880" w:val="left" w:leader="none"/>
        </w:tabs>
        <w:spacing w:line="249" w:lineRule="auto" w:before="0" w:after="0"/>
        <w:ind w:left="879" w:right="122" w:hanging="360"/>
        <w:jc w:val="left"/>
        <w:rPr>
          <w:sz w:val="22"/>
        </w:rPr>
      </w:pPr>
      <w:r>
        <w:rPr>
          <w:color w:val="010202"/>
          <w:sz w:val="22"/>
        </w:rPr>
        <w:t>For randomized experiments, randomization</w:t>
      </w:r>
      <w:r>
        <w:rPr>
          <w:color w:val="010202"/>
          <w:spacing w:val="1"/>
          <w:sz w:val="22"/>
        </w:rPr>
        <w:t> </w:t>
      </w:r>
      <w:r>
        <w:rPr>
          <w:color w:val="010202"/>
          <w:sz w:val="22"/>
        </w:rPr>
        <w:t>was not compromised. For example, ensuring</w:t>
      </w:r>
      <w:r>
        <w:rPr>
          <w:color w:val="010202"/>
          <w:spacing w:val="1"/>
          <w:sz w:val="22"/>
        </w:rPr>
        <w:t> </w:t>
      </w:r>
      <w:r>
        <w:rPr>
          <w:color w:val="010202"/>
          <w:sz w:val="22"/>
        </w:rPr>
        <w:t>that reassignment of treatment status, usually</w:t>
      </w:r>
      <w:r>
        <w:rPr>
          <w:color w:val="010202"/>
          <w:spacing w:val="1"/>
          <w:sz w:val="22"/>
        </w:rPr>
        <w:t> </w:t>
      </w:r>
      <w:r>
        <w:rPr>
          <w:color w:val="010202"/>
          <w:sz w:val="22"/>
        </w:rPr>
        <w:t>made to balance the distribution of background</w:t>
      </w:r>
      <w:r>
        <w:rPr>
          <w:color w:val="010202"/>
          <w:spacing w:val="1"/>
          <w:sz w:val="22"/>
        </w:rPr>
        <w:t> </w:t>
      </w:r>
      <w:r>
        <w:rPr>
          <w:color w:val="010202"/>
          <w:sz w:val="22"/>
        </w:rPr>
        <w:t>variables between treatment and control groups,</w:t>
      </w:r>
      <w:r>
        <w:rPr>
          <w:color w:val="010202"/>
          <w:spacing w:val="-52"/>
          <w:sz w:val="22"/>
        </w:rPr>
        <w:t> </w:t>
      </w:r>
      <w:r>
        <w:rPr>
          <w:color w:val="010202"/>
          <w:sz w:val="22"/>
        </w:rPr>
        <w:t>did</w:t>
      </w:r>
      <w:r>
        <w:rPr>
          <w:color w:val="010202"/>
          <w:spacing w:val="-1"/>
          <w:sz w:val="22"/>
        </w:rPr>
        <w:t> </w:t>
      </w:r>
      <w:r>
        <w:rPr>
          <w:color w:val="010202"/>
          <w:sz w:val="22"/>
        </w:rPr>
        <w:t>not occur.</w:t>
      </w:r>
    </w:p>
    <w:p>
      <w:pPr>
        <w:pStyle w:val="ListParagraph"/>
        <w:numPr>
          <w:ilvl w:val="1"/>
          <w:numId w:val="27"/>
        </w:numPr>
        <w:tabs>
          <w:tab w:pos="879" w:val="left" w:leader="none"/>
          <w:tab w:pos="880" w:val="left" w:leader="none"/>
        </w:tabs>
        <w:spacing w:line="249" w:lineRule="auto" w:before="0" w:after="0"/>
        <w:ind w:left="879" w:right="501" w:hanging="360"/>
        <w:jc w:val="left"/>
        <w:rPr>
          <w:sz w:val="22"/>
        </w:rPr>
      </w:pPr>
      <w:r>
        <w:rPr>
          <w:color w:val="010202"/>
          <w:sz w:val="22"/>
        </w:rPr>
        <w:t>Study did not have any confounding factors</w:t>
      </w:r>
      <w:r>
        <w:rPr>
          <w:color w:val="010202"/>
          <w:spacing w:val="-52"/>
          <w:sz w:val="22"/>
        </w:rPr>
        <w:t> </w:t>
      </w:r>
      <w:r>
        <w:rPr>
          <w:color w:val="010202"/>
          <w:sz w:val="22"/>
        </w:rPr>
        <w:t>(factors that affect the outcome but are not</w:t>
      </w:r>
      <w:r>
        <w:rPr>
          <w:color w:val="010202"/>
          <w:spacing w:val="1"/>
          <w:sz w:val="22"/>
        </w:rPr>
        <w:t> </w:t>
      </w:r>
      <w:r>
        <w:rPr>
          <w:color w:val="010202"/>
          <w:sz w:val="22"/>
        </w:rPr>
        <w:t>accounted</w:t>
      </w:r>
      <w:r>
        <w:rPr>
          <w:color w:val="010202"/>
          <w:spacing w:val="-1"/>
          <w:sz w:val="22"/>
        </w:rPr>
        <w:t> </w:t>
      </w:r>
      <w:r>
        <w:rPr>
          <w:color w:val="010202"/>
          <w:sz w:val="22"/>
        </w:rPr>
        <w:t>for by the study)</w:t>
      </w:r>
    </w:p>
    <w:p>
      <w:pPr>
        <w:pStyle w:val="ListParagraph"/>
        <w:numPr>
          <w:ilvl w:val="1"/>
          <w:numId w:val="27"/>
        </w:numPr>
        <w:tabs>
          <w:tab w:pos="879" w:val="left" w:leader="none"/>
          <w:tab w:pos="880" w:val="left" w:leader="none"/>
        </w:tabs>
        <w:spacing w:line="252" w:lineRule="exact" w:before="0" w:after="0"/>
        <w:ind w:left="879" w:right="0" w:hanging="360"/>
        <w:jc w:val="left"/>
        <w:rPr>
          <w:sz w:val="22"/>
        </w:rPr>
      </w:pPr>
      <w:r>
        <w:rPr>
          <w:color w:val="010202"/>
          <w:sz w:val="22"/>
        </w:rPr>
        <w:t>Missing</w:t>
      </w:r>
      <w:r>
        <w:rPr>
          <w:color w:val="010202"/>
          <w:spacing w:val="-3"/>
          <w:sz w:val="22"/>
        </w:rPr>
        <w:t> </w:t>
      </w:r>
      <w:r>
        <w:rPr>
          <w:color w:val="010202"/>
          <w:sz w:val="22"/>
        </w:rPr>
        <w:t>data</w:t>
      </w:r>
      <w:r>
        <w:rPr>
          <w:color w:val="010202"/>
          <w:spacing w:val="-2"/>
          <w:sz w:val="22"/>
        </w:rPr>
        <w:t> </w:t>
      </w:r>
      <w:r>
        <w:rPr>
          <w:color w:val="010202"/>
          <w:sz w:val="22"/>
        </w:rPr>
        <w:t>were</w:t>
      </w:r>
      <w:r>
        <w:rPr>
          <w:color w:val="010202"/>
          <w:spacing w:val="-3"/>
          <w:sz w:val="22"/>
        </w:rPr>
        <w:t> </w:t>
      </w:r>
      <w:r>
        <w:rPr>
          <w:color w:val="010202"/>
          <w:sz w:val="22"/>
        </w:rPr>
        <w:t>addressed</w:t>
      </w:r>
      <w:r>
        <w:rPr>
          <w:color w:val="010202"/>
          <w:spacing w:val="-1"/>
          <w:sz w:val="22"/>
        </w:rPr>
        <w:t> </w:t>
      </w:r>
      <w:r>
        <w:rPr>
          <w:color w:val="010202"/>
          <w:sz w:val="22"/>
        </w:rPr>
        <w:t>appropriately</w:t>
      </w:r>
    </w:p>
    <w:p>
      <w:pPr>
        <w:pStyle w:val="ListParagraph"/>
        <w:numPr>
          <w:ilvl w:val="2"/>
          <w:numId w:val="27"/>
        </w:numPr>
        <w:tabs>
          <w:tab w:pos="1239" w:val="left" w:leader="none"/>
          <w:tab w:pos="1240" w:val="left" w:leader="none"/>
        </w:tabs>
        <w:spacing w:line="249" w:lineRule="auto" w:before="0" w:after="0"/>
        <w:ind w:left="1239" w:right="161" w:hanging="360"/>
        <w:jc w:val="left"/>
        <w:rPr>
          <w:sz w:val="22"/>
        </w:rPr>
      </w:pPr>
      <w:r>
        <w:rPr>
          <w:color w:val="010202"/>
          <w:sz w:val="22"/>
        </w:rPr>
        <w:t>Imputation based on surrounding cases was</w:t>
      </w:r>
      <w:r>
        <w:rPr>
          <w:color w:val="010202"/>
          <w:spacing w:val="-52"/>
          <w:sz w:val="22"/>
        </w:rPr>
        <w:t> </w:t>
      </w:r>
      <w:r>
        <w:rPr>
          <w:color w:val="010202"/>
          <w:sz w:val="22"/>
        </w:rPr>
        <w:t>considered valid</w:t>
      </w:r>
    </w:p>
    <w:p>
      <w:pPr>
        <w:pStyle w:val="ListParagraph"/>
        <w:numPr>
          <w:ilvl w:val="2"/>
          <w:numId w:val="27"/>
        </w:numPr>
        <w:tabs>
          <w:tab w:pos="1239" w:val="left" w:leader="none"/>
          <w:tab w:pos="1240" w:val="left" w:leader="none"/>
        </w:tabs>
        <w:spacing w:line="254" w:lineRule="exact" w:before="0" w:after="0"/>
        <w:ind w:left="1239" w:right="0" w:hanging="361"/>
        <w:jc w:val="left"/>
        <w:rPr>
          <w:sz w:val="22"/>
        </w:rPr>
      </w:pPr>
      <w:r>
        <w:rPr>
          <w:color w:val="010202"/>
          <w:sz w:val="22"/>
        </w:rPr>
        <w:t>Complete</w:t>
      </w:r>
      <w:r>
        <w:rPr>
          <w:color w:val="010202"/>
          <w:spacing w:val="-1"/>
          <w:sz w:val="22"/>
        </w:rPr>
        <w:t> </w:t>
      </w:r>
      <w:r>
        <w:rPr>
          <w:color w:val="010202"/>
          <w:sz w:val="22"/>
        </w:rPr>
        <w:t>case analysis</w:t>
      </w:r>
      <w:r>
        <w:rPr>
          <w:color w:val="010202"/>
          <w:spacing w:val="-1"/>
          <w:sz w:val="22"/>
        </w:rPr>
        <w:t> </w:t>
      </w:r>
      <w:r>
        <w:rPr>
          <w:color w:val="010202"/>
          <w:sz w:val="22"/>
        </w:rPr>
        <w:t>was</w:t>
      </w:r>
      <w:r>
        <w:rPr>
          <w:color w:val="010202"/>
          <w:spacing w:val="-1"/>
          <w:sz w:val="22"/>
        </w:rPr>
        <w:t> </w:t>
      </w:r>
      <w:r>
        <w:rPr>
          <w:color w:val="010202"/>
          <w:sz w:val="22"/>
        </w:rPr>
        <w:t>considered valid</w:t>
      </w:r>
    </w:p>
    <w:p>
      <w:pPr>
        <w:pStyle w:val="BodyText"/>
        <w:spacing w:line="251" w:lineRule="exact"/>
        <w:ind w:left="1239"/>
      </w:pPr>
      <w:r>
        <w:rPr>
          <w:color w:val="010202"/>
        </w:rPr>
        <w:t>and accounted for as attrition</w:t>
      </w:r>
    </w:p>
    <w:p>
      <w:pPr>
        <w:pStyle w:val="ListParagraph"/>
        <w:numPr>
          <w:ilvl w:val="2"/>
          <w:numId w:val="27"/>
        </w:numPr>
        <w:tabs>
          <w:tab w:pos="1239" w:val="left" w:leader="none"/>
          <w:tab w:pos="1240" w:val="left" w:leader="none"/>
        </w:tabs>
        <w:spacing w:line="249" w:lineRule="auto" w:before="0" w:after="0"/>
        <w:ind w:left="1239" w:right="245" w:hanging="360"/>
        <w:jc w:val="left"/>
        <w:rPr>
          <w:sz w:val="22"/>
        </w:rPr>
      </w:pPr>
      <w:r>
        <w:rPr>
          <w:color w:val="010202"/>
          <w:sz w:val="22"/>
        </w:rPr>
        <w:t>Using model with dummy for missing as a</w:t>
      </w:r>
      <w:r>
        <w:rPr>
          <w:color w:val="010202"/>
          <w:spacing w:val="-52"/>
          <w:sz w:val="22"/>
        </w:rPr>
        <w:t> </w:t>
      </w:r>
      <w:r>
        <w:rPr>
          <w:color w:val="010202"/>
          <w:sz w:val="22"/>
        </w:rPr>
        <w:t>covariate</w:t>
      </w:r>
      <w:r>
        <w:rPr>
          <w:color w:val="010202"/>
          <w:spacing w:val="-1"/>
          <w:sz w:val="22"/>
        </w:rPr>
        <w:t> </w:t>
      </w:r>
      <w:r>
        <w:rPr>
          <w:color w:val="010202"/>
          <w:sz w:val="22"/>
        </w:rPr>
        <w:t>was</w:t>
      </w:r>
      <w:r>
        <w:rPr>
          <w:color w:val="010202"/>
          <w:spacing w:val="-1"/>
          <w:sz w:val="22"/>
        </w:rPr>
        <w:t> </w:t>
      </w:r>
      <w:r>
        <w:rPr>
          <w:color w:val="010202"/>
          <w:sz w:val="22"/>
        </w:rPr>
        <w:t>considered valid</w:t>
      </w:r>
    </w:p>
    <w:p>
      <w:pPr>
        <w:pStyle w:val="ListParagraph"/>
        <w:numPr>
          <w:ilvl w:val="2"/>
          <w:numId w:val="27"/>
        </w:numPr>
        <w:tabs>
          <w:tab w:pos="1239" w:val="left" w:leader="none"/>
          <w:tab w:pos="1240" w:val="left" w:leader="none"/>
        </w:tabs>
        <w:spacing w:line="254" w:lineRule="exact" w:before="0" w:after="0"/>
        <w:ind w:left="1239" w:right="0" w:hanging="361"/>
        <w:jc w:val="left"/>
        <w:rPr>
          <w:sz w:val="22"/>
        </w:rPr>
      </w:pPr>
      <w:r>
        <w:rPr>
          <w:color w:val="010202"/>
          <w:sz w:val="22"/>
        </w:rPr>
        <w:t>Assuming</w:t>
      </w:r>
      <w:r>
        <w:rPr>
          <w:color w:val="010202"/>
          <w:spacing w:val="-2"/>
          <w:sz w:val="22"/>
        </w:rPr>
        <w:t> </w:t>
      </w:r>
      <w:r>
        <w:rPr>
          <w:color w:val="010202"/>
          <w:sz w:val="22"/>
        </w:rPr>
        <w:t>all</w:t>
      </w:r>
      <w:r>
        <w:rPr>
          <w:color w:val="010202"/>
          <w:spacing w:val="-1"/>
          <w:sz w:val="22"/>
        </w:rPr>
        <w:t> </w:t>
      </w:r>
      <w:r>
        <w:rPr>
          <w:color w:val="010202"/>
          <w:sz w:val="22"/>
        </w:rPr>
        <w:t>missing</w:t>
      </w:r>
      <w:r>
        <w:rPr>
          <w:color w:val="010202"/>
          <w:spacing w:val="-1"/>
          <w:sz w:val="22"/>
        </w:rPr>
        <w:t> </w:t>
      </w:r>
      <w:r>
        <w:rPr>
          <w:color w:val="010202"/>
          <w:sz w:val="22"/>
        </w:rPr>
        <w:t>data</w:t>
      </w:r>
      <w:r>
        <w:rPr>
          <w:color w:val="010202"/>
          <w:spacing w:val="-1"/>
          <w:sz w:val="22"/>
        </w:rPr>
        <w:t> </w:t>
      </w:r>
      <w:r>
        <w:rPr>
          <w:color w:val="010202"/>
          <w:sz w:val="22"/>
        </w:rPr>
        <w:t>points</w:t>
      </w:r>
      <w:r>
        <w:rPr>
          <w:color w:val="010202"/>
          <w:spacing w:val="-1"/>
          <w:sz w:val="22"/>
        </w:rPr>
        <w:t> </w:t>
      </w:r>
      <w:r>
        <w:rPr>
          <w:color w:val="010202"/>
          <w:sz w:val="22"/>
        </w:rPr>
        <w:t>are</w:t>
      </w:r>
      <w:r>
        <w:rPr>
          <w:color w:val="010202"/>
          <w:spacing w:val="-1"/>
          <w:sz w:val="22"/>
        </w:rPr>
        <w:t> </w:t>
      </w:r>
      <w:r>
        <w:rPr>
          <w:color w:val="010202"/>
          <w:sz w:val="22"/>
        </w:rPr>
        <w:t>either</w:t>
      </w:r>
    </w:p>
    <w:p>
      <w:pPr>
        <w:pStyle w:val="BodyText"/>
        <w:spacing w:line="249" w:lineRule="auto"/>
        <w:ind w:left="1239" w:right="498"/>
      </w:pPr>
      <w:r>
        <w:rPr>
          <w:color w:val="010202"/>
        </w:rPr>
        <w:t>positive or negative was not considered</w:t>
      </w:r>
      <w:r>
        <w:rPr>
          <w:color w:val="010202"/>
          <w:spacing w:val="-52"/>
        </w:rPr>
        <w:t> </w:t>
      </w:r>
      <w:r>
        <w:rPr>
          <w:color w:val="010202"/>
        </w:rPr>
        <w:t>valid</w:t>
      </w:r>
    </w:p>
    <w:p>
      <w:pPr>
        <w:pStyle w:val="ListParagraph"/>
        <w:numPr>
          <w:ilvl w:val="2"/>
          <w:numId w:val="27"/>
        </w:numPr>
        <w:tabs>
          <w:tab w:pos="1238" w:val="left" w:leader="none"/>
          <w:tab w:pos="1239" w:val="left" w:leader="none"/>
        </w:tabs>
        <w:spacing w:line="256" w:lineRule="exact" w:before="0" w:after="0"/>
        <w:ind w:left="1238" w:right="0" w:hanging="360"/>
        <w:jc w:val="left"/>
        <w:rPr>
          <w:sz w:val="22"/>
        </w:rPr>
      </w:pPr>
      <w:r>
        <w:rPr>
          <w:color w:val="010202"/>
          <w:sz w:val="22"/>
        </w:rPr>
        <w:t>Regression-based</w:t>
      </w:r>
      <w:r>
        <w:rPr>
          <w:color w:val="010202"/>
          <w:spacing w:val="-1"/>
          <w:sz w:val="22"/>
        </w:rPr>
        <w:t> </w:t>
      </w:r>
      <w:r>
        <w:rPr>
          <w:color w:val="010202"/>
          <w:sz w:val="22"/>
        </w:rPr>
        <w:t>imputation</w:t>
      </w:r>
      <w:r>
        <w:rPr>
          <w:color w:val="010202"/>
          <w:spacing w:val="-1"/>
          <w:sz w:val="22"/>
        </w:rPr>
        <w:t> </w:t>
      </w:r>
      <w:r>
        <w:rPr>
          <w:color w:val="010202"/>
          <w:sz w:val="22"/>
        </w:rPr>
        <w:t>was</w:t>
      </w:r>
      <w:r>
        <w:rPr>
          <w:color w:val="010202"/>
          <w:spacing w:val="-2"/>
          <w:sz w:val="22"/>
        </w:rPr>
        <w:t> </w:t>
      </w:r>
      <w:r>
        <w:rPr>
          <w:color w:val="010202"/>
          <w:sz w:val="22"/>
        </w:rPr>
        <w:t>consid-</w:t>
      </w:r>
    </w:p>
    <w:p>
      <w:pPr>
        <w:pStyle w:val="BodyText"/>
        <w:spacing w:line="249" w:lineRule="auto"/>
        <w:ind w:left="1238" w:right="65"/>
      </w:pPr>
      <w:r>
        <w:rPr>
          <w:color w:val="010202"/>
        </w:rPr>
        <w:t>ered valid; mean imputation was not consid-</w:t>
      </w:r>
      <w:r>
        <w:rPr>
          <w:color w:val="010202"/>
          <w:spacing w:val="-52"/>
        </w:rPr>
        <w:t> </w:t>
      </w:r>
      <w:r>
        <w:rPr>
          <w:color w:val="010202"/>
        </w:rPr>
        <w:t>ered valid.</w:t>
      </w:r>
    </w:p>
    <w:p>
      <w:pPr>
        <w:pStyle w:val="ListParagraph"/>
        <w:numPr>
          <w:ilvl w:val="1"/>
          <w:numId w:val="27"/>
        </w:numPr>
        <w:tabs>
          <w:tab w:pos="878" w:val="left" w:leader="none"/>
          <w:tab w:pos="879" w:val="left" w:leader="none"/>
        </w:tabs>
        <w:spacing w:line="256" w:lineRule="exact" w:before="0" w:after="0"/>
        <w:ind w:left="878" w:right="0" w:hanging="361"/>
        <w:jc w:val="left"/>
        <w:rPr>
          <w:sz w:val="22"/>
        </w:rPr>
      </w:pPr>
      <w:r>
        <w:rPr>
          <w:color w:val="010202"/>
          <w:sz w:val="22"/>
        </w:rPr>
        <w:t>Outcome</w:t>
      </w:r>
      <w:r>
        <w:rPr>
          <w:color w:val="010202"/>
          <w:spacing w:val="-3"/>
          <w:sz w:val="22"/>
        </w:rPr>
        <w:t> </w:t>
      </w:r>
      <w:r>
        <w:rPr>
          <w:color w:val="010202"/>
          <w:sz w:val="22"/>
        </w:rPr>
        <w:t>measures</w:t>
      </w:r>
      <w:r>
        <w:rPr>
          <w:color w:val="010202"/>
          <w:spacing w:val="-1"/>
          <w:sz w:val="22"/>
        </w:rPr>
        <w:t> </w:t>
      </w:r>
      <w:r>
        <w:rPr>
          <w:color w:val="010202"/>
          <w:sz w:val="22"/>
        </w:rPr>
        <w:t>were</w:t>
      </w:r>
      <w:r>
        <w:rPr>
          <w:color w:val="010202"/>
          <w:spacing w:val="-3"/>
          <w:sz w:val="22"/>
        </w:rPr>
        <w:t> </w:t>
      </w:r>
      <w:r>
        <w:rPr>
          <w:color w:val="010202"/>
          <w:sz w:val="22"/>
        </w:rPr>
        <w:t>reliable,</w:t>
      </w:r>
      <w:r>
        <w:rPr>
          <w:color w:val="010202"/>
          <w:spacing w:val="-1"/>
          <w:sz w:val="22"/>
        </w:rPr>
        <w:t> </w:t>
      </w:r>
      <w:r>
        <w:rPr>
          <w:color w:val="010202"/>
          <w:sz w:val="22"/>
        </w:rPr>
        <w:t>valid,</w:t>
      </w:r>
      <w:r>
        <w:rPr>
          <w:color w:val="010202"/>
          <w:spacing w:val="-2"/>
          <w:sz w:val="22"/>
        </w:rPr>
        <w:t> </w:t>
      </w:r>
      <w:r>
        <w:rPr>
          <w:color w:val="010202"/>
          <w:sz w:val="22"/>
        </w:rPr>
        <w:t>and</w:t>
      </w:r>
    </w:p>
    <w:p>
      <w:pPr>
        <w:pStyle w:val="BodyText"/>
        <w:spacing w:line="251" w:lineRule="exact" w:before="11"/>
        <w:ind w:left="878"/>
      </w:pPr>
      <w:r>
        <w:rPr>
          <w:color w:val="010202"/>
        </w:rPr>
        <w:t>collected consistently from all participants</w:t>
      </w:r>
    </w:p>
    <w:p>
      <w:pPr>
        <w:pStyle w:val="ListParagraph"/>
        <w:numPr>
          <w:ilvl w:val="1"/>
          <w:numId w:val="27"/>
        </w:numPr>
        <w:tabs>
          <w:tab w:pos="878" w:val="left" w:leader="none"/>
          <w:tab w:pos="879" w:val="left" w:leader="none"/>
        </w:tabs>
        <w:spacing w:line="249" w:lineRule="auto" w:before="0" w:after="0"/>
        <w:ind w:left="878" w:right="356" w:hanging="360"/>
        <w:jc w:val="left"/>
        <w:rPr>
          <w:sz w:val="22"/>
        </w:rPr>
      </w:pPr>
      <w:r>
        <w:rPr>
          <w:color w:val="010202"/>
          <w:sz w:val="22"/>
        </w:rPr>
        <w:t>Valid</w:t>
      </w:r>
      <w:r>
        <w:rPr>
          <w:color w:val="010202"/>
          <w:spacing w:val="-6"/>
          <w:sz w:val="22"/>
        </w:rPr>
        <w:t> </w:t>
      </w:r>
      <w:r>
        <w:rPr>
          <w:color w:val="010202"/>
          <w:sz w:val="22"/>
        </w:rPr>
        <w:t>statistical</w:t>
      </w:r>
      <w:r>
        <w:rPr>
          <w:color w:val="010202"/>
          <w:spacing w:val="-7"/>
          <w:sz w:val="22"/>
        </w:rPr>
        <w:t> </w:t>
      </w:r>
      <w:r>
        <w:rPr>
          <w:color w:val="010202"/>
          <w:sz w:val="22"/>
        </w:rPr>
        <w:t>models</w:t>
      </w:r>
      <w:r>
        <w:rPr>
          <w:color w:val="010202"/>
          <w:spacing w:val="-6"/>
          <w:sz w:val="22"/>
        </w:rPr>
        <w:t> </w:t>
      </w:r>
      <w:r>
        <w:rPr>
          <w:color w:val="010202"/>
          <w:sz w:val="22"/>
        </w:rPr>
        <w:t>were</w:t>
      </w:r>
      <w:r>
        <w:rPr>
          <w:color w:val="010202"/>
          <w:spacing w:val="-7"/>
          <w:sz w:val="22"/>
        </w:rPr>
        <w:t> </w:t>
      </w:r>
      <w:r>
        <w:rPr>
          <w:color w:val="010202"/>
          <w:sz w:val="22"/>
        </w:rPr>
        <w:t>used</w:t>
      </w:r>
      <w:r>
        <w:rPr>
          <w:color w:val="010202"/>
          <w:spacing w:val="-6"/>
          <w:sz w:val="22"/>
        </w:rPr>
        <w:t> </w:t>
      </w:r>
      <w:r>
        <w:rPr>
          <w:color w:val="010202"/>
          <w:sz w:val="22"/>
        </w:rPr>
        <w:t>to</w:t>
      </w:r>
      <w:r>
        <w:rPr>
          <w:color w:val="010202"/>
          <w:spacing w:val="-6"/>
          <w:sz w:val="22"/>
        </w:rPr>
        <w:t> </w:t>
      </w:r>
      <w:r>
        <w:rPr>
          <w:color w:val="010202"/>
          <w:sz w:val="22"/>
        </w:rPr>
        <w:t>estimate</w:t>
      </w:r>
      <w:r>
        <w:rPr>
          <w:color w:val="010202"/>
          <w:spacing w:val="-52"/>
          <w:sz w:val="22"/>
        </w:rPr>
        <w:t> </w:t>
      </w:r>
      <w:r>
        <w:rPr>
          <w:color w:val="010202"/>
          <w:sz w:val="22"/>
        </w:rPr>
        <w:t>impacts</w:t>
      </w:r>
    </w:p>
    <w:p>
      <w:pPr>
        <w:pStyle w:val="ListParagraph"/>
        <w:numPr>
          <w:ilvl w:val="1"/>
          <w:numId w:val="27"/>
        </w:numPr>
        <w:tabs>
          <w:tab w:pos="878" w:val="left" w:leader="none"/>
          <w:tab w:pos="879" w:val="left" w:leader="none"/>
        </w:tabs>
        <w:spacing w:line="254" w:lineRule="exact" w:before="0" w:after="0"/>
        <w:ind w:left="878" w:right="0" w:hanging="361"/>
        <w:jc w:val="left"/>
        <w:rPr>
          <w:sz w:val="22"/>
        </w:rPr>
      </w:pPr>
      <w:r>
        <w:rPr>
          <w:color w:val="010202"/>
          <w:sz w:val="22"/>
        </w:rPr>
        <w:t>Practice</w:t>
      </w:r>
      <w:r>
        <w:rPr>
          <w:color w:val="010202"/>
          <w:spacing w:val="-3"/>
          <w:sz w:val="22"/>
        </w:rPr>
        <w:t> </w:t>
      </w:r>
      <w:r>
        <w:rPr>
          <w:color w:val="010202"/>
          <w:sz w:val="22"/>
        </w:rPr>
        <w:t>demonstrated</w:t>
      </w:r>
      <w:r>
        <w:rPr>
          <w:color w:val="010202"/>
          <w:spacing w:val="-2"/>
          <w:sz w:val="22"/>
        </w:rPr>
        <w:t> </w:t>
      </w:r>
      <w:r>
        <w:rPr>
          <w:color w:val="010202"/>
          <w:sz w:val="22"/>
        </w:rPr>
        <w:t>improved</w:t>
      </w:r>
      <w:r>
        <w:rPr>
          <w:color w:val="010202"/>
          <w:spacing w:val="-1"/>
          <w:sz w:val="22"/>
        </w:rPr>
        <w:t> </w:t>
      </w:r>
      <w:r>
        <w:rPr>
          <w:color w:val="010202"/>
          <w:sz w:val="22"/>
        </w:rPr>
        <w:t>outcomes</w:t>
      </w:r>
    </w:p>
    <w:p>
      <w:pPr>
        <w:pStyle w:val="BodyText"/>
        <w:spacing w:before="7"/>
        <w:ind w:left="878"/>
      </w:pPr>
      <w:r>
        <w:rPr>
          <w:color w:val="010202"/>
        </w:rPr>
        <w:t>related</w:t>
      </w:r>
      <w:r>
        <w:rPr>
          <w:color w:val="010202"/>
          <w:spacing w:val="-1"/>
        </w:rPr>
        <w:t> </w:t>
      </w:r>
      <w:r>
        <w:rPr>
          <w:color w:val="010202"/>
        </w:rPr>
        <w:t>to HIV</w:t>
      </w:r>
      <w:r>
        <w:rPr>
          <w:color w:val="010202"/>
          <w:spacing w:val="-5"/>
        </w:rPr>
        <w:t> </w:t>
      </w:r>
      <w:r>
        <w:rPr>
          <w:color w:val="010202"/>
        </w:rPr>
        <w:t>prevention</w:t>
      </w:r>
      <w:r>
        <w:rPr>
          <w:color w:val="010202"/>
          <w:spacing w:val="-1"/>
        </w:rPr>
        <w:t> </w:t>
      </w:r>
      <w:r>
        <w:rPr>
          <w:color w:val="010202"/>
        </w:rPr>
        <w:t>and treatment</w:t>
      </w:r>
    </w:p>
    <w:p>
      <w:pPr>
        <w:spacing w:line="266" w:lineRule="auto" w:before="207"/>
        <w:ind w:left="158" w:right="102" w:firstLine="0"/>
        <w:jc w:val="left"/>
        <w:rPr>
          <w:sz w:val="22"/>
        </w:rPr>
      </w:pPr>
      <w:r>
        <w:rPr>
          <w:color w:val="231F20"/>
          <w:spacing w:val="-1"/>
          <w:sz w:val="22"/>
        </w:rPr>
        <w:t>Based</w:t>
      </w:r>
      <w:r>
        <w:rPr>
          <w:color w:val="231F20"/>
          <w:spacing w:val="-12"/>
          <w:sz w:val="22"/>
        </w:rPr>
        <w:t> </w:t>
      </w:r>
      <w:r>
        <w:rPr>
          <w:color w:val="231F20"/>
          <w:spacing w:val="-1"/>
          <w:sz w:val="22"/>
        </w:rPr>
        <w:t>on</w:t>
      </w:r>
      <w:r>
        <w:rPr>
          <w:color w:val="231F20"/>
          <w:spacing w:val="-12"/>
          <w:sz w:val="22"/>
        </w:rPr>
        <w:t> </w:t>
      </w:r>
      <w:r>
        <w:rPr>
          <w:color w:val="231F20"/>
          <w:spacing w:val="-1"/>
          <w:sz w:val="22"/>
        </w:rPr>
        <w:t>the</w:t>
      </w:r>
      <w:r>
        <w:rPr>
          <w:color w:val="231F20"/>
          <w:spacing w:val="-11"/>
          <w:sz w:val="22"/>
        </w:rPr>
        <w:t> </w:t>
      </w:r>
      <w:r>
        <w:rPr>
          <w:color w:val="231F20"/>
          <w:spacing w:val="-1"/>
          <w:sz w:val="22"/>
        </w:rPr>
        <w:t>study</w:t>
      </w:r>
      <w:r>
        <w:rPr>
          <w:color w:val="231F20"/>
          <w:spacing w:val="-13"/>
          <w:sz w:val="22"/>
        </w:rPr>
        <w:t> </w:t>
      </w:r>
      <w:r>
        <w:rPr>
          <w:color w:val="231F20"/>
          <w:spacing w:val="-1"/>
          <w:sz w:val="22"/>
        </w:rPr>
        <w:t>design</w:t>
      </w:r>
      <w:r>
        <w:rPr>
          <w:color w:val="231F20"/>
          <w:spacing w:val="-11"/>
          <w:sz w:val="22"/>
        </w:rPr>
        <w:t> </w:t>
      </w:r>
      <w:r>
        <w:rPr>
          <w:color w:val="231F20"/>
          <w:spacing w:val="-1"/>
          <w:sz w:val="22"/>
        </w:rPr>
        <w:t>and</w:t>
      </w:r>
      <w:r>
        <w:rPr>
          <w:color w:val="231F20"/>
          <w:spacing w:val="-12"/>
          <w:sz w:val="22"/>
        </w:rPr>
        <w:t> </w:t>
      </w:r>
      <w:r>
        <w:rPr>
          <w:color w:val="231F20"/>
          <w:spacing w:val="-1"/>
          <w:sz w:val="22"/>
        </w:rPr>
        <w:t>these</w:t>
      </w:r>
      <w:r>
        <w:rPr>
          <w:color w:val="231F20"/>
          <w:spacing w:val="-12"/>
          <w:sz w:val="22"/>
        </w:rPr>
        <w:t> </w:t>
      </w:r>
      <w:r>
        <w:rPr>
          <w:color w:val="231F20"/>
          <w:sz w:val="22"/>
        </w:rPr>
        <w:t>study</w:t>
      </w:r>
      <w:r>
        <w:rPr>
          <w:color w:val="231F20"/>
          <w:spacing w:val="-12"/>
          <w:sz w:val="22"/>
        </w:rPr>
        <w:t> </w:t>
      </w:r>
      <w:r>
        <w:rPr>
          <w:color w:val="231F20"/>
          <w:sz w:val="22"/>
        </w:rPr>
        <w:t>characteristics,</w:t>
      </w:r>
      <w:r>
        <w:rPr>
          <w:color w:val="231F20"/>
          <w:spacing w:val="-52"/>
          <w:sz w:val="22"/>
        </w:rPr>
        <w:t> </w:t>
      </w:r>
      <w:r>
        <w:rPr>
          <w:color w:val="231F20"/>
          <w:sz w:val="22"/>
        </w:rPr>
        <w:t>reviewers</w:t>
      </w:r>
      <w:r>
        <w:rPr>
          <w:color w:val="231F20"/>
          <w:spacing w:val="-10"/>
          <w:sz w:val="22"/>
        </w:rPr>
        <w:t> </w:t>
      </w:r>
      <w:r>
        <w:rPr>
          <w:b/>
          <w:color w:val="231F20"/>
          <w:sz w:val="22"/>
        </w:rPr>
        <w:t>gave</w:t>
      </w:r>
      <w:r>
        <w:rPr>
          <w:b/>
          <w:color w:val="231F20"/>
          <w:spacing w:val="-10"/>
          <w:sz w:val="22"/>
        </w:rPr>
        <w:t> </w:t>
      </w:r>
      <w:r>
        <w:rPr>
          <w:b/>
          <w:color w:val="231F20"/>
          <w:sz w:val="22"/>
        </w:rPr>
        <w:t>each</w:t>
      </w:r>
      <w:r>
        <w:rPr>
          <w:b/>
          <w:color w:val="231F20"/>
          <w:spacing w:val="-10"/>
          <w:sz w:val="22"/>
        </w:rPr>
        <w:t> </w:t>
      </w:r>
      <w:r>
        <w:rPr>
          <w:b/>
          <w:color w:val="231F20"/>
          <w:sz w:val="22"/>
        </w:rPr>
        <w:t>study</w:t>
      </w:r>
      <w:r>
        <w:rPr>
          <w:b/>
          <w:color w:val="231F20"/>
          <w:spacing w:val="-11"/>
          <w:sz w:val="22"/>
        </w:rPr>
        <w:t> </w:t>
      </w:r>
      <w:r>
        <w:rPr>
          <w:b/>
          <w:color w:val="231F20"/>
          <w:sz w:val="22"/>
        </w:rPr>
        <w:t>a</w:t>
      </w:r>
      <w:r>
        <w:rPr>
          <w:b/>
          <w:color w:val="231F20"/>
          <w:spacing w:val="-10"/>
          <w:sz w:val="22"/>
        </w:rPr>
        <w:t> </w:t>
      </w:r>
      <w:r>
        <w:rPr>
          <w:b/>
          <w:color w:val="231F20"/>
          <w:sz w:val="22"/>
        </w:rPr>
        <w:t>rating</w:t>
      </w:r>
      <w:r>
        <w:rPr>
          <w:b/>
          <w:color w:val="231F20"/>
          <w:spacing w:val="-10"/>
          <w:sz w:val="22"/>
        </w:rPr>
        <w:t> </w:t>
      </w:r>
      <w:r>
        <w:rPr>
          <w:color w:val="231F20"/>
          <w:sz w:val="22"/>
        </w:rPr>
        <w:t>for</w:t>
      </w:r>
      <w:r>
        <w:rPr>
          <w:color w:val="231F20"/>
          <w:spacing w:val="-10"/>
          <w:sz w:val="22"/>
        </w:rPr>
        <w:t> </w:t>
      </w:r>
      <w:r>
        <w:rPr>
          <w:color w:val="231F20"/>
          <w:sz w:val="22"/>
        </w:rPr>
        <w:t>causal</w:t>
      </w:r>
      <w:r>
        <w:rPr>
          <w:color w:val="231F20"/>
          <w:spacing w:val="-9"/>
          <w:sz w:val="22"/>
        </w:rPr>
        <w:t> </w:t>
      </w:r>
      <w:r>
        <w:rPr>
          <w:color w:val="231F20"/>
          <w:sz w:val="22"/>
        </w:rPr>
        <w:t>impact.</w:t>
      </w:r>
    </w:p>
    <w:p>
      <w:pPr>
        <w:pStyle w:val="BodyText"/>
        <w:spacing w:line="266" w:lineRule="auto"/>
        <w:ind w:left="158" w:right="316"/>
      </w:pPr>
      <w:r>
        <w:rPr>
          <w:color w:val="231F20"/>
        </w:rPr>
        <w:t>Reviewers used the following scoring metric for each</w:t>
      </w:r>
      <w:r>
        <w:rPr>
          <w:color w:val="231F20"/>
          <w:spacing w:val="-52"/>
        </w:rPr>
        <w:t> </w:t>
      </w:r>
      <w:r>
        <w:rPr>
          <w:color w:val="231F20"/>
        </w:rPr>
        <w:t>study</w:t>
      </w:r>
      <w:r>
        <w:rPr>
          <w:color w:val="231F20"/>
          <w:spacing w:val="-13"/>
        </w:rPr>
        <w:t> </w:t>
      </w:r>
      <w:r>
        <w:rPr>
          <w:color w:val="231F20"/>
        </w:rPr>
        <w:t>based</w:t>
      </w:r>
      <w:r>
        <w:rPr>
          <w:color w:val="231F20"/>
          <w:spacing w:val="-13"/>
        </w:rPr>
        <w:t> </w:t>
      </w:r>
      <w:r>
        <w:rPr>
          <w:color w:val="231F20"/>
        </w:rPr>
        <w:t>on</w:t>
      </w:r>
      <w:r>
        <w:rPr>
          <w:color w:val="231F20"/>
          <w:spacing w:val="-12"/>
        </w:rPr>
        <w:t> </w:t>
      </w:r>
      <w:r>
        <w:rPr>
          <w:color w:val="231F20"/>
        </w:rPr>
        <w:t>the</w:t>
      </w:r>
      <w:r>
        <w:rPr>
          <w:color w:val="231F20"/>
          <w:spacing w:val="-12"/>
        </w:rPr>
        <w:t> </w:t>
      </w:r>
      <w:r>
        <w:rPr>
          <w:color w:val="231F20"/>
        </w:rPr>
        <w:t>eight</w:t>
      </w:r>
      <w:r>
        <w:rPr>
          <w:color w:val="231F20"/>
          <w:spacing w:val="-12"/>
        </w:rPr>
        <w:t> </w:t>
      </w:r>
      <w:r>
        <w:rPr>
          <w:color w:val="231F20"/>
        </w:rPr>
        <w:t>factors</w:t>
      </w:r>
      <w:r>
        <w:rPr>
          <w:color w:val="231F20"/>
          <w:spacing w:val="-12"/>
        </w:rPr>
        <w:t> </w:t>
      </w:r>
      <w:r>
        <w:rPr>
          <w:color w:val="231F20"/>
        </w:rPr>
        <w:t>above</w:t>
      </w:r>
      <w:r>
        <w:rPr>
          <w:color w:val="231F20"/>
          <w:spacing w:val="-12"/>
        </w:rPr>
        <w:t> </w:t>
      </w:r>
      <w:r>
        <w:rPr>
          <w:color w:val="231F20"/>
        </w:rPr>
        <w:t>to</w:t>
      </w:r>
      <w:r>
        <w:rPr>
          <w:color w:val="231F20"/>
          <w:spacing w:val="-12"/>
        </w:rPr>
        <w:t> </w:t>
      </w:r>
      <w:r>
        <w:rPr>
          <w:color w:val="231F20"/>
        </w:rPr>
        <w:t>determine</w:t>
      </w:r>
      <w:r>
        <w:rPr>
          <w:color w:val="231F20"/>
          <w:spacing w:val="-12"/>
        </w:rPr>
        <w:t> </w:t>
      </w:r>
      <w:r>
        <w:rPr>
          <w:color w:val="231F20"/>
        </w:rPr>
        <w:t>if</w:t>
      </w:r>
      <w:r>
        <w:rPr>
          <w:color w:val="231F20"/>
          <w:spacing w:val="-13"/>
        </w:rPr>
        <w:t> </w:t>
      </w:r>
      <w:r>
        <w:rPr>
          <w:color w:val="231F20"/>
        </w:rPr>
        <w:t>a</w:t>
      </w:r>
      <w:r>
        <w:rPr>
          <w:color w:val="231F20"/>
          <w:spacing w:val="-52"/>
        </w:rPr>
        <w:t> </w:t>
      </w:r>
      <w:r>
        <w:rPr>
          <w:color w:val="231F20"/>
        </w:rPr>
        <w:t>study</w:t>
      </w:r>
      <w:r>
        <w:rPr>
          <w:color w:val="231F20"/>
          <w:spacing w:val="-6"/>
        </w:rPr>
        <w:t> </w:t>
      </w:r>
      <w:r>
        <w:rPr>
          <w:color w:val="231F20"/>
        </w:rPr>
        <w:t>is</w:t>
      </w:r>
      <w:r>
        <w:rPr>
          <w:color w:val="231F20"/>
          <w:spacing w:val="-4"/>
        </w:rPr>
        <w:t> </w:t>
      </w:r>
      <w:r>
        <w:rPr>
          <w:color w:val="231F20"/>
        </w:rPr>
        <w:t>rated:</w:t>
      </w:r>
    </w:p>
    <w:p>
      <w:pPr>
        <w:pStyle w:val="ListParagraph"/>
        <w:numPr>
          <w:ilvl w:val="1"/>
          <w:numId w:val="27"/>
        </w:numPr>
        <w:tabs>
          <w:tab w:pos="878" w:val="left" w:leader="none"/>
          <w:tab w:pos="879" w:val="left" w:leader="none"/>
        </w:tabs>
        <w:spacing w:line="267" w:lineRule="exact" w:before="145" w:after="0"/>
        <w:ind w:left="878" w:right="0" w:hanging="361"/>
        <w:jc w:val="left"/>
        <w:rPr>
          <w:sz w:val="22"/>
        </w:rPr>
      </w:pPr>
      <w:r>
        <w:rPr>
          <w:color w:val="010202"/>
          <w:sz w:val="22"/>
        </w:rPr>
        <w:t>High</w:t>
      </w:r>
      <w:r>
        <w:rPr>
          <w:color w:val="010202"/>
          <w:spacing w:val="-3"/>
          <w:sz w:val="22"/>
        </w:rPr>
        <w:t> </w:t>
      </w:r>
      <w:r>
        <w:rPr>
          <w:color w:val="010202"/>
          <w:sz w:val="22"/>
        </w:rPr>
        <w:t>support</w:t>
      </w:r>
      <w:r>
        <w:rPr>
          <w:color w:val="010202"/>
          <w:spacing w:val="-3"/>
          <w:sz w:val="22"/>
        </w:rPr>
        <w:t> </w:t>
      </w:r>
      <w:r>
        <w:rPr>
          <w:color w:val="010202"/>
          <w:sz w:val="22"/>
        </w:rPr>
        <w:t>of</w:t>
      </w:r>
      <w:r>
        <w:rPr>
          <w:color w:val="010202"/>
          <w:spacing w:val="-2"/>
          <w:sz w:val="22"/>
        </w:rPr>
        <w:t> </w:t>
      </w:r>
      <w:r>
        <w:rPr>
          <w:color w:val="010202"/>
          <w:sz w:val="22"/>
        </w:rPr>
        <w:t>causal</w:t>
      </w:r>
      <w:r>
        <w:rPr>
          <w:color w:val="010202"/>
          <w:spacing w:val="-1"/>
          <w:sz w:val="22"/>
        </w:rPr>
        <w:t> </w:t>
      </w:r>
      <w:r>
        <w:rPr>
          <w:color w:val="010202"/>
          <w:sz w:val="22"/>
        </w:rPr>
        <w:t>evidence</w:t>
      </w:r>
    </w:p>
    <w:p>
      <w:pPr>
        <w:pStyle w:val="ListParagraph"/>
        <w:numPr>
          <w:ilvl w:val="1"/>
          <w:numId w:val="27"/>
        </w:numPr>
        <w:tabs>
          <w:tab w:pos="878" w:val="left" w:leader="none"/>
          <w:tab w:pos="879" w:val="left" w:leader="none"/>
        </w:tabs>
        <w:spacing w:line="264" w:lineRule="exact" w:before="0" w:after="0"/>
        <w:ind w:left="878" w:right="0" w:hanging="361"/>
        <w:jc w:val="left"/>
        <w:rPr>
          <w:sz w:val="22"/>
        </w:rPr>
      </w:pPr>
      <w:r>
        <w:rPr>
          <w:color w:val="010202"/>
          <w:sz w:val="22"/>
        </w:rPr>
        <w:t>Moderate</w:t>
      </w:r>
      <w:r>
        <w:rPr>
          <w:color w:val="010202"/>
          <w:spacing w:val="-4"/>
          <w:sz w:val="22"/>
        </w:rPr>
        <w:t> </w:t>
      </w:r>
      <w:r>
        <w:rPr>
          <w:color w:val="010202"/>
          <w:sz w:val="22"/>
        </w:rPr>
        <w:t>support</w:t>
      </w:r>
      <w:r>
        <w:rPr>
          <w:color w:val="010202"/>
          <w:spacing w:val="-3"/>
          <w:sz w:val="22"/>
        </w:rPr>
        <w:t> </w:t>
      </w:r>
      <w:r>
        <w:rPr>
          <w:color w:val="010202"/>
          <w:sz w:val="22"/>
        </w:rPr>
        <w:t>of</w:t>
      </w:r>
      <w:r>
        <w:rPr>
          <w:color w:val="010202"/>
          <w:spacing w:val="-3"/>
          <w:sz w:val="22"/>
        </w:rPr>
        <w:t> </w:t>
      </w:r>
      <w:r>
        <w:rPr>
          <w:color w:val="010202"/>
          <w:sz w:val="22"/>
        </w:rPr>
        <w:t>causal</w:t>
      </w:r>
      <w:r>
        <w:rPr>
          <w:color w:val="010202"/>
          <w:spacing w:val="-2"/>
          <w:sz w:val="22"/>
        </w:rPr>
        <w:t> </w:t>
      </w:r>
      <w:r>
        <w:rPr>
          <w:color w:val="010202"/>
          <w:sz w:val="22"/>
        </w:rPr>
        <w:t>evidence</w:t>
      </w:r>
    </w:p>
    <w:p>
      <w:pPr>
        <w:pStyle w:val="ListParagraph"/>
        <w:numPr>
          <w:ilvl w:val="1"/>
          <w:numId w:val="27"/>
        </w:numPr>
        <w:tabs>
          <w:tab w:pos="878" w:val="left" w:leader="none"/>
          <w:tab w:pos="879" w:val="left" w:leader="none"/>
        </w:tabs>
        <w:spacing w:line="267" w:lineRule="exact" w:before="0" w:after="0"/>
        <w:ind w:left="878" w:right="0" w:hanging="361"/>
        <w:jc w:val="left"/>
        <w:rPr>
          <w:sz w:val="22"/>
        </w:rPr>
      </w:pPr>
      <w:r>
        <w:rPr>
          <w:color w:val="010202"/>
          <w:sz w:val="22"/>
        </w:rPr>
        <w:t>Low</w:t>
      </w:r>
      <w:r>
        <w:rPr>
          <w:color w:val="010202"/>
          <w:spacing w:val="-2"/>
          <w:sz w:val="22"/>
        </w:rPr>
        <w:t> </w:t>
      </w:r>
      <w:r>
        <w:rPr>
          <w:color w:val="010202"/>
          <w:sz w:val="22"/>
        </w:rPr>
        <w:t>support</w:t>
      </w:r>
      <w:r>
        <w:rPr>
          <w:color w:val="010202"/>
          <w:spacing w:val="-2"/>
          <w:sz w:val="22"/>
        </w:rPr>
        <w:t> </w:t>
      </w:r>
      <w:r>
        <w:rPr>
          <w:color w:val="010202"/>
          <w:sz w:val="22"/>
        </w:rPr>
        <w:t>of</w:t>
      </w:r>
      <w:r>
        <w:rPr>
          <w:color w:val="010202"/>
          <w:spacing w:val="-1"/>
          <w:sz w:val="22"/>
        </w:rPr>
        <w:t> </w:t>
      </w:r>
      <w:r>
        <w:rPr>
          <w:color w:val="010202"/>
          <w:sz w:val="22"/>
        </w:rPr>
        <w:t>causal</w:t>
      </w:r>
      <w:r>
        <w:rPr>
          <w:color w:val="010202"/>
          <w:spacing w:val="-1"/>
          <w:sz w:val="22"/>
        </w:rPr>
        <w:t> </w:t>
      </w:r>
      <w:r>
        <w:rPr>
          <w:color w:val="010202"/>
          <w:sz w:val="22"/>
        </w:rPr>
        <w:t>evidence</w:t>
      </w:r>
    </w:p>
    <w:p>
      <w:pPr>
        <w:pStyle w:val="BodyText"/>
        <w:spacing w:line="266" w:lineRule="auto" w:before="206"/>
        <w:ind w:left="158" w:right="325"/>
      </w:pPr>
      <w:r>
        <w:rPr>
          <w:color w:val="231F20"/>
          <w:spacing w:val="-1"/>
        </w:rPr>
        <w:t>Only randomized controlled trials, quasi-experimental</w:t>
      </w:r>
      <w:r>
        <w:rPr>
          <w:color w:val="231F20"/>
          <w:spacing w:val="-52"/>
        </w:rPr>
        <w:t> </w:t>
      </w:r>
      <w:r>
        <w:rPr>
          <w:color w:val="231F20"/>
        </w:rPr>
        <w:t>designs, and epidemiological studies with a strong</w:t>
      </w:r>
      <w:r>
        <w:rPr>
          <w:color w:val="231F20"/>
          <w:spacing w:val="1"/>
        </w:rPr>
        <w:t> </w:t>
      </w:r>
      <w:r>
        <w:rPr>
          <w:color w:val="231F20"/>
          <w:spacing w:val="-1"/>
        </w:rPr>
        <w:t>comparison</w:t>
      </w:r>
      <w:r>
        <w:rPr>
          <w:color w:val="231F20"/>
          <w:spacing w:val="-12"/>
        </w:rPr>
        <w:t> </w:t>
      </w:r>
      <w:r>
        <w:rPr>
          <w:color w:val="231F20"/>
          <w:spacing w:val="-1"/>
        </w:rPr>
        <w:t>were</w:t>
      </w:r>
      <w:r>
        <w:rPr>
          <w:color w:val="231F20"/>
          <w:spacing w:val="-13"/>
        </w:rPr>
        <w:t> </w:t>
      </w:r>
      <w:r>
        <w:rPr>
          <w:color w:val="231F20"/>
          <w:spacing w:val="-1"/>
        </w:rPr>
        <w:t>eligible</w:t>
      </w:r>
      <w:r>
        <w:rPr>
          <w:color w:val="231F20"/>
          <w:spacing w:val="-12"/>
        </w:rPr>
        <w:t> </w:t>
      </w:r>
      <w:r>
        <w:rPr>
          <w:color w:val="231F20"/>
          <w:spacing w:val="-1"/>
        </w:rPr>
        <w:t>to</w:t>
      </w:r>
      <w:r>
        <w:rPr>
          <w:color w:val="231F20"/>
          <w:spacing w:val="-12"/>
        </w:rPr>
        <w:t> </w:t>
      </w:r>
      <w:r>
        <w:rPr>
          <w:color w:val="231F20"/>
        </w:rPr>
        <w:t>receive</w:t>
      </w:r>
      <w:r>
        <w:rPr>
          <w:color w:val="231F20"/>
          <w:spacing w:val="-11"/>
        </w:rPr>
        <w:t> </w:t>
      </w:r>
      <w:r>
        <w:rPr>
          <w:color w:val="231F20"/>
        </w:rPr>
        <w:t>a</w:t>
      </w:r>
      <w:r>
        <w:rPr>
          <w:color w:val="231F20"/>
          <w:spacing w:val="-12"/>
        </w:rPr>
        <w:t> </w:t>
      </w:r>
      <w:r>
        <w:rPr>
          <w:color w:val="231F20"/>
        </w:rPr>
        <w:t>high</w:t>
      </w:r>
      <w:r>
        <w:rPr>
          <w:color w:val="231F20"/>
          <w:spacing w:val="-12"/>
        </w:rPr>
        <w:t> </w:t>
      </w:r>
      <w:r>
        <w:rPr>
          <w:color w:val="231F20"/>
        </w:rPr>
        <w:t>or</w:t>
      </w:r>
      <w:r>
        <w:rPr>
          <w:color w:val="231F20"/>
          <w:spacing w:val="-12"/>
        </w:rPr>
        <w:t> </w:t>
      </w:r>
      <w:r>
        <w:rPr>
          <w:color w:val="231F20"/>
        </w:rPr>
        <w:t>moderate</w:t>
      </w:r>
      <w:r>
        <w:rPr>
          <w:color w:val="231F20"/>
          <w:spacing w:val="-52"/>
        </w:rPr>
        <w:t> </w:t>
      </w:r>
      <w:r>
        <w:rPr>
          <w:color w:val="231F20"/>
        </w:rPr>
        <w:t>study</w:t>
      </w:r>
      <w:r>
        <w:rPr>
          <w:color w:val="231F20"/>
          <w:spacing w:val="-6"/>
        </w:rPr>
        <w:t> </w:t>
      </w:r>
      <w:r>
        <w:rPr>
          <w:color w:val="231F20"/>
        </w:rPr>
        <w:t>rating.</w:t>
      </w:r>
    </w:p>
    <w:p>
      <w:pPr>
        <w:pStyle w:val="Heading2"/>
        <w:ind w:left="158"/>
      </w:pPr>
      <w:r>
        <w:rPr/>
        <w:br w:type="column"/>
      </w:r>
      <w:r>
        <w:rPr>
          <w:color w:val="1C384B"/>
        </w:rPr>
        <w:t>Step</w:t>
      </w:r>
      <w:r>
        <w:rPr>
          <w:color w:val="1C384B"/>
          <w:spacing w:val="-3"/>
        </w:rPr>
        <w:t> </w:t>
      </w:r>
      <w:r>
        <w:rPr>
          <w:color w:val="1C384B"/>
        </w:rPr>
        <w:t>4:</w:t>
      </w:r>
      <w:r>
        <w:rPr>
          <w:color w:val="1C384B"/>
          <w:spacing w:val="-2"/>
        </w:rPr>
        <w:t> </w:t>
      </w:r>
      <w:r>
        <w:rPr>
          <w:color w:val="1C384B"/>
        </w:rPr>
        <w:t>Practice</w:t>
      </w:r>
      <w:r>
        <w:rPr>
          <w:color w:val="1C384B"/>
          <w:spacing w:val="-2"/>
        </w:rPr>
        <w:t> </w:t>
      </w:r>
      <w:r>
        <w:rPr>
          <w:color w:val="1C384B"/>
        </w:rPr>
        <w:t>Rating</w:t>
      </w:r>
    </w:p>
    <w:p>
      <w:pPr>
        <w:pStyle w:val="BodyText"/>
        <w:spacing w:line="266" w:lineRule="auto" w:before="86"/>
        <w:ind w:left="158" w:right="1014"/>
      </w:pPr>
      <w:r>
        <w:rPr>
          <w:color w:val="231F20"/>
        </w:rPr>
        <w:t>After all studies for a practice were assessed for these</w:t>
      </w:r>
      <w:r>
        <w:rPr>
          <w:color w:val="231F20"/>
          <w:spacing w:val="-52"/>
        </w:rPr>
        <w:t> </w:t>
      </w:r>
      <w:r>
        <w:rPr>
          <w:color w:val="231F20"/>
        </w:rPr>
        <w:t>criteria, the reviewers </w:t>
      </w:r>
      <w:r>
        <w:rPr>
          <w:b/>
          <w:color w:val="231F20"/>
        </w:rPr>
        <w:t>gave each practice a rating</w:t>
      </w:r>
      <w:r>
        <w:rPr>
          <w:b/>
          <w:color w:val="231F20"/>
          <w:spacing w:val="1"/>
        </w:rPr>
        <w:t> </w:t>
      </w:r>
      <w:r>
        <w:rPr>
          <w:color w:val="231F20"/>
          <w:spacing w:val="-1"/>
        </w:rPr>
        <w:t>based</w:t>
      </w:r>
      <w:r>
        <w:rPr>
          <w:color w:val="231F20"/>
          <w:spacing w:val="-13"/>
        </w:rPr>
        <w:t> </w:t>
      </w:r>
      <w:r>
        <w:rPr>
          <w:color w:val="231F20"/>
        </w:rPr>
        <w:t>on</w:t>
      </w:r>
      <w:r>
        <w:rPr>
          <w:color w:val="231F20"/>
          <w:spacing w:val="-13"/>
        </w:rPr>
        <w:t> </w:t>
      </w:r>
      <w:r>
        <w:rPr>
          <w:color w:val="231F20"/>
        </w:rPr>
        <w:t>the</w:t>
      </w:r>
      <w:r>
        <w:rPr>
          <w:color w:val="231F20"/>
          <w:spacing w:val="-12"/>
        </w:rPr>
        <w:t> </w:t>
      </w:r>
      <w:r>
        <w:rPr>
          <w:color w:val="231F20"/>
        </w:rPr>
        <w:t>number</w:t>
      </w:r>
      <w:r>
        <w:rPr>
          <w:color w:val="231F20"/>
          <w:spacing w:val="-13"/>
        </w:rPr>
        <w:t> </w:t>
      </w:r>
      <w:r>
        <w:rPr>
          <w:color w:val="231F20"/>
        </w:rPr>
        <w:t>of</w:t>
      </w:r>
      <w:r>
        <w:rPr>
          <w:color w:val="231F20"/>
          <w:spacing w:val="-12"/>
        </w:rPr>
        <w:t> </w:t>
      </w:r>
      <w:r>
        <w:rPr>
          <w:color w:val="231F20"/>
        </w:rPr>
        <w:t>studies</w:t>
      </w:r>
      <w:r>
        <w:rPr>
          <w:color w:val="231F20"/>
          <w:spacing w:val="-13"/>
        </w:rPr>
        <w:t> </w:t>
      </w:r>
      <w:r>
        <w:rPr>
          <w:color w:val="231F20"/>
        </w:rPr>
        <w:t>with</w:t>
      </w:r>
      <w:r>
        <w:rPr>
          <w:color w:val="231F20"/>
          <w:spacing w:val="-14"/>
        </w:rPr>
        <w:t> </w:t>
      </w:r>
      <w:r>
        <w:rPr>
          <w:color w:val="231F20"/>
        </w:rPr>
        <w:t>strong,</w:t>
      </w:r>
      <w:r>
        <w:rPr>
          <w:color w:val="231F20"/>
          <w:spacing w:val="-13"/>
        </w:rPr>
        <w:t> </w:t>
      </w:r>
      <w:r>
        <w:rPr>
          <w:color w:val="231F20"/>
        </w:rPr>
        <w:t>moderate,</w:t>
      </w:r>
      <w:r>
        <w:rPr>
          <w:color w:val="231F20"/>
          <w:spacing w:val="1"/>
        </w:rPr>
        <w:t> </w:t>
      </w:r>
      <w:r>
        <w:rPr>
          <w:color w:val="231F20"/>
          <w:spacing w:val="-1"/>
        </w:rPr>
        <w:t>or</w:t>
      </w:r>
      <w:r>
        <w:rPr>
          <w:color w:val="231F20"/>
          <w:spacing w:val="-12"/>
        </w:rPr>
        <w:t> </w:t>
      </w:r>
      <w:r>
        <w:rPr>
          <w:color w:val="231F20"/>
          <w:spacing w:val="-1"/>
        </w:rPr>
        <w:t>emerging</w:t>
      </w:r>
      <w:r>
        <w:rPr>
          <w:color w:val="231F20"/>
          <w:spacing w:val="-11"/>
        </w:rPr>
        <w:t> </w:t>
      </w:r>
      <w:r>
        <w:rPr>
          <w:color w:val="231F20"/>
          <w:spacing w:val="-1"/>
        </w:rPr>
        <w:t>support</w:t>
      </w:r>
      <w:r>
        <w:rPr>
          <w:color w:val="231F20"/>
          <w:spacing w:val="-13"/>
        </w:rPr>
        <w:t> </w:t>
      </w:r>
      <w:r>
        <w:rPr>
          <w:color w:val="231F20"/>
          <w:spacing w:val="-1"/>
        </w:rPr>
        <w:t>of</w:t>
      </w:r>
      <w:r>
        <w:rPr>
          <w:color w:val="231F20"/>
          <w:spacing w:val="-11"/>
        </w:rPr>
        <w:t> </w:t>
      </w:r>
      <w:r>
        <w:rPr>
          <w:color w:val="231F20"/>
          <w:spacing w:val="-1"/>
        </w:rPr>
        <w:t>causal</w:t>
      </w:r>
      <w:r>
        <w:rPr>
          <w:color w:val="231F20"/>
          <w:spacing w:val="-11"/>
        </w:rPr>
        <w:t> </w:t>
      </w:r>
      <w:r>
        <w:rPr>
          <w:color w:val="231F20"/>
        </w:rPr>
        <w:t>impact.</w:t>
      </w:r>
      <w:r>
        <w:rPr>
          <w:color w:val="231F20"/>
          <w:spacing w:val="-12"/>
        </w:rPr>
        <w:t> </w:t>
      </w:r>
      <w:r>
        <w:rPr>
          <w:color w:val="231F20"/>
        </w:rPr>
        <w:t>Causal</w:t>
      </w:r>
      <w:r>
        <w:rPr>
          <w:color w:val="231F20"/>
          <w:spacing w:val="-11"/>
        </w:rPr>
        <w:t> </w:t>
      </w:r>
      <w:r>
        <w:rPr>
          <w:color w:val="231F20"/>
        </w:rPr>
        <w:t>impact</w:t>
      </w:r>
      <w:r>
        <w:rPr>
          <w:color w:val="231F20"/>
          <w:spacing w:val="-12"/>
        </w:rPr>
        <w:t> </w:t>
      </w:r>
      <w:r>
        <w:rPr>
          <w:color w:val="231F20"/>
        </w:rPr>
        <w:t>is</w:t>
      </w:r>
      <w:r>
        <w:rPr>
          <w:color w:val="231F20"/>
          <w:spacing w:val="-52"/>
        </w:rPr>
        <w:t> </w:t>
      </w:r>
      <w:r>
        <w:rPr>
          <w:color w:val="231F20"/>
          <w:spacing w:val="-1"/>
        </w:rPr>
        <w:t>evidence</w:t>
      </w:r>
      <w:r>
        <w:rPr>
          <w:color w:val="231F20"/>
          <w:spacing w:val="-13"/>
        </w:rPr>
        <w:t> </w:t>
      </w:r>
      <w:r>
        <w:rPr>
          <w:color w:val="231F20"/>
          <w:spacing w:val="-1"/>
        </w:rPr>
        <w:t>demonstrating</w:t>
      </w:r>
      <w:r>
        <w:rPr>
          <w:color w:val="231F20"/>
          <w:spacing w:val="-13"/>
        </w:rPr>
        <w:t> </w:t>
      </w:r>
      <w:r>
        <w:rPr>
          <w:color w:val="231F20"/>
        </w:rPr>
        <w:t>that</w:t>
      </w:r>
      <w:r>
        <w:rPr>
          <w:color w:val="231F20"/>
          <w:spacing w:val="-13"/>
        </w:rPr>
        <w:t> </w:t>
      </w:r>
      <w:r>
        <w:rPr>
          <w:color w:val="231F20"/>
        </w:rPr>
        <w:t>an</w:t>
      </w:r>
      <w:r>
        <w:rPr>
          <w:color w:val="231F20"/>
          <w:spacing w:val="-12"/>
        </w:rPr>
        <w:t> </w:t>
      </w:r>
      <w:r>
        <w:rPr>
          <w:color w:val="231F20"/>
        </w:rPr>
        <w:t>intervention</w:t>
      </w:r>
      <w:r>
        <w:rPr>
          <w:color w:val="231F20"/>
          <w:spacing w:val="-13"/>
        </w:rPr>
        <w:t> </w:t>
      </w:r>
      <w:r>
        <w:rPr>
          <w:color w:val="231F20"/>
        </w:rPr>
        <w:t>causes,</w:t>
      </w:r>
      <w:r>
        <w:rPr>
          <w:color w:val="231F20"/>
          <w:spacing w:val="-13"/>
        </w:rPr>
        <w:t> </w:t>
      </w:r>
      <w:r>
        <w:rPr>
          <w:color w:val="231F20"/>
        </w:rPr>
        <w:t>or</w:t>
      </w:r>
      <w:r>
        <w:rPr>
          <w:color w:val="231F20"/>
          <w:spacing w:val="-52"/>
        </w:rPr>
        <w:t> </w:t>
      </w:r>
      <w:r>
        <w:rPr>
          <w:color w:val="231F20"/>
          <w:spacing w:val="-1"/>
        </w:rPr>
        <w:t>is</w:t>
      </w:r>
      <w:r>
        <w:rPr>
          <w:color w:val="231F20"/>
          <w:spacing w:val="-12"/>
        </w:rPr>
        <w:t> </w:t>
      </w:r>
      <w:r>
        <w:rPr>
          <w:color w:val="231F20"/>
          <w:spacing w:val="-1"/>
        </w:rPr>
        <w:t>responsible</w:t>
      </w:r>
      <w:r>
        <w:rPr>
          <w:color w:val="231F20"/>
          <w:spacing w:val="-12"/>
        </w:rPr>
        <w:t> </w:t>
      </w:r>
      <w:r>
        <w:rPr>
          <w:color w:val="231F20"/>
          <w:spacing w:val="-1"/>
        </w:rPr>
        <w:t>for,</w:t>
      </w:r>
      <w:r>
        <w:rPr>
          <w:color w:val="231F20"/>
          <w:spacing w:val="-12"/>
        </w:rPr>
        <w:t> </w:t>
      </w:r>
      <w:r>
        <w:rPr>
          <w:color w:val="231F20"/>
          <w:spacing w:val="-1"/>
        </w:rPr>
        <w:t>the</w:t>
      </w:r>
      <w:r>
        <w:rPr>
          <w:color w:val="231F20"/>
          <w:spacing w:val="-12"/>
        </w:rPr>
        <w:t> </w:t>
      </w:r>
      <w:r>
        <w:rPr>
          <w:color w:val="231F20"/>
          <w:spacing w:val="-1"/>
        </w:rPr>
        <w:t>outcome</w:t>
      </w:r>
      <w:r>
        <w:rPr>
          <w:color w:val="231F20"/>
          <w:spacing w:val="-12"/>
        </w:rPr>
        <w:t> </w:t>
      </w:r>
      <w:r>
        <w:rPr>
          <w:color w:val="231F20"/>
          <w:spacing w:val="-1"/>
        </w:rPr>
        <w:t>measured</w:t>
      </w:r>
      <w:r>
        <w:rPr>
          <w:color w:val="231F20"/>
          <w:spacing w:val="-12"/>
        </w:rPr>
        <w:t> </w:t>
      </w:r>
      <w:r>
        <w:rPr>
          <w:color w:val="231F20"/>
        </w:rPr>
        <w:t>in</w:t>
      </w:r>
      <w:r>
        <w:rPr>
          <w:color w:val="231F20"/>
          <w:spacing w:val="-12"/>
        </w:rPr>
        <w:t> </w:t>
      </w:r>
      <w:r>
        <w:rPr>
          <w:color w:val="231F20"/>
        </w:rPr>
        <w:t>the</w:t>
      </w:r>
      <w:r>
        <w:rPr>
          <w:color w:val="231F20"/>
          <w:spacing w:val="-12"/>
        </w:rPr>
        <w:t> </w:t>
      </w:r>
      <w:r>
        <w:rPr>
          <w:color w:val="231F20"/>
        </w:rPr>
        <w:t>study’s</w:t>
      </w:r>
      <w:r>
        <w:rPr>
          <w:color w:val="231F20"/>
          <w:spacing w:val="-52"/>
        </w:rPr>
        <w:t> </w:t>
      </w:r>
      <w:r>
        <w:rPr>
          <w:color w:val="231F20"/>
          <w:spacing w:val="-1"/>
        </w:rPr>
        <w:t>sample population. The practice </w:t>
      </w:r>
      <w:r>
        <w:rPr>
          <w:color w:val="231F20"/>
        </w:rPr>
        <w:t>was placed into one</w:t>
      </w:r>
      <w:r>
        <w:rPr>
          <w:color w:val="231F20"/>
          <w:spacing w:val="1"/>
        </w:rPr>
        <w:t> </w:t>
      </w:r>
      <w:r>
        <w:rPr>
          <w:color w:val="231F20"/>
        </w:rPr>
        <w:t>of</w:t>
      </w:r>
      <w:r>
        <w:rPr>
          <w:color w:val="231F20"/>
          <w:spacing w:val="-14"/>
        </w:rPr>
        <w:t> </w:t>
      </w:r>
      <w:r>
        <w:rPr>
          <w:color w:val="231F20"/>
        </w:rPr>
        <w:t>the</w:t>
      </w:r>
      <w:r>
        <w:rPr>
          <w:color w:val="231F20"/>
          <w:spacing w:val="-14"/>
        </w:rPr>
        <w:t> </w:t>
      </w:r>
      <w:r>
        <w:rPr>
          <w:color w:val="231F20"/>
        </w:rPr>
        <w:t>following</w:t>
      </w:r>
      <w:r>
        <w:rPr>
          <w:color w:val="231F20"/>
          <w:spacing w:val="-13"/>
        </w:rPr>
        <w:t> </w:t>
      </w:r>
      <w:r>
        <w:rPr>
          <w:color w:val="231F20"/>
        </w:rPr>
        <w:t>categories</w:t>
      </w:r>
      <w:r>
        <w:rPr>
          <w:color w:val="231F20"/>
          <w:spacing w:val="-14"/>
        </w:rPr>
        <w:t> </w:t>
      </w:r>
      <w:r>
        <w:rPr>
          <w:color w:val="231F20"/>
        </w:rPr>
        <w:t>based</w:t>
      </w:r>
      <w:r>
        <w:rPr>
          <w:color w:val="231F20"/>
          <w:spacing w:val="-13"/>
        </w:rPr>
        <w:t> </w:t>
      </w:r>
      <w:r>
        <w:rPr>
          <w:color w:val="231F20"/>
        </w:rPr>
        <w:t>on</w:t>
      </w:r>
      <w:r>
        <w:rPr>
          <w:color w:val="231F20"/>
          <w:spacing w:val="-14"/>
        </w:rPr>
        <w:t> </w:t>
      </w:r>
      <w:r>
        <w:rPr>
          <w:color w:val="231F20"/>
        </w:rPr>
        <w:t>the</w:t>
      </w:r>
      <w:r>
        <w:rPr>
          <w:color w:val="231F20"/>
          <w:spacing w:val="-13"/>
        </w:rPr>
        <w:t> </w:t>
      </w:r>
      <w:r>
        <w:rPr>
          <w:color w:val="231F20"/>
        </w:rPr>
        <w:t>level</w:t>
      </w:r>
      <w:r>
        <w:rPr>
          <w:color w:val="231F20"/>
          <w:spacing w:val="-14"/>
        </w:rPr>
        <w:t> </w:t>
      </w:r>
      <w:r>
        <w:rPr>
          <w:color w:val="231F20"/>
        </w:rPr>
        <w:t>of</w:t>
      </w:r>
      <w:r>
        <w:rPr>
          <w:color w:val="231F20"/>
          <w:spacing w:val="-13"/>
        </w:rPr>
        <w:t> </w:t>
      </w:r>
      <w:r>
        <w:rPr>
          <w:color w:val="231F20"/>
        </w:rPr>
        <w:t>causal</w:t>
      </w:r>
      <w:r>
        <w:rPr>
          <w:color w:val="231F20"/>
          <w:spacing w:val="-52"/>
        </w:rPr>
        <w:t> </w:t>
      </w:r>
      <w:r>
        <w:rPr>
          <w:color w:val="231F20"/>
        </w:rPr>
        <w:t>evidence</w:t>
      </w:r>
      <w:r>
        <w:rPr>
          <w:color w:val="231F20"/>
          <w:spacing w:val="-5"/>
        </w:rPr>
        <w:t> </w:t>
      </w:r>
      <w:r>
        <w:rPr>
          <w:color w:val="231F20"/>
        </w:rPr>
        <w:t>of</w:t>
      </w:r>
      <w:r>
        <w:rPr>
          <w:color w:val="231F20"/>
          <w:spacing w:val="-5"/>
        </w:rPr>
        <w:t> </w:t>
      </w:r>
      <w:r>
        <w:rPr>
          <w:color w:val="231F20"/>
        </w:rPr>
        <w:t>its</w:t>
      </w:r>
      <w:r>
        <w:rPr>
          <w:color w:val="231F20"/>
          <w:spacing w:val="-5"/>
        </w:rPr>
        <w:t> </w:t>
      </w:r>
      <w:r>
        <w:rPr>
          <w:color w:val="231F20"/>
        </w:rPr>
        <w:t>studies:</w:t>
      </w:r>
    </w:p>
    <w:p>
      <w:pPr>
        <w:pStyle w:val="ListParagraph"/>
        <w:numPr>
          <w:ilvl w:val="1"/>
          <w:numId w:val="27"/>
        </w:numPr>
        <w:tabs>
          <w:tab w:pos="878" w:val="left" w:leader="none"/>
          <w:tab w:pos="879" w:val="left" w:leader="none"/>
        </w:tabs>
        <w:spacing w:line="249" w:lineRule="auto" w:before="142" w:after="0"/>
        <w:ind w:left="878" w:right="870" w:hanging="360"/>
        <w:jc w:val="left"/>
        <w:rPr>
          <w:sz w:val="22"/>
        </w:rPr>
      </w:pPr>
      <w:r>
        <w:rPr>
          <w:b/>
          <w:color w:val="010202"/>
          <w:sz w:val="22"/>
        </w:rPr>
        <w:t>Strong Evidence</w:t>
      </w:r>
      <w:r>
        <w:rPr>
          <w:color w:val="010202"/>
          <w:sz w:val="22"/>
        </w:rPr>
        <w:t>: Causal impact demonstrated</w:t>
      </w:r>
      <w:r>
        <w:rPr>
          <w:color w:val="010202"/>
          <w:spacing w:val="-52"/>
          <w:sz w:val="22"/>
        </w:rPr>
        <w:t> </w:t>
      </w:r>
      <w:r>
        <w:rPr>
          <w:color w:val="010202"/>
          <w:sz w:val="22"/>
        </w:rPr>
        <w:t>by at least two randomized controlled trials,</w:t>
      </w:r>
      <w:r>
        <w:rPr>
          <w:color w:val="010202"/>
          <w:spacing w:val="1"/>
          <w:sz w:val="22"/>
        </w:rPr>
        <w:t> </w:t>
      </w:r>
      <w:r>
        <w:rPr>
          <w:color w:val="010202"/>
          <w:sz w:val="22"/>
        </w:rPr>
        <w:t>quasi-experimental designs, or epidemiological</w:t>
      </w:r>
      <w:r>
        <w:rPr>
          <w:color w:val="010202"/>
          <w:spacing w:val="-52"/>
          <w:sz w:val="22"/>
        </w:rPr>
        <w:t> </w:t>
      </w:r>
      <w:r>
        <w:rPr>
          <w:color w:val="010202"/>
          <w:sz w:val="22"/>
        </w:rPr>
        <w:t>studies</w:t>
      </w:r>
      <w:r>
        <w:rPr>
          <w:color w:val="010202"/>
          <w:spacing w:val="-2"/>
          <w:sz w:val="22"/>
        </w:rPr>
        <w:t> </w:t>
      </w:r>
      <w:r>
        <w:rPr>
          <w:color w:val="010202"/>
          <w:sz w:val="22"/>
        </w:rPr>
        <w:t>with</w:t>
      </w:r>
      <w:r>
        <w:rPr>
          <w:color w:val="010202"/>
          <w:spacing w:val="-1"/>
          <w:sz w:val="22"/>
        </w:rPr>
        <w:t> </w:t>
      </w:r>
      <w:r>
        <w:rPr>
          <w:color w:val="010202"/>
          <w:sz w:val="22"/>
        </w:rPr>
        <w:t>a</w:t>
      </w:r>
      <w:r>
        <w:rPr>
          <w:color w:val="010202"/>
          <w:spacing w:val="-1"/>
          <w:sz w:val="22"/>
        </w:rPr>
        <w:t> </w:t>
      </w:r>
      <w:r>
        <w:rPr>
          <w:color w:val="010202"/>
          <w:sz w:val="22"/>
        </w:rPr>
        <w:t>high or</w:t>
      </w:r>
      <w:r>
        <w:rPr>
          <w:color w:val="010202"/>
          <w:spacing w:val="-1"/>
          <w:sz w:val="22"/>
        </w:rPr>
        <w:t> </w:t>
      </w:r>
      <w:r>
        <w:rPr>
          <w:color w:val="010202"/>
          <w:sz w:val="22"/>
        </w:rPr>
        <w:t>moderate rating.</w:t>
      </w:r>
    </w:p>
    <w:p>
      <w:pPr>
        <w:pStyle w:val="ListParagraph"/>
        <w:numPr>
          <w:ilvl w:val="1"/>
          <w:numId w:val="27"/>
        </w:numPr>
        <w:tabs>
          <w:tab w:pos="878" w:val="left" w:leader="none"/>
          <w:tab w:pos="879" w:val="left" w:leader="none"/>
        </w:tabs>
        <w:spacing w:line="249" w:lineRule="auto" w:before="0" w:after="0"/>
        <w:ind w:left="878" w:right="931" w:hanging="360"/>
        <w:jc w:val="left"/>
        <w:rPr>
          <w:sz w:val="22"/>
        </w:rPr>
      </w:pPr>
      <w:r>
        <w:rPr>
          <w:b/>
          <w:color w:val="010202"/>
          <w:sz w:val="22"/>
        </w:rPr>
        <w:t>Moderate Evidence: </w:t>
      </w:r>
      <w:r>
        <w:rPr>
          <w:color w:val="010202"/>
          <w:sz w:val="22"/>
        </w:rPr>
        <w:t>Causal impact</w:t>
      </w:r>
      <w:r>
        <w:rPr>
          <w:color w:val="010202"/>
          <w:spacing w:val="1"/>
          <w:sz w:val="22"/>
        </w:rPr>
        <w:t> </w:t>
      </w:r>
      <w:r>
        <w:rPr>
          <w:color w:val="010202"/>
          <w:sz w:val="22"/>
        </w:rPr>
        <w:t>demonstrated by at least one randomized</w:t>
      </w:r>
      <w:r>
        <w:rPr>
          <w:color w:val="010202"/>
          <w:spacing w:val="1"/>
          <w:sz w:val="22"/>
        </w:rPr>
        <w:t> </w:t>
      </w:r>
      <w:r>
        <w:rPr>
          <w:color w:val="010202"/>
          <w:sz w:val="22"/>
        </w:rPr>
        <w:t>controlled trial, quasi-experimental design, or</w:t>
      </w:r>
      <w:r>
        <w:rPr>
          <w:color w:val="010202"/>
          <w:spacing w:val="1"/>
          <w:sz w:val="22"/>
        </w:rPr>
        <w:t> </w:t>
      </w:r>
      <w:r>
        <w:rPr>
          <w:color w:val="010202"/>
          <w:sz w:val="22"/>
        </w:rPr>
        <w:t>epidemiological study with a high or moderate</w:t>
      </w:r>
      <w:r>
        <w:rPr>
          <w:color w:val="010202"/>
          <w:spacing w:val="-52"/>
          <w:sz w:val="22"/>
        </w:rPr>
        <w:t> </w:t>
      </w:r>
      <w:r>
        <w:rPr>
          <w:color w:val="010202"/>
          <w:sz w:val="22"/>
        </w:rPr>
        <w:t>rating.</w:t>
      </w:r>
    </w:p>
    <w:p>
      <w:pPr>
        <w:pStyle w:val="ListParagraph"/>
        <w:numPr>
          <w:ilvl w:val="1"/>
          <w:numId w:val="27"/>
        </w:numPr>
        <w:tabs>
          <w:tab w:pos="878" w:val="left" w:leader="none"/>
          <w:tab w:pos="879" w:val="left" w:leader="none"/>
        </w:tabs>
        <w:spacing w:line="249" w:lineRule="auto" w:before="0" w:after="0"/>
        <w:ind w:left="878" w:right="717" w:hanging="360"/>
        <w:jc w:val="left"/>
        <w:rPr>
          <w:sz w:val="22"/>
        </w:rPr>
      </w:pPr>
      <w:r>
        <w:rPr>
          <w:b/>
          <w:color w:val="010202"/>
          <w:sz w:val="22"/>
        </w:rPr>
        <w:t>Emerging Evidence: </w:t>
      </w:r>
      <w:r>
        <w:rPr>
          <w:color w:val="010202"/>
          <w:sz w:val="22"/>
        </w:rPr>
        <w:t>No study received a high</w:t>
      </w:r>
      <w:r>
        <w:rPr>
          <w:color w:val="010202"/>
          <w:spacing w:val="1"/>
          <w:sz w:val="22"/>
        </w:rPr>
        <w:t> </w:t>
      </w:r>
      <w:r>
        <w:rPr>
          <w:color w:val="010202"/>
          <w:sz w:val="22"/>
        </w:rPr>
        <w:t>or</w:t>
      </w:r>
      <w:r>
        <w:rPr>
          <w:color w:val="010202"/>
          <w:spacing w:val="4"/>
          <w:sz w:val="22"/>
        </w:rPr>
        <w:t> </w:t>
      </w:r>
      <w:r>
        <w:rPr>
          <w:color w:val="010202"/>
          <w:sz w:val="22"/>
        </w:rPr>
        <w:t>a</w:t>
      </w:r>
      <w:r>
        <w:rPr>
          <w:color w:val="010202"/>
          <w:spacing w:val="4"/>
          <w:sz w:val="22"/>
        </w:rPr>
        <w:t> </w:t>
      </w:r>
      <w:r>
        <w:rPr>
          <w:color w:val="010202"/>
          <w:sz w:val="22"/>
        </w:rPr>
        <w:t>moderate</w:t>
      </w:r>
      <w:r>
        <w:rPr>
          <w:color w:val="010202"/>
          <w:spacing w:val="4"/>
          <w:sz w:val="22"/>
        </w:rPr>
        <w:t> </w:t>
      </w:r>
      <w:r>
        <w:rPr>
          <w:color w:val="010202"/>
          <w:sz w:val="22"/>
        </w:rPr>
        <w:t>rating.</w:t>
      </w:r>
      <w:r>
        <w:rPr>
          <w:color w:val="010202"/>
          <w:spacing w:val="-1"/>
          <w:sz w:val="22"/>
        </w:rPr>
        <w:t> </w:t>
      </w:r>
      <w:r>
        <w:rPr>
          <w:color w:val="010202"/>
          <w:sz w:val="22"/>
        </w:rPr>
        <w:t>The</w:t>
      </w:r>
      <w:r>
        <w:rPr>
          <w:color w:val="010202"/>
          <w:spacing w:val="4"/>
          <w:sz w:val="22"/>
        </w:rPr>
        <w:t> </w:t>
      </w:r>
      <w:r>
        <w:rPr>
          <w:color w:val="010202"/>
          <w:sz w:val="22"/>
        </w:rPr>
        <w:t>practice</w:t>
      </w:r>
      <w:r>
        <w:rPr>
          <w:color w:val="010202"/>
          <w:spacing w:val="4"/>
          <w:sz w:val="22"/>
        </w:rPr>
        <w:t> </w:t>
      </w:r>
      <w:r>
        <w:rPr>
          <w:color w:val="010202"/>
          <w:sz w:val="22"/>
        </w:rPr>
        <w:t>may</w:t>
      </w:r>
      <w:r>
        <w:rPr>
          <w:color w:val="010202"/>
          <w:spacing w:val="5"/>
          <w:sz w:val="22"/>
        </w:rPr>
        <w:t> </w:t>
      </w:r>
      <w:r>
        <w:rPr>
          <w:color w:val="010202"/>
          <w:sz w:val="22"/>
        </w:rPr>
        <w:t>have</w:t>
      </w:r>
      <w:r>
        <w:rPr>
          <w:color w:val="010202"/>
          <w:spacing w:val="1"/>
          <w:sz w:val="22"/>
        </w:rPr>
        <w:t> </w:t>
      </w:r>
      <w:r>
        <w:rPr>
          <w:color w:val="010202"/>
          <w:sz w:val="22"/>
        </w:rPr>
        <w:t>been evaluated with less rigorous studies (e.g.,</w:t>
      </w:r>
      <w:r>
        <w:rPr>
          <w:color w:val="010202"/>
          <w:spacing w:val="1"/>
          <w:sz w:val="22"/>
        </w:rPr>
        <w:t> </w:t>
      </w:r>
      <w:r>
        <w:rPr>
          <w:color w:val="010202"/>
          <w:sz w:val="22"/>
        </w:rPr>
        <w:t>pre-post designs) that demonstrate an association</w:t>
      </w:r>
      <w:r>
        <w:rPr>
          <w:color w:val="010202"/>
          <w:spacing w:val="-52"/>
          <w:sz w:val="22"/>
        </w:rPr>
        <w:t> </w:t>
      </w:r>
      <w:r>
        <w:rPr>
          <w:color w:val="010202"/>
          <w:sz w:val="22"/>
        </w:rPr>
        <w:t>between the practice and positive outcomes, but</w:t>
      </w:r>
      <w:r>
        <w:rPr>
          <w:color w:val="010202"/>
          <w:spacing w:val="1"/>
          <w:sz w:val="22"/>
        </w:rPr>
        <w:t> </w:t>
      </w:r>
      <w:r>
        <w:rPr>
          <w:color w:val="010202"/>
          <w:sz w:val="22"/>
        </w:rPr>
        <w:t>additional studies are needed to establish causal</w:t>
      </w:r>
      <w:r>
        <w:rPr>
          <w:color w:val="010202"/>
          <w:spacing w:val="1"/>
          <w:sz w:val="22"/>
        </w:rPr>
        <w:t> </w:t>
      </w:r>
      <w:r>
        <w:rPr>
          <w:color w:val="010202"/>
          <w:sz w:val="22"/>
        </w:rPr>
        <w:t>impact.</w:t>
      </w:r>
    </w:p>
    <w:p>
      <w:pPr>
        <w:pStyle w:val="BodyText"/>
        <w:spacing w:line="266" w:lineRule="auto" w:before="174"/>
        <w:ind w:left="158" w:right="881"/>
      </w:pPr>
      <w:r>
        <w:rPr/>
        <w:drawing>
          <wp:anchor distT="0" distB="0" distL="0" distR="0" allowOverlap="1" layoutInCell="1" locked="0" behindDoc="0" simplePos="0" relativeHeight="15779328">
            <wp:simplePos x="0" y="0"/>
            <wp:positionH relativeFrom="page">
              <wp:posOffset>4114800</wp:posOffset>
            </wp:positionH>
            <wp:positionV relativeFrom="paragraph">
              <wp:posOffset>1512552</wp:posOffset>
            </wp:positionV>
            <wp:extent cx="3200400" cy="2157945"/>
            <wp:effectExtent l="0" t="0" r="0" b="0"/>
            <wp:wrapNone/>
            <wp:docPr id="99" name="image41.png"/>
            <wp:cNvGraphicFramePr>
              <a:graphicFrameLocks noChangeAspect="1"/>
            </wp:cNvGraphicFramePr>
            <a:graphic>
              <a:graphicData uri="http://schemas.openxmlformats.org/drawingml/2006/picture">
                <pic:pic>
                  <pic:nvPicPr>
                    <pic:cNvPr id="100" name="image41.png"/>
                    <pic:cNvPicPr/>
                  </pic:nvPicPr>
                  <pic:blipFill>
                    <a:blip r:embed="rId389" cstate="print"/>
                    <a:stretch>
                      <a:fillRect/>
                    </a:stretch>
                  </pic:blipFill>
                  <pic:spPr>
                    <a:xfrm>
                      <a:off x="0" y="0"/>
                      <a:ext cx="3200400" cy="2157945"/>
                    </a:xfrm>
                    <a:prstGeom prst="rect">
                      <a:avLst/>
                    </a:prstGeom>
                  </pic:spPr>
                </pic:pic>
              </a:graphicData>
            </a:graphic>
          </wp:anchor>
        </w:drawing>
      </w:r>
      <w:r>
        <w:rPr>
          <w:color w:val="231F20"/>
        </w:rPr>
        <w:t>The four-step process described above resulted in</w:t>
      </w:r>
      <w:r>
        <w:rPr>
          <w:color w:val="231F20"/>
          <w:spacing w:val="1"/>
        </w:rPr>
        <w:t> </w:t>
      </w:r>
      <w:r>
        <w:rPr>
          <w:color w:val="231F20"/>
          <w:spacing w:val="-2"/>
        </w:rPr>
        <w:t>identification </w:t>
      </w:r>
      <w:r>
        <w:rPr>
          <w:color w:val="231F20"/>
          <w:spacing w:val="-1"/>
        </w:rPr>
        <w:t>and rating of the five practices. The rating</w:t>
      </w:r>
      <w:r>
        <w:rPr>
          <w:color w:val="231F20"/>
          <w:spacing w:val="-52"/>
        </w:rPr>
        <w:t> </w:t>
      </w:r>
      <w:r>
        <w:rPr>
          <w:color w:val="231F20"/>
        </w:rPr>
        <w:t>given to each practice is intended to inform decision</w:t>
      </w:r>
      <w:r>
        <w:rPr>
          <w:color w:val="231F20"/>
          <w:spacing w:val="1"/>
        </w:rPr>
        <w:t> </w:t>
      </w:r>
      <w:r>
        <w:rPr>
          <w:color w:val="231F20"/>
        </w:rPr>
        <w:t>making about adoption of new practices or clinical or</w:t>
      </w:r>
      <w:r>
        <w:rPr>
          <w:color w:val="231F20"/>
          <w:spacing w:val="1"/>
        </w:rPr>
        <w:t> </w:t>
      </w:r>
      <w:r>
        <w:rPr>
          <w:color w:val="231F20"/>
          <w:spacing w:val="-1"/>
        </w:rPr>
        <w:t>system</w:t>
      </w:r>
      <w:r>
        <w:rPr>
          <w:color w:val="231F20"/>
          <w:spacing w:val="-12"/>
        </w:rPr>
        <w:t> </w:t>
      </w:r>
      <w:r>
        <w:rPr>
          <w:color w:val="231F20"/>
          <w:spacing w:val="-1"/>
        </w:rPr>
        <w:t>enhancements</w:t>
      </w:r>
      <w:r>
        <w:rPr>
          <w:color w:val="231F20"/>
          <w:spacing w:val="-11"/>
        </w:rPr>
        <w:t> </w:t>
      </w:r>
      <w:r>
        <w:rPr>
          <w:color w:val="231F20"/>
          <w:spacing w:val="-1"/>
        </w:rPr>
        <w:t>that</w:t>
      </w:r>
      <w:r>
        <w:rPr>
          <w:color w:val="231F20"/>
          <w:spacing w:val="-11"/>
        </w:rPr>
        <w:t> </w:t>
      </w:r>
      <w:r>
        <w:rPr>
          <w:color w:val="231F20"/>
          <w:spacing w:val="-1"/>
        </w:rPr>
        <w:t>will</w:t>
      </w:r>
      <w:r>
        <w:rPr>
          <w:color w:val="231F20"/>
          <w:spacing w:val="-12"/>
        </w:rPr>
        <w:t> </w:t>
      </w:r>
      <w:r>
        <w:rPr>
          <w:color w:val="231F20"/>
          <w:spacing w:val="-1"/>
        </w:rPr>
        <w:t>improve</w:t>
      </w:r>
      <w:r>
        <w:rPr>
          <w:color w:val="231F20"/>
          <w:spacing w:val="-11"/>
        </w:rPr>
        <w:t> </w:t>
      </w:r>
      <w:r>
        <w:rPr>
          <w:color w:val="231F20"/>
          <w:spacing w:val="-1"/>
        </w:rPr>
        <w:t>health</w:t>
      </w:r>
      <w:r>
        <w:rPr>
          <w:color w:val="231F20"/>
          <w:spacing w:val="-10"/>
        </w:rPr>
        <w:t> </w:t>
      </w:r>
      <w:r>
        <w:rPr>
          <w:color w:val="231F20"/>
          <w:spacing w:val="-1"/>
        </w:rPr>
        <w:t>outcomes</w:t>
      </w:r>
      <w:r>
        <w:rPr>
          <w:color w:val="231F20"/>
          <w:spacing w:val="-52"/>
        </w:rPr>
        <w:t> </w:t>
      </w:r>
      <w:r>
        <w:rPr>
          <w:color w:val="231F20"/>
        </w:rPr>
        <w:t>for people with or at risk for HIV with co-occurring</w:t>
      </w:r>
      <w:r>
        <w:rPr>
          <w:color w:val="231F20"/>
          <w:spacing w:val="1"/>
        </w:rPr>
        <w:t> </w:t>
      </w:r>
      <w:r>
        <w:rPr>
          <w:color w:val="231F20"/>
        </w:rPr>
        <w:t>mental</w:t>
      </w:r>
      <w:r>
        <w:rPr>
          <w:color w:val="231F20"/>
          <w:spacing w:val="-5"/>
        </w:rPr>
        <w:t> </w:t>
      </w:r>
      <w:r>
        <w:rPr>
          <w:color w:val="231F20"/>
        </w:rPr>
        <w:t>illness</w:t>
      </w:r>
      <w:r>
        <w:rPr>
          <w:color w:val="231F20"/>
          <w:spacing w:val="-5"/>
        </w:rPr>
        <w:t> </w:t>
      </w:r>
      <w:r>
        <w:rPr>
          <w:color w:val="231F20"/>
        </w:rPr>
        <w:t>and/or</w:t>
      </w:r>
      <w:r>
        <w:rPr>
          <w:color w:val="231F20"/>
          <w:spacing w:val="-5"/>
        </w:rPr>
        <w:t> </w:t>
      </w:r>
      <w:r>
        <w:rPr>
          <w:color w:val="231F20"/>
        </w:rPr>
        <w:t>SUD.</w:t>
      </w:r>
    </w:p>
    <w:p>
      <w:pPr>
        <w:spacing w:after="0" w:line="266" w:lineRule="auto"/>
        <w:sectPr>
          <w:type w:val="continuous"/>
          <w:pgSz w:w="12240" w:h="15840"/>
          <w:pgMar w:header="0" w:footer="666" w:top="1500" w:bottom="0" w:left="560" w:right="0"/>
          <w:cols w:num="2" w:equalWidth="0">
            <w:col w:w="5234" w:space="527"/>
            <w:col w:w="5919"/>
          </w:cols>
        </w:sectPr>
      </w:pPr>
    </w:p>
    <w:p>
      <w:pPr>
        <w:pStyle w:val="BodyText"/>
        <w:rPr>
          <w:sz w:val="20"/>
        </w:rPr>
      </w:pPr>
      <w:r>
        <w:rPr/>
        <w:pict>
          <v:group style="position:absolute;margin-left:-.0004pt;margin-top:252.848022pt;width:612.050pt;height:539.2pt;mso-position-horizontal-relative:page;mso-position-vertical-relative:page;z-index:-18113024" id="docshapegroup226" coordorigin="0,5057" coordsize="12241,10784">
            <v:shape style="position:absolute;left:8615;top:13757;width:2978;height:1005" type="#_x0000_t75" id="docshape227" stroked="false">
              <v:imagedata r:id="rId392" o:title=""/>
            </v:shape>
            <v:rect style="position:absolute;left:0;top:5424;width:12240;height:10416" id="docshape228" filled="true" fillcolor="#231f20" stroked="false">
              <v:fill opacity="3277f" type="solid"/>
            </v:rect>
            <v:shape style="position:absolute;left:0;top:5997;width:12240;height:9525" id="docshape229" coordorigin="0,5997" coordsize="12240,9525" path="m12240,5997l1,8992,1,9000,0,9001,0,15521,8251,13502,8251,13494,12240,12518,12240,5997xe" filled="true" fillcolor="#ce372e" stroked="false">
              <v:path arrowok="t"/>
              <v:fill type="solid"/>
            </v:shape>
            <v:rect style="position:absolute;left:4056;top:5056;width:8184;height:3154" id="docshape230" filled="true" fillcolor="#231f20" stroked="false">
              <v:fill opacity="13107f" type="solid"/>
            </v:rect>
            <v:shape style="position:absolute;left:4511;top:5492;width:7729;height:2412" id="docshape231" coordorigin="4511,5492" coordsize="7729,2412" path="m12240,5492l4547,7384,4511,7903,12240,6012,12240,5492xe" filled="true" fillcolor="#1c384b" stroked="false">
              <v:path arrowok="t"/>
              <v:fill type="solid"/>
            </v:shape>
            <v:rect style="position:absolute;left:0;top:11797;width:12240;height:4043" id="docshape232" filled="true" fillcolor="#231f20" stroked="false">
              <v:fill opacity="13107f" type="solid"/>
            </v:rect>
            <v:shape style="position:absolute;left:0;top:12354;width:12240;height:3486" id="docshape233" coordorigin="0,12355" coordsize="12240,3486" path="m12240,12355l0,15338,0,15840,12240,15840,12240,12355xe" filled="true" fillcolor="#1d384a" stroked="false">
              <v:path arrowok="t"/>
              <v:fill type="solid"/>
            </v:shape>
            <v:shape style="position:absolute;left:8052;top:13622;width:3486;height:1165" type="#_x0000_t75" id="docshape234" alt=" Logo of Substance Abuse and Mental Health Services Administration (SAMHSA) " stroked="false">
              <v:imagedata r:id="rId393" o:title=""/>
            </v:shape>
            <v:shape style="position:absolute;left:6385;top:15397;width:1980;height:60" id="docshape235" coordorigin="6385,15397" coordsize="1980,60" path="m6444,15427l6442,15415,6436,15406,6426,15400,6415,15397,6403,15400,6394,15406,6388,15415,6385,15427,6388,15438,6394,15448,6403,15454,6415,15456,6426,15454,6436,15448,6442,15438,6444,15427xm8364,15427l8362,15415,8356,15406,8346,15400,8335,15397,8323,15400,8314,15406,8308,15415,8305,15427,8308,15438,8314,15448,8323,15454,8335,15456,8346,15454,8356,15448,8362,15438,8364,15427xe" filled="true" fillcolor="#ffffff"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6"/>
        </w:rPr>
      </w:pPr>
    </w:p>
    <w:p>
      <w:pPr>
        <w:spacing w:line="249" w:lineRule="auto" w:before="95"/>
        <w:ind w:left="340" w:right="8255" w:firstLine="0"/>
        <w:jc w:val="left"/>
        <w:rPr>
          <w:rFonts w:ascii="Arial"/>
          <w:sz w:val="16"/>
        </w:rPr>
      </w:pPr>
      <w:r>
        <w:rPr>
          <w:rFonts w:ascii="Arial"/>
          <w:color w:val="FFFFFF"/>
          <w:sz w:val="16"/>
        </w:rPr>
        <w:t>Photos are for illustrative purposes only.</w:t>
      </w:r>
      <w:r>
        <w:rPr>
          <w:rFonts w:ascii="Arial"/>
          <w:color w:val="FFFFFF"/>
          <w:spacing w:val="1"/>
          <w:sz w:val="16"/>
        </w:rPr>
        <w:t> </w:t>
      </w:r>
      <w:r>
        <w:rPr>
          <w:rFonts w:ascii="Arial"/>
          <w:color w:val="FFFFFF"/>
          <w:sz w:val="16"/>
        </w:rPr>
        <w:t>Any</w:t>
      </w:r>
      <w:r>
        <w:rPr>
          <w:rFonts w:ascii="Arial"/>
          <w:color w:val="FFFFFF"/>
          <w:spacing w:val="-3"/>
          <w:sz w:val="16"/>
        </w:rPr>
        <w:t> </w:t>
      </w:r>
      <w:r>
        <w:rPr>
          <w:rFonts w:ascii="Arial"/>
          <w:color w:val="FFFFFF"/>
          <w:sz w:val="16"/>
        </w:rPr>
        <w:t>person</w:t>
      </w:r>
      <w:r>
        <w:rPr>
          <w:rFonts w:ascii="Arial"/>
          <w:color w:val="FFFFFF"/>
          <w:spacing w:val="-3"/>
          <w:sz w:val="16"/>
        </w:rPr>
        <w:t> </w:t>
      </w:r>
      <w:r>
        <w:rPr>
          <w:rFonts w:ascii="Arial"/>
          <w:color w:val="FFFFFF"/>
          <w:sz w:val="16"/>
        </w:rPr>
        <w:t>depicted</w:t>
      </w:r>
      <w:r>
        <w:rPr>
          <w:rFonts w:ascii="Arial"/>
          <w:color w:val="FFFFFF"/>
          <w:spacing w:val="-3"/>
          <w:sz w:val="16"/>
        </w:rPr>
        <w:t> </w:t>
      </w:r>
      <w:r>
        <w:rPr>
          <w:rFonts w:ascii="Arial"/>
          <w:color w:val="FFFFFF"/>
          <w:sz w:val="16"/>
        </w:rPr>
        <w:t>in</w:t>
      </w:r>
      <w:r>
        <w:rPr>
          <w:rFonts w:ascii="Arial"/>
          <w:color w:val="FFFFFF"/>
          <w:spacing w:val="-3"/>
          <w:sz w:val="16"/>
        </w:rPr>
        <w:t> </w:t>
      </w:r>
      <w:r>
        <w:rPr>
          <w:rFonts w:ascii="Arial"/>
          <w:color w:val="FFFFFF"/>
          <w:sz w:val="16"/>
        </w:rPr>
        <w:t>a</w:t>
      </w:r>
      <w:r>
        <w:rPr>
          <w:rFonts w:ascii="Arial"/>
          <w:color w:val="FFFFFF"/>
          <w:spacing w:val="-3"/>
          <w:sz w:val="16"/>
        </w:rPr>
        <w:t> </w:t>
      </w:r>
      <w:r>
        <w:rPr>
          <w:rFonts w:ascii="Arial"/>
          <w:color w:val="FFFFFF"/>
          <w:sz w:val="16"/>
        </w:rPr>
        <w:t>photo</w:t>
      </w:r>
      <w:r>
        <w:rPr>
          <w:rFonts w:ascii="Arial"/>
          <w:color w:val="FFFFFF"/>
          <w:spacing w:val="-3"/>
          <w:sz w:val="16"/>
        </w:rPr>
        <w:t> </w:t>
      </w:r>
      <w:r>
        <w:rPr>
          <w:rFonts w:ascii="Arial"/>
          <w:color w:val="FFFFFF"/>
          <w:sz w:val="16"/>
        </w:rPr>
        <w:t>is</w:t>
      </w:r>
      <w:r>
        <w:rPr>
          <w:rFonts w:ascii="Arial"/>
          <w:color w:val="FFFFFF"/>
          <w:spacing w:val="-3"/>
          <w:sz w:val="16"/>
        </w:rPr>
        <w:t> </w:t>
      </w:r>
      <w:r>
        <w:rPr>
          <w:rFonts w:ascii="Arial"/>
          <w:color w:val="FFFFFF"/>
          <w:sz w:val="16"/>
        </w:rPr>
        <w:t>a</w:t>
      </w:r>
      <w:r>
        <w:rPr>
          <w:rFonts w:ascii="Arial"/>
          <w:color w:val="FFFFFF"/>
          <w:spacing w:val="-3"/>
          <w:sz w:val="16"/>
        </w:rPr>
        <w:t> </w:t>
      </w:r>
      <w:r>
        <w:rPr>
          <w:rFonts w:ascii="Arial"/>
          <w:color w:val="FFFFFF"/>
          <w:sz w:val="16"/>
        </w:rPr>
        <w:t>model.</w:t>
      </w:r>
    </w:p>
    <w:p>
      <w:pPr>
        <w:pStyle w:val="BodyText"/>
        <w:spacing w:before="9"/>
        <w:rPr>
          <w:rFonts w:ascii="Arial"/>
          <w:sz w:val="15"/>
        </w:rPr>
      </w:pPr>
    </w:p>
    <w:p>
      <w:pPr>
        <w:spacing w:line="249" w:lineRule="auto" w:before="0"/>
        <w:ind w:left="340" w:right="8918" w:firstLine="0"/>
        <w:jc w:val="left"/>
        <w:rPr>
          <w:rFonts w:ascii="Arial"/>
          <w:sz w:val="16"/>
        </w:rPr>
      </w:pPr>
      <w:r>
        <w:rPr>
          <w:rFonts w:ascii="Arial"/>
          <w:color w:val="FFFFFF"/>
          <w:sz w:val="16"/>
        </w:rPr>
        <w:t>Publication No. PEP20-06-03-001</w:t>
      </w:r>
      <w:r>
        <w:rPr>
          <w:rFonts w:ascii="Arial"/>
          <w:color w:val="FFFFFF"/>
          <w:spacing w:val="-43"/>
          <w:sz w:val="16"/>
        </w:rPr>
        <w:t> </w:t>
      </w:r>
      <w:r>
        <w:rPr>
          <w:rFonts w:ascii="Arial"/>
          <w:color w:val="FFFFFF"/>
          <w:sz w:val="16"/>
        </w:rPr>
        <w:t>First</w:t>
      </w:r>
      <w:r>
        <w:rPr>
          <w:rFonts w:ascii="Arial"/>
          <w:color w:val="FFFFFF"/>
          <w:spacing w:val="22"/>
          <w:sz w:val="16"/>
        </w:rPr>
        <w:t> </w:t>
      </w:r>
      <w:r>
        <w:rPr>
          <w:rFonts w:ascii="Arial"/>
          <w:color w:val="FFFFFF"/>
          <w:sz w:val="16"/>
        </w:rPr>
        <w:t>released</w:t>
      </w:r>
      <w:r>
        <w:rPr>
          <w:rFonts w:ascii="Arial"/>
          <w:color w:val="FFFFFF"/>
          <w:spacing w:val="23"/>
          <w:sz w:val="16"/>
        </w:rPr>
        <w:t> </w:t>
      </w:r>
      <w:r>
        <w:rPr>
          <w:rFonts w:ascii="Arial"/>
          <w:color w:val="FFFFFF"/>
          <w:sz w:val="16"/>
        </w:rPr>
        <w:t>2020</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19"/>
        </w:rPr>
      </w:pPr>
    </w:p>
    <w:p>
      <w:pPr>
        <w:spacing w:before="0"/>
        <w:ind w:left="1788" w:right="1359" w:firstLine="0"/>
        <w:jc w:val="center"/>
        <w:rPr>
          <w:rFonts w:ascii="Arial" w:hAnsi="Arial"/>
          <w:sz w:val="16"/>
        </w:rPr>
      </w:pPr>
      <w:r>
        <w:rPr>
          <w:rFonts w:ascii="Arial" w:hAnsi="Arial"/>
          <w:color w:val="FFFFFF"/>
          <w:sz w:val="16"/>
        </w:rPr>
        <w:t>SAMHSA’s</w:t>
      </w:r>
      <w:r>
        <w:rPr>
          <w:rFonts w:ascii="Arial" w:hAnsi="Arial"/>
          <w:color w:val="FFFFFF"/>
          <w:spacing w:val="51"/>
          <w:sz w:val="16"/>
        </w:rPr>
        <w:t> </w:t>
      </w:r>
      <w:r>
        <w:rPr>
          <w:rFonts w:ascii="Arial" w:hAnsi="Arial"/>
          <w:color w:val="FFFFFF"/>
          <w:sz w:val="16"/>
        </w:rPr>
        <w:t>mission</w:t>
      </w:r>
      <w:r>
        <w:rPr>
          <w:rFonts w:ascii="Arial" w:hAnsi="Arial"/>
          <w:color w:val="FFFFFF"/>
          <w:spacing w:val="51"/>
          <w:sz w:val="16"/>
        </w:rPr>
        <w:t> </w:t>
      </w:r>
      <w:r>
        <w:rPr>
          <w:rFonts w:ascii="Arial" w:hAnsi="Arial"/>
          <w:color w:val="FFFFFF"/>
          <w:sz w:val="16"/>
        </w:rPr>
        <w:t>is</w:t>
      </w:r>
      <w:r>
        <w:rPr>
          <w:rFonts w:ascii="Arial" w:hAnsi="Arial"/>
          <w:color w:val="FFFFFF"/>
          <w:spacing w:val="50"/>
          <w:sz w:val="16"/>
        </w:rPr>
        <w:t> </w:t>
      </w:r>
      <w:r>
        <w:rPr>
          <w:rFonts w:ascii="Arial" w:hAnsi="Arial"/>
          <w:color w:val="FFFFFF"/>
          <w:sz w:val="16"/>
        </w:rPr>
        <w:t>to</w:t>
      </w:r>
      <w:r>
        <w:rPr>
          <w:rFonts w:ascii="Arial" w:hAnsi="Arial"/>
          <w:color w:val="FFFFFF"/>
          <w:spacing w:val="52"/>
          <w:sz w:val="16"/>
        </w:rPr>
        <w:t> </w:t>
      </w:r>
      <w:r>
        <w:rPr>
          <w:rFonts w:ascii="Arial" w:hAnsi="Arial"/>
          <w:color w:val="FFFFFF"/>
          <w:sz w:val="16"/>
        </w:rPr>
        <w:t>reduce</w:t>
      </w:r>
      <w:r>
        <w:rPr>
          <w:rFonts w:ascii="Arial" w:hAnsi="Arial"/>
          <w:color w:val="FFFFFF"/>
          <w:spacing w:val="51"/>
          <w:sz w:val="16"/>
        </w:rPr>
        <w:t> </w:t>
      </w:r>
      <w:r>
        <w:rPr>
          <w:rFonts w:ascii="Arial" w:hAnsi="Arial"/>
          <w:color w:val="FFFFFF"/>
          <w:sz w:val="16"/>
        </w:rPr>
        <w:t>the</w:t>
      </w:r>
      <w:r>
        <w:rPr>
          <w:rFonts w:ascii="Arial" w:hAnsi="Arial"/>
          <w:color w:val="FFFFFF"/>
          <w:spacing w:val="52"/>
          <w:sz w:val="16"/>
        </w:rPr>
        <w:t> </w:t>
      </w:r>
      <w:r>
        <w:rPr>
          <w:rFonts w:ascii="Arial" w:hAnsi="Arial"/>
          <w:color w:val="FFFFFF"/>
          <w:sz w:val="16"/>
        </w:rPr>
        <w:t>impact</w:t>
      </w:r>
      <w:r>
        <w:rPr>
          <w:rFonts w:ascii="Arial" w:hAnsi="Arial"/>
          <w:color w:val="FFFFFF"/>
          <w:spacing w:val="49"/>
          <w:sz w:val="16"/>
        </w:rPr>
        <w:t> </w:t>
      </w:r>
      <w:r>
        <w:rPr>
          <w:rFonts w:ascii="Arial" w:hAnsi="Arial"/>
          <w:color w:val="FFFFFF"/>
          <w:sz w:val="16"/>
        </w:rPr>
        <w:t>of</w:t>
      </w:r>
      <w:r>
        <w:rPr>
          <w:rFonts w:ascii="Arial" w:hAnsi="Arial"/>
          <w:color w:val="FFFFFF"/>
          <w:spacing w:val="50"/>
          <w:sz w:val="16"/>
        </w:rPr>
        <w:t> </w:t>
      </w:r>
      <w:r>
        <w:rPr>
          <w:rFonts w:ascii="Arial" w:hAnsi="Arial"/>
          <w:color w:val="FFFFFF"/>
          <w:sz w:val="16"/>
        </w:rPr>
        <w:t>substance</w:t>
      </w:r>
      <w:r>
        <w:rPr>
          <w:rFonts w:ascii="Arial" w:hAnsi="Arial"/>
          <w:color w:val="FFFFFF"/>
          <w:spacing w:val="52"/>
          <w:sz w:val="16"/>
        </w:rPr>
        <w:t> </w:t>
      </w:r>
      <w:r>
        <w:rPr>
          <w:rFonts w:ascii="Arial" w:hAnsi="Arial"/>
          <w:color w:val="FFFFFF"/>
          <w:sz w:val="16"/>
        </w:rPr>
        <w:t>abuse</w:t>
      </w:r>
      <w:r>
        <w:rPr>
          <w:rFonts w:ascii="Arial" w:hAnsi="Arial"/>
          <w:color w:val="FFFFFF"/>
          <w:spacing w:val="50"/>
          <w:sz w:val="16"/>
        </w:rPr>
        <w:t> </w:t>
      </w:r>
      <w:r>
        <w:rPr>
          <w:rFonts w:ascii="Arial" w:hAnsi="Arial"/>
          <w:color w:val="FFFFFF"/>
          <w:sz w:val="16"/>
        </w:rPr>
        <w:t>and</w:t>
      </w:r>
      <w:r>
        <w:rPr>
          <w:rFonts w:ascii="Arial" w:hAnsi="Arial"/>
          <w:color w:val="FFFFFF"/>
          <w:spacing w:val="49"/>
          <w:sz w:val="16"/>
        </w:rPr>
        <w:t> </w:t>
      </w:r>
      <w:r>
        <w:rPr>
          <w:rFonts w:ascii="Arial" w:hAnsi="Arial"/>
          <w:color w:val="FFFFFF"/>
          <w:sz w:val="16"/>
        </w:rPr>
        <w:t>mental</w:t>
      </w:r>
      <w:r>
        <w:rPr>
          <w:rFonts w:ascii="Arial" w:hAnsi="Arial"/>
          <w:color w:val="FFFFFF"/>
          <w:spacing w:val="52"/>
          <w:sz w:val="16"/>
        </w:rPr>
        <w:t> </w:t>
      </w:r>
      <w:r>
        <w:rPr>
          <w:rFonts w:ascii="Arial" w:hAnsi="Arial"/>
          <w:color w:val="FFFFFF"/>
          <w:sz w:val="16"/>
        </w:rPr>
        <w:t>illness</w:t>
      </w:r>
      <w:r>
        <w:rPr>
          <w:rFonts w:ascii="Arial" w:hAnsi="Arial"/>
          <w:color w:val="FFFFFF"/>
          <w:spacing w:val="50"/>
          <w:sz w:val="16"/>
        </w:rPr>
        <w:t> </w:t>
      </w:r>
      <w:r>
        <w:rPr>
          <w:rFonts w:ascii="Arial" w:hAnsi="Arial"/>
          <w:color w:val="FFFFFF"/>
          <w:sz w:val="16"/>
        </w:rPr>
        <w:t>on</w:t>
      </w:r>
      <w:r>
        <w:rPr>
          <w:rFonts w:ascii="Arial" w:hAnsi="Arial"/>
          <w:color w:val="FFFFFF"/>
          <w:spacing w:val="37"/>
          <w:sz w:val="16"/>
        </w:rPr>
        <w:t> </w:t>
      </w:r>
      <w:r>
        <w:rPr>
          <w:rFonts w:ascii="Arial" w:hAnsi="Arial"/>
          <w:color w:val="FFFFFF"/>
          <w:sz w:val="16"/>
        </w:rPr>
        <w:t>America’s</w:t>
      </w:r>
      <w:r>
        <w:rPr>
          <w:rFonts w:ascii="Arial" w:hAnsi="Arial"/>
          <w:color w:val="FFFFFF"/>
          <w:spacing w:val="51"/>
          <w:sz w:val="16"/>
        </w:rPr>
        <w:t> </w:t>
      </w:r>
      <w:r>
        <w:rPr>
          <w:rFonts w:ascii="Arial" w:hAnsi="Arial"/>
          <w:color w:val="FFFFFF"/>
          <w:sz w:val="16"/>
        </w:rPr>
        <w:t>communities.</w:t>
      </w:r>
    </w:p>
    <w:p>
      <w:pPr>
        <w:spacing w:before="8"/>
        <w:ind w:left="1788" w:right="1359" w:firstLine="0"/>
        <w:jc w:val="center"/>
        <w:rPr>
          <w:rFonts w:ascii="Arial"/>
          <w:sz w:val="16"/>
        </w:rPr>
      </w:pPr>
      <w:r>
        <w:rPr>
          <w:rFonts w:ascii="Arial"/>
          <w:color w:val="FFFFFF"/>
          <w:sz w:val="16"/>
        </w:rPr>
        <w:t>1-877-SAMHSA</w:t>
      </w:r>
      <w:r>
        <w:rPr>
          <w:rFonts w:ascii="Arial"/>
          <w:color w:val="FFFFFF"/>
          <w:spacing w:val="46"/>
          <w:sz w:val="16"/>
        </w:rPr>
        <w:t> </w:t>
      </w:r>
      <w:r>
        <w:rPr>
          <w:rFonts w:ascii="Arial"/>
          <w:color w:val="FFFFFF"/>
          <w:sz w:val="16"/>
        </w:rPr>
        <w:t>-7</w:t>
      </w:r>
      <w:r>
        <w:rPr>
          <w:rFonts w:ascii="Arial"/>
          <w:color w:val="FFFFFF"/>
          <w:spacing w:val="63"/>
          <w:sz w:val="16"/>
        </w:rPr>
        <w:t> </w:t>
      </w:r>
      <w:r>
        <w:rPr>
          <w:rFonts w:ascii="Arial"/>
          <w:color w:val="FFFFFF"/>
          <w:sz w:val="16"/>
        </w:rPr>
        <w:t>(1-877-726-4727)     </w:t>
      </w:r>
      <w:r>
        <w:rPr>
          <w:rFonts w:ascii="Arial"/>
          <w:color w:val="FFFFFF"/>
          <w:spacing w:val="26"/>
          <w:sz w:val="16"/>
        </w:rPr>
        <w:t> </w:t>
      </w:r>
      <w:r>
        <w:rPr>
          <w:rFonts w:ascii="Arial"/>
          <w:color w:val="FFFFFF"/>
          <w:sz w:val="16"/>
        </w:rPr>
        <w:t>1-800-487-4889</w:t>
      </w:r>
      <w:r>
        <w:rPr>
          <w:rFonts w:ascii="Arial"/>
          <w:color w:val="FFFFFF"/>
          <w:spacing w:val="61"/>
          <w:sz w:val="16"/>
        </w:rPr>
        <w:t> </w:t>
      </w:r>
      <w:r>
        <w:rPr>
          <w:rFonts w:ascii="Arial"/>
          <w:color w:val="FFFFFF"/>
          <w:sz w:val="16"/>
        </w:rPr>
        <w:t>(TDD)     </w:t>
      </w:r>
      <w:r>
        <w:rPr>
          <w:rFonts w:ascii="Arial"/>
          <w:color w:val="FFFFFF"/>
          <w:spacing w:val="25"/>
          <w:sz w:val="16"/>
        </w:rPr>
        <w:t> </w:t>
      </w:r>
      <w:hyperlink r:id="rId394">
        <w:r>
          <w:rPr>
            <w:rFonts w:ascii="Arial"/>
            <w:color w:val="FFFFFF"/>
            <w:sz w:val="16"/>
          </w:rPr>
          <w:t>www.samhsa.gov</w:t>
        </w:r>
      </w:hyperlink>
    </w:p>
    <w:sectPr>
      <w:headerReference w:type="default" r:id="rId390"/>
      <w:footerReference w:type="default" r:id="rId391"/>
      <w:pgSz w:w="12240" w:h="15840"/>
      <w:pgMar w:header="0" w:footer="0" w:top="1500" w:bottom="0" w:left="5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Wingdings">
    <w:altName w:val="Wingdings"/>
    <w:charset w:val="2"/>
    <w:family w:val="auto"/>
    <w:pitch w:val="variable"/>
  </w:font>
  <w:font w:name="Symbol">
    <w:altName w:val="Symbol"/>
    <w:charset w:val="2"/>
    <w:family w:val="roman"/>
    <w:pitch w:val="variable"/>
  </w:font>
  <w:font w:name="Palatino Linotype">
    <w:altName w:val="Palatino Linotype"/>
    <w:charset w:val="0"/>
    <w:family w:val="roman"/>
    <w:pitch w:val="variable"/>
  </w:font>
  <w:font w:name="Arial Black">
    <w:altName w:val="Arial Black"/>
    <w:charset w:val="0"/>
    <w:family w:val="swiss"/>
    <w:pitch w:val="variable"/>
  </w:font>
  <w:font w:name="Courier New">
    <w:altName w:val="Courier New"/>
    <w:charset w:val="0"/>
    <w:family w:val="modern"/>
    <w:pitch w:val="fixed"/>
  </w:font>
  <w:font w:name="Arial Narrow">
    <w:altName w:val="Arial Narrow"/>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63200" id="docshape14" filled="true" fillcolor="#1d384a" stroked="false">
          <v:fill type="solid"/>
          <w10:wrap type="none"/>
        </v:rect>
      </w:pict>
    </w:r>
    <w:r>
      <w:rPr/>
      <w:pict>
        <v:shapetype id="_x0000_t202" o:spt="202" coordsize="21600,21600" path="m,l,21600r21600,l21600,xe">
          <v:stroke joinstyle="miter"/>
          <v:path gradientshapeok="t" o:connecttype="rect"/>
        </v:shapetype>
        <v:shape style="position:absolute;margin-left:35pt;margin-top:747.644714pt;width:428.2pt;height:21.45pt;mso-position-horizontal-relative:page;mso-position-vertical-relative:page;z-index:-18162688" type="#_x0000_t202" id="docshape15"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Message</w:t>
                </w:r>
                <w:r>
                  <w:rPr>
                    <w:rFonts w:ascii="Arial"/>
                    <w:color w:val="1D384A"/>
                    <w:spacing w:val="-1"/>
                    <w:sz w:val="16"/>
                  </w:rPr>
                  <w:t> </w:t>
                </w:r>
                <w:r>
                  <w:rPr>
                    <w:rFonts w:ascii="Arial"/>
                    <w:color w:val="1D384A"/>
                    <w:sz w:val="16"/>
                  </w:rPr>
                  <w:t>from</w:t>
                </w:r>
                <w:r>
                  <w:rPr>
                    <w:rFonts w:ascii="Arial"/>
                    <w:color w:val="1D384A"/>
                    <w:spacing w:val="-10"/>
                    <w:sz w:val="16"/>
                  </w:rPr>
                  <w:t> </w:t>
                </w:r>
                <w:r>
                  <w:rPr>
                    <w:rFonts w:ascii="Arial"/>
                    <w:color w:val="1D384A"/>
                    <w:sz w:val="16"/>
                  </w:rPr>
                  <w:t>Assistant</w:t>
                </w:r>
                <w:r>
                  <w:rPr>
                    <w:rFonts w:ascii="Arial"/>
                    <w:color w:val="1D384A"/>
                    <w:spacing w:val="-1"/>
                    <w:sz w:val="16"/>
                  </w:rPr>
                  <w:t> </w:t>
                </w:r>
                <w:r>
                  <w:rPr>
                    <w:rFonts w:ascii="Arial"/>
                    <w:color w:val="1D384A"/>
                    <w:sz w:val="16"/>
                  </w:rPr>
                  <w:t>Secretary</w:t>
                </w:r>
                <w:r>
                  <w:rPr>
                    <w:rFonts w:ascii="Arial"/>
                    <w:color w:val="1D384A"/>
                    <w:spacing w:val="-1"/>
                    <w:sz w:val="16"/>
                  </w:rPr>
                  <w:t> </w:t>
                </w:r>
                <w:r>
                  <w:rPr>
                    <w:rFonts w:ascii="Arial"/>
                    <w:color w:val="1D384A"/>
                    <w:sz w:val="16"/>
                  </w:rPr>
                  <w:t>for</w:t>
                </w:r>
                <w:r>
                  <w:rPr>
                    <w:rFonts w:ascii="Arial"/>
                    <w:color w:val="1D384A"/>
                    <w:spacing w:val="-1"/>
                    <w:sz w:val="16"/>
                  </w:rPr>
                  <w:t> </w:t>
                </w:r>
                <w:r>
                  <w:rPr>
                    <w:rFonts w:ascii="Arial"/>
                    <w:color w:val="1D384A"/>
                    <w:sz w:val="16"/>
                  </w:rPr>
                  <w:t>Mental</w:t>
                </w:r>
                <w:r>
                  <w:rPr>
                    <w:rFonts w:ascii="Arial"/>
                    <w:color w:val="1D384A"/>
                    <w:spacing w:val="-1"/>
                    <w:sz w:val="16"/>
                  </w:rPr>
                  <w:t> </w:t>
                </w:r>
                <w:r>
                  <w:rPr>
                    <w:rFonts w:ascii="Arial"/>
                    <w:color w:val="1D384A"/>
                    <w:sz w:val="16"/>
                  </w:rPr>
                  <w:t>Health</w:t>
                </w:r>
                <w:r>
                  <w:rPr>
                    <w:rFonts w:ascii="Arial"/>
                    <w:color w:val="1D384A"/>
                    <w:spacing w:val="-2"/>
                    <w:sz w:val="16"/>
                  </w:rPr>
                  <w:t> </w:t>
                </w:r>
                <w:r>
                  <w:rPr>
                    <w:rFonts w:ascii="Arial"/>
                    <w:color w:val="1D384A"/>
                    <w:sz w:val="16"/>
                  </w:rPr>
                  <w:t>and</w:t>
                </w:r>
                <w:r>
                  <w:rPr>
                    <w:rFonts w:ascii="Arial"/>
                    <w:color w:val="1D384A"/>
                    <w:spacing w:val="-2"/>
                    <w:sz w:val="16"/>
                  </w:rPr>
                  <w:t> </w:t>
                </w:r>
                <w:r>
                  <w:rPr>
                    <w:rFonts w:ascii="Arial"/>
                    <w:color w:val="1D384A"/>
                    <w:sz w:val="16"/>
                  </w:rPr>
                  <w:t>Substance</w:t>
                </w:r>
                <w:r>
                  <w:rPr>
                    <w:rFonts w:ascii="Arial"/>
                    <w:color w:val="1D384A"/>
                    <w:spacing w:val="-1"/>
                    <w:sz w:val="16"/>
                  </w:rPr>
                  <w:t> </w:t>
                </w:r>
                <w:r>
                  <w:rPr>
                    <w:rFonts w:ascii="Arial"/>
                    <w:color w:val="1D384A"/>
                    <w:sz w:val="16"/>
                  </w:rPr>
                  <w:t>Use</w:t>
                </w:r>
              </w:p>
            </w:txbxContent>
          </v:textbox>
          <w10:wrap type="none"/>
        </v:shape>
      </w:pict>
    </w:r>
    <w:r>
      <w:rPr/>
      <w:pict>
        <v:shape style="position:absolute;margin-left:565.932617pt;margin-top:755.7771pt;width:12.55pt;height:14.7pt;mso-position-horizontal-relative:page;mso-position-vertical-relative:page;z-index:-18162176" type="#_x0000_t202" id="docshape16" filled="false" stroked="false">
          <v:textbox inset="0,0,0,0">
            <w:txbxContent>
              <w:p>
                <w:pPr>
                  <w:spacing w:before="20"/>
                  <w:ind w:left="20" w:right="0" w:firstLine="0"/>
                  <w:jc w:val="left"/>
                  <w:rPr>
                    <w:rFonts w:ascii="Arial Black"/>
                    <w:sz w:val="18"/>
                  </w:rPr>
                </w:pPr>
                <w:r>
                  <w:rPr>
                    <w:rFonts w:ascii="Arial Black"/>
                    <w:color w:val="1D384A"/>
                    <w:sz w:val="18"/>
                  </w:rPr>
                  <w:t>III</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428.2pt;height:21.45pt;mso-position-horizontal-relative:page;mso-position-vertical-relative:page;z-index:-18149888" type="#_x0000_t202" id="docshape112"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Practices</w:t>
                </w:r>
              </w:p>
            </w:txbxContent>
          </v:textbox>
          <w10:wrap type="none"/>
        </v:shape>
      </w:pict>
    </w:r>
    <w:r>
      <w:rPr/>
      <w:pict>
        <v:shape style="position:absolute;margin-left:562.434082pt;margin-top:755.7771pt;width:19.05pt;height:14.7pt;mso-position-horizontal-relative:page;mso-position-vertical-relative:page;z-index:-18149376" type="#_x0000_t202" id="docshape113"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31</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48352" id="docshape123" filled="true" fillcolor="#1d384a" stroked="false">
          <v:fill type="solid"/>
          <w10:wrap type="none"/>
        </v:rect>
      </w:pict>
    </w:r>
    <w:r>
      <w:rPr/>
      <w:pict>
        <v:shape style="position:absolute;margin-left:35pt;margin-top:747.644714pt;width:428.2pt;height:21.45pt;mso-position-horizontal-relative:page;mso-position-vertical-relative:page;z-index:-18147840" type="#_x0000_t202" id="docshape124"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Practices</w:t>
                </w:r>
              </w:p>
            </w:txbxContent>
          </v:textbox>
          <w10:wrap type="none"/>
        </v:shape>
      </w:pict>
    </w:r>
    <w:r>
      <w:rPr/>
      <w:pict>
        <v:shape style="position:absolute;margin-left:562.434082pt;margin-top:755.7771pt;width:19.05pt;height:14.7pt;mso-position-horizontal-relative:page;mso-position-vertical-relative:page;z-index:-18147328" type="#_x0000_t202" id="docshape125"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32</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46816" id="docshape143" filled="true" fillcolor="#1d384a" stroked="false">
          <v:fill type="solid"/>
          <w10:wrap type="none"/>
        </v:rect>
      </w:pict>
    </w:r>
    <w:r>
      <w:rPr/>
      <w:pict>
        <v:shape style="position:absolute;margin-left:35pt;margin-top:747.644714pt;width:428.2pt;height:21.45pt;mso-position-horizontal-relative:page;mso-position-vertical-relative:page;z-index:-18146304" type="#_x0000_t202" id="docshape144"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Practices</w:t>
                </w:r>
              </w:p>
            </w:txbxContent>
          </v:textbox>
          <w10:wrap type="none"/>
        </v:shape>
      </w:pict>
    </w:r>
    <w:r>
      <w:rPr/>
      <w:pict>
        <v:shape style="position:absolute;margin-left:562.434082pt;margin-top:755.7771pt;width:19.05pt;height:14.7pt;mso-position-horizontal-relative:page;mso-position-vertical-relative:page;z-index:-18145792" type="#_x0000_t202" id="docshape145"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38</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44768" id="docshape150" filled="true" fillcolor="#1d384a" stroked="false">
          <v:fill type="solid"/>
          <w10:wrap type="none"/>
        </v:rect>
      </w:pict>
    </w:r>
    <w:r>
      <w:rPr/>
      <w:pict>
        <v:shape style="position:absolute;margin-left:35pt;margin-top:747.644714pt;width:428.2pt;height:21.45pt;mso-position-horizontal-relative:page;mso-position-vertical-relative:page;z-index:-18144256" type="#_x0000_t202" id="docshape151"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Guidance</w:t>
                </w:r>
                <w:r>
                  <w:rPr>
                    <w:rFonts w:ascii="Arial"/>
                    <w:color w:val="1D384A"/>
                    <w:spacing w:val="-1"/>
                    <w:sz w:val="16"/>
                  </w:rPr>
                  <w:t> </w:t>
                </w:r>
                <w:r>
                  <w:rPr>
                    <w:rFonts w:ascii="Arial"/>
                    <w:color w:val="1D384A"/>
                    <w:sz w:val="16"/>
                  </w:rPr>
                  <w:t>for Selecting and</w:t>
                </w:r>
                <w:r>
                  <w:rPr>
                    <w:rFonts w:ascii="Arial"/>
                    <w:color w:val="1D384A"/>
                    <w:spacing w:val="-2"/>
                    <w:sz w:val="16"/>
                  </w:rPr>
                  <w:t> </w:t>
                </w:r>
                <w:r>
                  <w:rPr>
                    <w:rFonts w:ascii="Arial"/>
                    <w:color w:val="1D384A"/>
                    <w:sz w:val="16"/>
                  </w:rPr>
                  <w:t>Implementing Evidence-based Practices</w:t>
                </w:r>
              </w:p>
            </w:txbxContent>
          </v:textbox>
          <w10:wrap type="none"/>
        </v:shape>
      </w:pict>
    </w:r>
    <w:r>
      <w:rPr/>
      <w:pict>
        <v:shape style="position:absolute;margin-left:562.434082pt;margin-top:755.7771pt;width:19.05pt;height:14.7pt;mso-position-horizontal-relative:page;mso-position-vertical-relative:page;z-index:-18143744" type="#_x0000_t202" id="docshape152"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39</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43232" id="docshape154" filled="true" fillcolor="#1d384a" stroked="false">
          <v:fill type="solid"/>
          <w10:wrap type="none"/>
        </v:rect>
      </w:pict>
    </w:r>
    <w:r>
      <w:rPr/>
      <w:pict>
        <v:shape style="position:absolute;margin-left:35pt;margin-top:747.644714pt;width:428.2pt;height:21.45pt;mso-position-horizontal-relative:page;mso-position-vertical-relative:page;z-index:-18142720" type="#_x0000_t202" id="docshape155"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Examples</w:t>
                </w:r>
                <w:r>
                  <w:rPr>
                    <w:rFonts w:ascii="Arial"/>
                    <w:color w:val="1D384A"/>
                    <w:spacing w:val="-1"/>
                    <w:sz w:val="16"/>
                  </w:rPr>
                  <w:t> </w:t>
                </w:r>
                <w:r>
                  <w:rPr>
                    <w:rFonts w:ascii="Arial"/>
                    <w:color w:val="1D384A"/>
                    <w:sz w:val="16"/>
                  </w:rPr>
                  <w:t>of</w:t>
                </w:r>
                <w:r>
                  <w:rPr>
                    <w:rFonts w:ascii="Arial"/>
                    <w:color w:val="1D384A"/>
                    <w:spacing w:val="-2"/>
                    <w:sz w:val="16"/>
                  </w:rPr>
                  <w:t> </w:t>
                </w:r>
                <w:r>
                  <w:rPr>
                    <w:rFonts w:ascii="Arial"/>
                    <w:color w:val="1D384A"/>
                    <w:sz w:val="16"/>
                  </w:rPr>
                  <w:t>Effective</w:t>
                </w:r>
                <w:r>
                  <w:rPr>
                    <w:rFonts w:ascii="Arial"/>
                    <w:color w:val="1D384A"/>
                    <w:spacing w:val="-1"/>
                    <w:sz w:val="16"/>
                  </w:rPr>
                  <w:t> </w:t>
                </w:r>
                <w:r>
                  <w:rPr>
                    <w:rFonts w:ascii="Arial"/>
                    <w:color w:val="1D384A"/>
                    <w:sz w:val="16"/>
                  </w:rPr>
                  <w:t>Programs</w:t>
                </w:r>
                <w:r>
                  <w:rPr>
                    <w:rFonts w:ascii="Arial"/>
                    <w:color w:val="1D384A"/>
                    <w:spacing w:val="-1"/>
                    <w:sz w:val="16"/>
                  </w:rPr>
                  <w:t> </w:t>
                </w:r>
                <w:r>
                  <w:rPr>
                    <w:rFonts w:ascii="Arial"/>
                    <w:color w:val="1D384A"/>
                    <w:sz w:val="16"/>
                  </w:rPr>
                  <w:t>and</w:t>
                </w:r>
                <w:r>
                  <w:rPr>
                    <w:rFonts w:ascii="Arial"/>
                    <w:color w:val="1D384A"/>
                    <w:spacing w:val="-2"/>
                    <w:sz w:val="16"/>
                  </w:rPr>
                  <w:t> </w:t>
                </w:r>
                <w:r>
                  <w:rPr>
                    <w:rFonts w:ascii="Arial"/>
                    <w:color w:val="1D384A"/>
                    <w:sz w:val="16"/>
                  </w:rPr>
                  <w:t>Strategies</w:t>
                </w:r>
              </w:p>
            </w:txbxContent>
          </v:textbox>
          <w10:wrap type="none"/>
        </v:shape>
      </w:pict>
    </w:r>
    <w:r>
      <w:rPr/>
      <w:pict>
        <v:shape style="position:absolute;margin-left:562.434082pt;margin-top:755.7771pt;width:19.05pt;height:14.7pt;mso-position-horizontal-relative:page;mso-position-vertical-relative:page;z-index:-18142208" type="#_x0000_t202" id="docshape156"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46</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41184" id="docshape165" filled="true" fillcolor="#1d384a" stroked="false">
          <v:fill type="solid"/>
          <w10:wrap type="none"/>
        </v:rect>
      </w:pict>
    </w:r>
    <w:r>
      <w:rPr/>
      <w:pict>
        <v:shape style="position:absolute;margin-left:35pt;margin-top:747.644714pt;width:428.2pt;height:21.45pt;mso-position-horizontal-relative:page;mso-position-vertical-relative:page;z-index:-18140672" type="#_x0000_t202" id="docshape166"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Examples</w:t>
                </w:r>
                <w:r>
                  <w:rPr>
                    <w:rFonts w:ascii="Arial"/>
                    <w:color w:val="1D384A"/>
                    <w:spacing w:val="-1"/>
                    <w:sz w:val="16"/>
                  </w:rPr>
                  <w:t> </w:t>
                </w:r>
                <w:r>
                  <w:rPr>
                    <w:rFonts w:ascii="Arial"/>
                    <w:color w:val="1D384A"/>
                    <w:sz w:val="16"/>
                  </w:rPr>
                  <w:t>of</w:t>
                </w:r>
                <w:r>
                  <w:rPr>
                    <w:rFonts w:ascii="Arial"/>
                    <w:color w:val="1D384A"/>
                    <w:spacing w:val="-2"/>
                    <w:sz w:val="16"/>
                  </w:rPr>
                  <w:t> </w:t>
                </w:r>
                <w:r>
                  <w:rPr>
                    <w:rFonts w:ascii="Arial"/>
                    <w:color w:val="1D384A"/>
                    <w:sz w:val="16"/>
                  </w:rPr>
                  <w:t>Effective</w:t>
                </w:r>
                <w:r>
                  <w:rPr>
                    <w:rFonts w:ascii="Arial"/>
                    <w:color w:val="1D384A"/>
                    <w:spacing w:val="-1"/>
                    <w:sz w:val="16"/>
                  </w:rPr>
                  <w:t> </w:t>
                </w:r>
                <w:r>
                  <w:rPr>
                    <w:rFonts w:ascii="Arial"/>
                    <w:color w:val="1D384A"/>
                    <w:sz w:val="16"/>
                  </w:rPr>
                  <w:t>Programs</w:t>
                </w:r>
                <w:r>
                  <w:rPr>
                    <w:rFonts w:ascii="Arial"/>
                    <w:color w:val="1D384A"/>
                    <w:spacing w:val="-1"/>
                    <w:sz w:val="16"/>
                  </w:rPr>
                  <w:t> </w:t>
                </w:r>
                <w:r>
                  <w:rPr>
                    <w:rFonts w:ascii="Arial"/>
                    <w:color w:val="1D384A"/>
                    <w:sz w:val="16"/>
                  </w:rPr>
                  <w:t>and</w:t>
                </w:r>
                <w:r>
                  <w:rPr>
                    <w:rFonts w:ascii="Arial"/>
                    <w:color w:val="1D384A"/>
                    <w:spacing w:val="-2"/>
                    <w:sz w:val="16"/>
                  </w:rPr>
                  <w:t> </w:t>
                </w:r>
                <w:r>
                  <w:rPr>
                    <w:rFonts w:ascii="Arial"/>
                    <w:color w:val="1D384A"/>
                    <w:sz w:val="16"/>
                  </w:rPr>
                  <w:t>Strategies</w:t>
                </w:r>
              </w:p>
            </w:txbxContent>
          </v:textbox>
          <w10:wrap type="none"/>
        </v:shape>
      </w:pict>
    </w:r>
    <w:r>
      <w:rPr/>
      <w:pict>
        <v:shape style="position:absolute;margin-left:562.434082pt;margin-top:755.7771pt;width:19.05pt;height:14.7pt;mso-position-horizontal-relative:page;mso-position-vertical-relative:page;z-index:-18140160" type="#_x0000_t202" id="docshape167"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47</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39648" id="docshape182" filled="true" fillcolor="#1d384a" stroked="false">
          <v:fill type="solid"/>
          <w10:wrap type="none"/>
        </v:rect>
      </w:pict>
    </w:r>
    <w:r>
      <w:rPr/>
      <w:pict>
        <v:shape style="position:absolute;margin-left:35pt;margin-top:747.644714pt;width:428.2pt;height:21.45pt;mso-position-horizontal-relative:page;mso-position-vertical-relative:page;z-index:-18139136" type="#_x0000_t202" id="docshape183"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Resources</w:t>
                </w:r>
                <w:r>
                  <w:rPr>
                    <w:rFonts w:ascii="Arial"/>
                    <w:color w:val="1D384A"/>
                    <w:spacing w:val="-3"/>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1"/>
                    <w:sz w:val="16"/>
                  </w:rPr>
                  <w:t> </w:t>
                </w:r>
                <w:r>
                  <w:rPr>
                    <w:rFonts w:ascii="Arial"/>
                    <w:color w:val="1D384A"/>
                    <w:sz w:val="16"/>
                  </w:rPr>
                  <w:t>and</w:t>
                </w:r>
                <w:r>
                  <w:rPr>
                    <w:rFonts w:ascii="Arial"/>
                    <w:color w:val="1D384A"/>
                    <w:spacing w:val="-3"/>
                    <w:sz w:val="16"/>
                  </w:rPr>
                  <w:t> </w:t>
                </w:r>
                <w:r>
                  <w:rPr>
                    <w:rFonts w:ascii="Arial"/>
                    <w:color w:val="1D384A"/>
                    <w:sz w:val="16"/>
                  </w:rPr>
                  <w:t>Quality</w:t>
                </w:r>
                <w:r>
                  <w:rPr>
                    <w:rFonts w:ascii="Arial"/>
                    <w:color w:val="1D384A"/>
                    <w:spacing w:val="-2"/>
                    <w:sz w:val="16"/>
                  </w:rPr>
                  <w:t> </w:t>
                </w:r>
                <w:r>
                  <w:rPr>
                    <w:rFonts w:ascii="Arial"/>
                    <w:color w:val="1D384A"/>
                    <w:sz w:val="16"/>
                  </w:rPr>
                  <w:t>Improvement</w:t>
                </w:r>
              </w:p>
            </w:txbxContent>
          </v:textbox>
          <w10:wrap type="none"/>
        </v:shape>
      </w:pict>
    </w:r>
    <w:r>
      <w:rPr/>
      <w:pict>
        <v:shape style="position:absolute;margin-left:562.434082pt;margin-top:755.7771pt;width:19.05pt;height:14.7pt;mso-position-horizontal-relative:page;mso-position-vertical-relative:page;z-index:-18138624" type="#_x0000_t202" id="docshape184"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55</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37600" id="docshape193" filled="true" fillcolor="#1d384a" stroked="false">
          <v:fill type="solid"/>
          <w10:wrap type="none"/>
        </v:rect>
      </w:pict>
    </w:r>
    <w:r>
      <w:rPr/>
      <w:pict>
        <v:shape style="position:absolute;margin-left:35pt;margin-top:747.644714pt;width:428.2pt;height:21.45pt;mso-position-horizontal-relative:page;mso-position-vertical-relative:page;z-index:-18137088" type="#_x0000_t202" id="docshape194"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Resources</w:t>
                </w:r>
                <w:r>
                  <w:rPr>
                    <w:rFonts w:ascii="Arial"/>
                    <w:color w:val="1D384A"/>
                    <w:spacing w:val="-3"/>
                    <w:sz w:val="16"/>
                  </w:rPr>
                  <w:t> </w:t>
                </w:r>
                <w:r>
                  <w:rPr>
                    <w:rFonts w:ascii="Arial"/>
                    <w:color w:val="1D384A"/>
                    <w:sz w:val="16"/>
                  </w:rPr>
                  <w:t>for</w:t>
                </w:r>
                <w:r>
                  <w:rPr>
                    <w:rFonts w:ascii="Arial"/>
                    <w:color w:val="1D384A"/>
                    <w:spacing w:val="-2"/>
                    <w:sz w:val="16"/>
                  </w:rPr>
                  <w:t> </w:t>
                </w:r>
                <w:r>
                  <w:rPr>
                    <w:rFonts w:ascii="Arial"/>
                    <w:color w:val="1D384A"/>
                    <w:sz w:val="16"/>
                  </w:rPr>
                  <w:t>Evaluation</w:t>
                </w:r>
                <w:r>
                  <w:rPr>
                    <w:rFonts w:ascii="Arial"/>
                    <w:color w:val="1D384A"/>
                    <w:spacing w:val="-1"/>
                    <w:sz w:val="16"/>
                  </w:rPr>
                  <w:t> </w:t>
                </w:r>
                <w:r>
                  <w:rPr>
                    <w:rFonts w:ascii="Arial"/>
                    <w:color w:val="1D384A"/>
                    <w:sz w:val="16"/>
                  </w:rPr>
                  <w:t>and</w:t>
                </w:r>
                <w:r>
                  <w:rPr>
                    <w:rFonts w:ascii="Arial"/>
                    <w:color w:val="1D384A"/>
                    <w:spacing w:val="-3"/>
                    <w:sz w:val="16"/>
                  </w:rPr>
                  <w:t> </w:t>
                </w:r>
                <w:r>
                  <w:rPr>
                    <w:rFonts w:ascii="Arial"/>
                    <w:color w:val="1D384A"/>
                    <w:sz w:val="16"/>
                  </w:rPr>
                  <w:t>Quality</w:t>
                </w:r>
                <w:r>
                  <w:rPr>
                    <w:rFonts w:ascii="Arial"/>
                    <w:color w:val="1D384A"/>
                    <w:spacing w:val="-2"/>
                    <w:sz w:val="16"/>
                  </w:rPr>
                  <w:t> </w:t>
                </w:r>
                <w:r>
                  <w:rPr>
                    <w:rFonts w:ascii="Arial"/>
                    <w:color w:val="1D384A"/>
                    <w:sz w:val="16"/>
                  </w:rPr>
                  <w:t>Improvement</w:t>
                </w:r>
              </w:p>
            </w:txbxContent>
          </v:textbox>
          <w10:wrap type="none"/>
        </v:shape>
      </w:pict>
    </w:r>
    <w:r>
      <w:rPr/>
      <w:pict>
        <v:shape style="position:absolute;margin-left:562.434082pt;margin-top:755.7771pt;width:19.05pt;height:14.7pt;mso-position-horizontal-relative:page;mso-position-vertical-relative:page;z-index:-18136576" type="#_x0000_t202" id="docshape195"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58</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35552" id="docshape210" filled="true" fillcolor="#1d384a" stroked="false">
          <v:fill type="solid"/>
          <w10:wrap type="none"/>
        </v:rect>
      </w:pict>
    </w:r>
    <w:r>
      <w:rPr/>
      <w:pict>
        <v:shape style="position:absolute;margin-left:35pt;margin-top:747.644714pt;width:428.2pt;height:21.45pt;mso-position-horizontal-relative:page;mso-position-vertical-relative:page;z-index:-18135040" type="#_x0000_t202" id="docshape211"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Appendix</w:t>
                </w:r>
                <w:r>
                  <w:rPr>
                    <w:rFonts w:ascii="Arial"/>
                    <w:color w:val="1D384A"/>
                    <w:spacing w:val="-1"/>
                    <w:sz w:val="16"/>
                  </w:rPr>
                  <w:t> </w:t>
                </w:r>
                <w:r>
                  <w:rPr>
                    <w:rFonts w:ascii="Arial"/>
                    <w:color w:val="1D384A"/>
                    <w:sz w:val="16"/>
                  </w:rPr>
                  <w:t>1:</w:t>
                </w:r>
                <w:r>
                  <w:rPr>
                    <w:rFonts w:ascii="Arial"/>
                    <w:color w:val="1D384A"/>
                    <w:spacing w:val="-9"/>
                    <w:sz w:val="16"/>
                  </w:rPr>
                  <w:t> </w:t>
                </w:r>
                <w:r>
                  <w:rPr>
                    <w:rFonts w:ascii="Arial"/>
                    <w:color w:val="1D384A"/>
                    <w:sz w:val="16"/>
                  </w:rPr>
                  <w:t>Acknowledgments</w:t>
                </w:r>
              </w:p>
            </w:txbxContent>
          </v:textbox>
          <w10:wrap type="none"/>
        </v:shape>
      </w:pict>
    </w:r>
    <w:r>
      <w:rPr/>
      <w:pict>
        <v:shape style="position:absolute;margin-left:562.434082pt;margin-top:755.7771pt;width:19.05pt;height:14.7pt;mso-position-horizontal-relative:page;mso-position-vertical-relative:page;z-index:-18134528" type="#_x0000_t202" id="docshape212"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60</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32480" id="docshape219" filled="true" fillcolor="#1d384a" stroked="false">
          <v:fill type="solid"/>
          <w10:wrap type="none"/>
        </v:rect>
      </w:pict>
    </w:r>
    <w:r>
      <w:rPr/>
      <w:pict>
        <v:shape style="position:absolute;margin-left:35pt;margin-top:747.644714pt;width:428.2pt;height:21.45pt;mso-position-horizontal-relative:page;mso-position-vertical-relative:page;z-index:-18131968" type="#_x0000_t202" id="docshape220"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Appendix</w:t>
                </w:r>
                <w:r>
                  <w:rPr>
                    <w:rFonts w:ascii="Arial"/>
                    <w:color w:val="1D384A"/>
                    <w:spacing w:val="-2"/>
                    <w:sz w:val="16"/>
                  </w:rPr>
                  <w:t> </w:t>
                </w:r>
                <w:r>
                  <w:rPr>
                    <w:rFonts w:ascii="Arial"/>
                    <w:color w:val="1D384A"/>
                    <w:sz w:val="16"/>
                  </w:rPr>
                  <w:t>2:</w:t>
                </w:r>
                <w:r>
                  <w:rPr>
                    <w:rFonts w:ascii="Arial"/>
                    <w:color w:val="1D384A"/>
                    <w:spacing w:val="-2"/>
                    <w:sz w:val="16"/>
                  </w:rPr>
                  <w:t> </w:t>
                </w:r>
                <w:r>
                  <w:rPr>
                    <w:rFonts w:ascii="Arial"/>
                    <w:color w:val="1D384A"/>
                    <w:sz w:val="16"/>
                  </w:rPr>
                  <w:t>Evidence</w:t>
                </w:r>
                <w:r>
                  <w:rPr>
                    <w:rFonts w:ascii="Arial"/>
                    <w:color w:val="1D384A"/>
                    <w:spacing w:val="-1"/>
                    <w:sz w:val="16"/>
                  </w:rPr>
                  <w:t> </w:t>
                </w:r>
                <w:r>
                  <w:rPr>
                    <w:rFonts w:ascii="Arial"/>
                    <w:color w:val="1D384A"/>
                    <w:sz w:val="16"/>
                  </w:rPr>
                  <w:t>Review</w:t>
                </w:r>
                <w:r>
                  <w:rPr>
                    <w:rFonts w:ascii="Arial"/>
                    <w:color w:val="1D384A"/>
                    <w:spacing w:val="-2"/>
                    <w:sz w:val="16"/>
                  </w:rPr>
                  <w:t> </w:t>
                </w:r>
                <w:r>
                  <w:rPr>
                    <w:rFonts w:ascii="Arial"/>
                    <w:color w:val="1D384A"/>
                    <w:sz w:val="16"/>
                  </w:rPr>
                  <w:t>Methodology</w:t>
                </w:r>
              </w:p>
            </w:txbxContent>
          </v:textbox>
          <w10:wrap type="none"/>
        </v:shape>
      </w:pict>
    </w:r>
    <w:r>
      <w:rPr/>
      <w:pict>
        <v:shape style="position:absolute;margin-left:562.434082pt;margin-top:755.7771pt;width:19.05pt;height:14.7pt;mso-position-horizontal-relative:page;mso-position-vertical-relative:page;z-index:-18131456" type="#_x0000_t202" id="docshape221"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61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61664" id="docshape18" filled="true" fillcolor="#1d384a" stroked="false">
          <v:fill type="solid"/>
          <w10:wrap type="none"/>
        </v:rect>
      </w:pict>
    </w:r>
    <w:r>
      <w:rPr/>
      <w:pict>
        <v:shape style="position:absolute;margin-left:35pt;margin-top:747.644714pt;width:428.2pt;height:21.45pt;mso-position-horizontal-relative:page;mso-position-vertical-relative:page;z-index:-18161152" type="#_x0000_t202" id="docshape19"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2"/>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z w:val="16"/>
                  </w:rPr>
                  <w:t>Overview</w:t>
                </w:r>
              </w:p>
            </w:txbxContent>
          </v:textbox>
          <w10:wrap type="none"/>
        </v:shape>
      </w:pict>
    </w:r>
    <w:r>
      <w:rPr/>
      <w:pict>
        <v:shape style="position:absolute;margin-left:563.937012pt;margin-top:755.7771pt;width:17.5pt;height:14.7pt;mso-position-horizontal-relative:page;mso-position-vertical-relative:page;z-index:-18160640" type="#_x0000_t202" id="docshape20"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 ROMAN </w:instrText>
                </w:r>
                <w:r>
                  <w:rPr/>
                  <w:fldChar w:fldCharType="separate"/>
                </w:r>
                <w:r>
                  <w:rPr/>
                  <w:t>IV</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30432" id="docshape223" filled="true" fillcolor="#1d384a" stroked="false">
          <v:fill type="solid"/>
          <w10:wrap type="none"/>
        </v:rect>
      </w:pict>
    </w:r>
    <w:r>
      <w:rPr/>
      <w:pict>
        <v:shape style="position:absolute;margin-left:35pt;margin-top:747.644714pt;width:428.2pt;height:21.45pt;mso-position-horizontal-relative:page;mso-position-vertical-relative:page;z-index:-18129920" type="#_x0000_t202" id="docshape224"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Appendix</w:t>
                </w:r>
                <w:r>
                  <w:rPr>
                    <w:rFonts w:ascii="Arial"/>
                    <w:color w:val="1D384A"/>
                    <w:spacing w:val="-2"/>
                    <w:sz w:val="16"/>
                  </w:rPr>
                  <w:t> </w:t>
                </w:r>
                <w:r>
                  <w:rPr>
                    <w:rFonts w:ascii="Arial"/>
                    <w:color w:val="1D384A"/>
                    <w:sz w:val="16"/>
                  </w:rPr>
                  <w:t>2:</w:t>
                </w:r>
                <w:r>
                  <w:rPr>
                    <w:rFonts w:ascii="Arial"/>
                    <w:color w:val="1D384A"/>
                    <w:spacing w:val="-2"/>
                    <w:sz w:val="16"/>
                  </w:rPr>
                  <w:t> </w:t>
                </w:r>
                <w:r>
                  <w:rPr>
                    <w:rFonts w:ascii="Arial"/>
                    <w:color w:val="1D384A"/>
                    <w:sz w:val="16"/>
                  </w:rPr>
                  <w:t>Evidence</w:t>
                </w:r>
                <w:r>
                  <w:rPr>
                    <w:rFonts w:ascii="Arial"/>
                    <w:color w:val="1D384A"/>
                    <w:spacing w:val="-1"/>
                    <w:sz w:val="16"/>
                  </w:rPr>
                  <w:t> </w:t>
                </w:r>
                <w:r>
                  <w:rPr>
                    <w:rFonts w:ascii="Arial"/>
                    <w:color w:val="1D384A"/>
                    <w:sz w:val="16"/>
                  </w:rPr>
                  <w:t>Review</w:t>
                </w:r>
                <w:r>
                  <w:rPr>
                    <w:rFonts w:ascii="Arial"/>
                    <w:color w:val="1D384A"/>
                    <w:spacing w:val="-2"/>
                    <w:sz w:val="16"/>
                  </w:rPr>
                  <w:t> </w:t>
                </w:r>
                <w:r>
                  <w:rPr>
                    <w:rFonts w:ascii="Arial"/>
                    <w:color w:val="1D384A"/>
                    <w:sz w:val="16"/>
                  </w:rPr>
                  <w:t>Methodology</w:t>
                </w:r>
              </w:p>
            </w:txbxContent>
          </v:textbox>
          <w10:wrap type="none"/>
        </v:shape>
      </w:pict>
    </w:r>
    <w:r>
      <w:rPr/>
      <w:pict>
        <v:shape style="position:absolute;margin-left:562.434082pt;margin-top:755.7771pt;width:19.05pt;height:14.7pt;mso-position-horizontal-relative:page;mso-position-vertical-relative:page;z-index:-18129408" type="#_x0000_t202" id="docshape225"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62</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60128" id="docshape28" filled="true" fillcolor="#1d384a" stroked="false">
          <v:fill type="solid"/>
          <w10:wrap type="none"/>
        </v:rect>
      </w:pict>
    </w:r>
    <w:r>
      <w:rPr/>
      <w:pict>
        <v:shape style="position:absolute;margin-left:35pt;margin-top:747.644714pt;width:428.2pt;height:21.45pt;mso-position-horizontal-relative:page;mso-position-vertical-relative:page;z-index:-18159616" type="#_x0000_t202" id="docshape29"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2"/>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z w:val="16"/>
                  </w:rPr>
                  <w:t>Overview</w:t>
                </w:r>
              </w:p>
            </w:txbxContent>
          </v:textbox>
          <w10:wrap type="none"/>
        </v:shape>
      </w:pict>
    </w:r>
    <w:r>
      <w:rPr/>
      <w:pict>
        <v:shape style="position:absolute;margin-left:567.439514pt;margin-top:755.7771pt;width:14pt;height:14.7pt;mso-position-horizontal-relative:page;mso-position-vertical-relative:page;z-index:-18159104" type="#_x0000_t202" id="docshape30"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 ROMAN </w:instrText>
                </w:r>
                <w:r>
                  <w:rPr/>
                  <w:fldChar w:fldCharType="separate"/>
                </w:r>
                <w:r>
                  <w:rPr/>
                  <w:t>V</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428.2pt;height:21.45pt;mso-position-horizontal-relative:page;mso-position-vertical-relative:page;z-index:-18158592" type="#_x0000_t202" id="docshape32"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2"/>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z w:val="16"/>
                  </w:rPr>
                  <w:t>Overview</w:t>
                </w:r>
              </w:p>
            </w:txbxContent>
          </v:textbox>
          <w10:wrap type="none"/>
        </v:shape>
      </w:pict>
    </w:r>
    <w:r>
      <w:rPr/>
      <w:pict>
        <v:shape style="position:absolute;margin-left:560.43457pt;margin-top:755.7771pt;width:21.05pt;height:14.7pt;mso-position-horizontal-relative:page;mso-position-vertical-relative:page;z-index:-18158080" type="#_x0000_t202" id="docshape33"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 ROMAN </w:instrText>
                </w:r>
                <w:r>
                  <w:rPr/>
                  <w:fldChar w:fldCharType="separate"/>
                </w:r>
                <w:r>
                  <w:rPr/>
                  <w:t>VII</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428.2pt;height:21.45pt;mso-position-horizontal-relative:page;mso-position-vertical-relative:page;z-index:-18157568" type="#_x0000_t202" id="docshape47"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Evidence-Based</w:t>
                </w:r>
                <w:r>
                  <w:rPr>
                    <w:rFonts w:ascii="Arial"/>
                    <w:color w:val="1D384A"/>
                    <w:spacing w:val="-2"/>
                    <w:sz w:val="16"/>
                  </w:rPr>
                  <w:t> </w:t>
                </w:r>
                <w:r>
                  <w:rPr>
                    <w:rFonts w:ascii="Arial"/>
                    <w:color w:val="1D384A"/>
                    <w:sz w:val="16"/>
                  </w:rPr>
                  <w:t>Resource</w:t>
                </w:r>
                <w:r>
                  <w:rPr>
                    <w:rFonts w:ascii="Arial"/>
                    <w:color w:val="1D384A"/>
                    <w:spacing w:val="-2"/>
                    <w:sz w:val="16"/>
                  </w:rPr>
                  <w:t> </w:t>
                </w:r>
                <w:r>
                  <w:rPr>
                    <w:rFonts w:ascii="Arial"/>
                    <w:color w:val="1D384A"/>
                    <w:sz w:val="16"/>
                  </w:rPr>
                  <w:t>Guide</w:t>
                </w:r>
                <w:r>
                  <w:rPr>
                    <w:rFonts w:ascii="Arial"/>
                    <w:color w:val="1D384A"/>
                    <w:spacing w:val="-2"/>
                    <w:sz w:val="16"/>
                  </w:rPr>
                  <w:t> </w:t>
                </w:r>
                <w:r>
                  <w:rPr>
                    <w:rFonts w:ascii="Arial"/>
                    <w:color w:val="1D384A"/>
                    <w:sz w:val="16"/>
                  </w:rPr>
                  <w:t>Series</w:t>
                </w:r>
                <w:r>
                  <w:rPr>
                    <w:rFonts w:ascii="Arial"/>
                    <w:color w:val="1D384A"/>
                    <w:spacing w:val="-1"/>
                    <w:sz w:val="16"/>
                  </w:rPr>
                  <w:t> </w:t>
                </w:r>
                <w:r>
                  <w:rPr>
                    <w:rFonts w:ascii="Arial"/>
                    <w:color w:val="1D384A"/>
                    <w:sz w:val="16"/>
                  </w:rPr>
                  <w:t>Overview</w:t>
                </w:r>
              </w:p>
            </w:txbxContent>
          </v:textbox>
          <w10:wrap type="none"/>
        </v:shape>
      </w:pict>
    </w:r>
    <w:r>
      <w:rPr/>
      <w:pict>
        <v:shape style="position:absolute;margin-left:560.43457pt;margin-top:755.7771pt;width:21.05pt;height:14.7pt;mso-position-horizontal-relative:page;mso-position-vertical-relative:page;z-index:-18157056" type="#_x0000_t202" id="docshape48"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 ROMAN </w:instrText>
                </w:r>
                <w:r>
                  <w:rPr/>
                  <w:fldChar w:fldCharType="separate"/>
                </w:r>
                <w:r>
                  <w:rPr/>
                  <w:t>VII</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56544" id="docshape51" filled="true" fillcolor="#1d384a" stroked="false">
          <v:fill type="solid"/>
          <w10:wrap type="none"/>
        </v:rect>
      </w:pict>
    </w:r>
    <w:r>
      <w:rPr/>
      <w:pict>
        <v:shape style="position:absolute;margin-left:35pt;margin-top:747.644714pt;width:428.2pt;height:21.45pt;mso-position-horizontal-relative:page;mso-position-vertical-relative:page;z-index:-18156032" type="#_x0000_t202" id="docshape52"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Issue Brief</w:t>
                </w:r>
              </w:p>
            </w:txbxContent>
          </v:textbox>
          <w10:wrap type="none"/>
        </v:shape>
      </w:pict>
    </w:r>
    <w:r>
      <w:rPr/>
      <w:pict>
        <v:shape style="position:absolute;margin-left:568.437012pt;margin-top:755.7771pt;width:13.05pt;height:14.7pt;mso-position-horizontal-relative:page;mso-position-vertical-relative:page;z-index:-18155520" type="#_x0000_t202" id="docshape53"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54496" id="docshape64" filled="true" fillcolor="#1d384a" stroked="false">
          <v:fill type="solid"/>
          <w10:wrap type="none"/>
        </v:rect>
      </w:pict>
    </w:r>
    <w:r>
      <w:rPr/>
      <w:pict>
        <v:shape style="position:absolute;margin-left:35pt;margin-top:747.644714pt;width:428.2pt;height:21.45pt;mso-position-horizontal-relative:page;mso-position-vertical-relative:page;z-index:-18153984" type="#_x0000_t202" id="docshape65"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Issue Brief</w:t>
                </w:r>
              </w:p>
            </w:txbxContent>
          </v:textbox>
          <w10:wrap type="none"/>
        </v:shape>
      </w:pict>
    </w:r>
    <w:r>
      <w:rPr/>
      <w:pict>
        <v:shape style="position:absolute;margin-left:562.434082pt;margin-top:755.7771pt;width:19.05pt;height:14.7pt;mso-position-horizontal-relative:page;mso-position-vertical-relative:page;z-index:-18153472" type="#_x0000_t202" id="docshape66"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10</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pt;margin-top:747.644714pt;width:428.2pt;height:21.45pt;mso-position-horizontal-relative:page;mso-position-vertical-relative:page;z-index:-18152960" type="#_x0000_t202" id="docshape68"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What</w:t>
                </w:r>
                <w:r>
                  <w:rPr>
                    <w:rFonts w:ascii="Arial"/>
                    <w:color w:val="1D384A"/>
                    <w:spacing w:val="-8"/>
                    <w:sz w:val="16"/>
                  </w:rPr>
                  <w:t> </w:t>
                </w:r>
                <w:r>
                  <w:rPr>
                    <w:rFonts w:ascii="Arial"/>
                    <w:color w:val="1D384A"/>
                    <w:sz w:val="16"/>
                  </w:rPr>
                  <w:t>Research</w:t>
                </w:r>
                <w:r>
                  <w:rPr>
                    <w:rFonts w:ascii="Arial"/>
                    <w:color w:val="1D384A"/>
                    <w:spacing w:val="-10"/>
                    <w:sz w:val="16"/>
                  </w:rPr>
                  <w:t> </w:t>
                </w:r>
                <w:r>
                  <w:rPr>
                    <w:rFonts w:ascii="Arial"/>
                    <w:color w:val="1D384A"/>
                    <w:sz w:val="16"/>
                  </w:rPr>
                  <w:t>Tells</w:t>
                </w:r>
                <w:r>
                  <w:rPr>
                    <w:rFonts w:ascii="Arial"/>
                    <w:color w:val="1D384A"/>
                    <w:spacing w:val="-8"/>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8152448" type="#_x0000_t202" id="docshape69"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14</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744.700012pt;width:612pt;height:1pt;mso-position-horizontal-relative:page;mso-position-vertical-relative:page;z-index:-18151424" id="docshape79" filled="true" fillcolor="#1d384a" stroked="false">
          <v:fill type="solid"/>
          <w10:wrap type="none"/>
        </v:rect>
      </w:pict>
    </w:r>
    <w:r>
      <w:rPr/>
      <w:pict>
        <v:shape style="position:absolute;margin-left:35pt;margin-top:747.644714pt;width:428.2pt;height:21.45pt;mso-position-horizontal-relative:page;mso-position-vertical-relative:page;z-index:-18150912" type="#_x0000_t202" id="docshape80" filled="false" stroked="false">
          <v:textbox inset="0,0,0,0">
            <w:txbxContent>
              <w:p>
                <w:pPr>
                  <w:spacing w:before="14"/>
                  <w:ind w:left="20" w:right="0" w:firstLine="0"/>
                  <w:jc w:val="left"/>
                  <w:rPr>
                    <w:rFonts w:ascii="Arial"/>
                    <w:b/>
                    <w:sz w:val="18"/>
                  </w:rPr>
                </w:pPr>
                <w:r>
                  <w:rPr>
                    <w:rFonts w:ascii="Arial"/>
                    <w:b/>
                    <w:color w:val="CF382D"/>
                    <w:sz w:val="18"/>
                  </w:rPr>
                  <w:t>Prevention</w:t>
                </w:r>
                <w:r>
                  <w:rPr>
                    <w:rFonts w:ascii="Arial"/>
                    <w:b/>
                    <w:color w:val="CF382D"/>
                    <w:spacing w:val="-4"/>
                    <w:sz w:val="18"/>
                  </w:rPr>
                  <w:t> </w:t>
                </w:r>
                <w:r>
                  <w:rPr>
                    <w:rFonts w:ascii="Arial"/>
                    <w:b/>
                    <w:color w:val="CF382D"/>
                    <w:sz w:val="18"/>
                  </w:rPr>
                  <w:t>and</w:t>
                </w:r>
                <w:r>
                  <w:rPr>
                    <w:rFonts w:ascii="Arial"/>
                    <w:b/>
                    <w:color w:val="CF382D"/>
                    <w:spacing w:val="-3"/>
                    <w:sz w:val="18"/>
                  </w:rPr>
                  <w:t> </w:t>
                </w:r>
                <w:r>
                  <w:rPr>
                    <w:rFonts w:ascii="Arial"/>
                    <w:b/>
                    <w:color w:val="CF382D"/>
                    <w:sz w:val="18"/>
                  </w:rPr>
                  <w:t>Treatment</w:t>
                </w:r>
                <w:r>
                  <w:rPr>
                    <w:rFonts w:ascii="Arial"/>
                    <w:b/>
                    <w:color w:val="CF382D"/>
                    <w:spacing w:val="-4"/>
                    <w:sz w:val="18"/>
                  </w:rPr>
                  <w:t> </w:t>
                </w:r>
                <w:r>
                  <w:rPr>
                    <w:rFonts w:ascii="Arial"/>
                    <w:b/>
                    <w:color w:val="CF382D"/>
                    <w:sz w:val="18"/>
                  </w:rPr>
                  <w:t>of</w:t>
                </w:r>
                <w:r>
                  <w:rPr>
                    <w:rFonts w:ascii="Arial"/>
                    <w:b/>
                    <w:color w:val="CF382D"/>
                    <w:spacing w:val="-3"/>
                    <w:sz w:val="18"/>
                  </w:rPr>
                  <w:t> </w:t>
                </w:r>
                <w:r>
                  <w:rPr>
                    <w:rFonts w:ascii="Arial"/>
                    <w:b/>
                    <w:color w:val="CF382D"/>
                    <w:sz w:val="18"/>
                  </w:rPr>
                  <w:t>HIV</w:t>
                </w:r>
                <w:r>
                  <w:rPr>
                    <w:rFonts w:ascii="Arial"/>
                    <w:b/>
                    <w:color w:val="CF382D"/>
                    <w:spacing w:val="-10"/>
                    <w:sz w:val="18"/>
                  </w:rPr>
                  <w:t> </w:t>
                </w:r>
                <w:r>
                  <w:rPr>
                    <w:rFonts w:ascii="Arial"/>
                    <w:b/>
                    <w:color w:val="CF382D"/>
                    <w:sz w:val="18"/>
                  </w:rPr>
                  <w:t>Among</w:t>
                </w:r>
                <w:r>
                  <w:rPr>
                    <w:rFonts w:ascii="Arial"/>
                    <w:b/>
                    <w:color w:val="CF382D"/>
                    <w:spacing w:val="-4"/>
                    <w:sz w:val="18"/>
                  </w:rPr>
                  <w:t> </w:t>
                </w:r>
                <w:r>
                  <w:rPr>
                    <w:rFonts w:ascii="Arial"/>
                    <w:b/>
                    <w:color w:val="CF382D"/>
                    <w:sz w:val="18"/>
                  </w:rPr>
                  <w:t>People</w:t>
                </w:r>
                <w:r>
                  <w:rPr>
                    <w:rFonts w:ascii="Arial"/>
                    <w:b/>
                    <w:color w:val="CF382D"/>
                    <w:spacing w:val="-3"/>
                    <w:sz w:val="18"/>
                  </w:rPr>
                  <w:t> </w:t>
                </w:r>
                <w:r>
                  <w:rPr>
                    <w:rFonts w:ascii="Arial"/>
                    <w:b/>
                    <w:color w:val="CF382D"/>
                    <w:sz w:val="18"/>
                  </w:rPr>
                  <w:t>Living</w:t>
                </w:r>
                <w:r>
                  <w:rPr>
                    <w:rFonts w:ascii="Arial"/>
                    <w:b/>
                    <w:color w:val="CF382D"/>
                    <w:spacing w:val="-3"/>
                    <w:sz w:val="18"/>
                  </w:rPr>
                  <w:t> </w:t>
                </w:r>
                <w:r>
                  <w:rPr>
                    <w:rFonts w:ascii="Arial"/>
                    <w:b/>
                    <w:color w:val="CF382D"/>
                    <w:sz w:val="18"/>
                  </w:rPr>
                  <w:t>with</w:t>
                </w:r>
                <w:r>
                  <w:rPr>
                    <w:rFonts w:ascii="Arial"/>
                    <w:b/>
                    <w:color w:val="CF382D"/>
                    <w:spacing w:val="-3"/>
                    <w:sz w:val="18"/>
                  </w:rPr>
                  <w:t> </w:t>
                </w:r>
                <w:r>
                  <w:rPr>
                    <w:rFonts w:ascii="Arial"/>
                    <w:b/>
                    <w:color w:val="CF382D"/>
                    <w:sz w:val="18"/>
                  </w:rPr>
                  <w:t>Substance</w:t>
                </w:r>
                <w:r>
                  <w:rPr>
                    <w:rFonts w:ascii="Arial"/>
                    <w:b/>
                    <w:color w:val="CF382D"/>
                    <w:spacing w:val="-3"/>
                    <w:sz w:val="18"/>
                  </w:rPr>
                  <w:t> </w:t>
                </w:r>
                <w:r>
                  <w:rPr>
                    <w:rFonts w:ascii="Arial"/>
                    <w:b/>
                    <w:color w:val="CF382D"/>
                    <w:sz w:val="18"/>
                  </w:rPr>
                  <w:t>Use</w:t>
                </w:r>
                <w:r>
                  <w:rPr>
                    <w:rFonts w:ascii="Arial"/>
                    <w:b/>
                    <w:color w:val="CF382D"/>
                    <w:spacing w:val="-4"/>
                    <w:sz w:val="18"/>
                  </w:rPr>
                  <w:t> </w:t>
                </w:r>
                <w:r>
                  <w:rPr>
                    <w:rFonts w:ascii="Arial"/>
                    <w:b/>
                    <w:color w:val="CF382D"/>
                    <w:sz w:val="18"/>
                  </w:rPr>
                  <w:t>and/or</w:t>
                </w:r>
                <w:r>
                  <w:rPr>
                    <w:rFonts w:ascii="Arial"/>
                    <w:b/>
                    <w:color w:val="CF382D"/>
                    <w:spacing w:val="-4"/>
                    <w:sz w:val="18"/>
                  </w:rPr>
                  <w:t> </w:t>
                </w:r>
                <w:r>
                  <w:rPr>
                    <w:rFonts w:ascii="Arial"/>
                    <w:b/>
                    <w:color w:val="CF382D"/>
                    <w:sz w:val="18"/>
                  </w:rPr>
                  <w:t>Mental</w:t>
                </w:r>
                <w:r>
                  <w:rPr>
                    <w:rFonts w:ascii="Arial"/>
                    <w:b/>
                    <w:color w:val="CF382D"/>
                    <w:spacing w:val="-3"/>
                    <w:sz w:val="18"/>
                  </w:rPr>
                  <w:t> </w:t>
                </w:r>
                <w:r>
                  <w:rPr>
                    <w:rFonts w:ascii="Arial"/>
                    <w:b/>
                    <w:color w:val="CF382D"/>
                    <w:sz w:val="18"/>
                  </w:rPr>
                  <w:t>Disorders</w:t>
                </w:r>
              </w:p>
              <w:p>
                <w:pPr>
                  <w:spacing w:before="4"/>
                  <w:ind w:left="20" w:right="0" w:firstLine="0"/>
                  <w:jc w:val="left"/>
                  <w:rPr>
                    <w:rFonts w:ascii="Arial"/>
                    <w:sz w:val="16"/>
                  </w:rPr>
                </w:pPr>
                <w:r>
                  <w:rPr>
                    <w:rFonts w:ascii="Arial"/>
                    <w:color w:val="1D384A"/>
                    <w:sz w:val="16"/>
                  </w:rPr>
                  <w:t>What</w:t>
                </w:r>
                <w:r>
                  <w:rPr>
                    <w:rFonts w:ascii="Arial"/>
                    <w:color w:val="1D384A"/>
                    <w:spacing w:val="-8"/>
                    <w:sz w:val="16"/>
                  </w:rPr>
                  <w:t> </w:t>
                </w:r>
                <w:r>
                  <w:rPr>
                    <w:rFonts w:ascii="Arial"/>
                    <w:color w:val="1D384A"/>
                    <w:sz w:val="16"/>
                  </w:rPr>
                  <w:t>Research</w:t>
                </w:r>
                <w:r>
                  <w:rPr>
                    <w:rFonts w:ascii="Arial"/>
                    <w:color w:val="1D384A"/>
                    <w:spacing w:val="-10"/>
                    <w:sz w:val="16"/>
                  </w:rPr>
                  <w:t> </w:t>
                </w:r>
                <w:r>
                  <w:rPr>
                    <w:rFonts w:ascii="Arial"/>
                    <w:color w:val="1D384A"/>
                    <w:sz w:val="16"/>
                  </w:rPr>
                  <w:t>Tells</w:t>
                </w:r>
                <w:r>
                  <w:rPr>
                    <w:rFonts w:ascii="Arial"/>
                    <w:color w:val="1D384A"/>
                    <w:spacing w:val="-8"/>
                    <w:sz w:val="16"/>
                  </w:rPr>
                  <w:t> </w:t>
                </w:r>
                <w:r>
                  <w:rPr>
                    <w:rFonts w:ascii="Arial"/>
                    <w:color w:val="1D384A"/>
                    <w:sz w:val="16"/>
                  </w:rPr>
                  <w:t>Us</w:t>
                </w:r>
              </w:p>
            </w:txbxContent>
          </v:textbox>
          <w10:wrap type="none"/>
        </v:shape>
      </w:pict>
    </w:r>
    <w:r>
      <w:rPr/>
      <w:pict>
        <v:shape style="position:absolute;margin-left:562.434082pt;margin-top:755.7771pt;width:19.05pt;height:14.7pt;mso-position-horizontal-relative:page;mso-position-vertical-relative:page;z-index:-18150400" type="#_x0000_t202" id="docshape81" filled="false" stroked="false">
          <v:textbox inset="0,0,0,0">
            <w:txbxContent>
              <w:p>
                <w:pPr>
                  <w:spacing w:before="20"/>
                  <w:ind w:left="60" w:right="0" w:firstLine="0"/>
                  <w:jc w:val="left"/>
                  <w:rPr>
                    <w:rFonts w:ascii="Arial Black"/>
                    <w:sz w:val="18"/>
                  </w:rPr>
                </w:pPr>
                <w:r>
                  <w:rPr/>
                  <w:fldChar w:fldCharType="begin"/>
                </w:r>
                <w:r>
                  <w:rPr>
                    <w:rFonts w:ascii="Arial Black"/>
                    <w:color w:val="1D384A"/>
                    <w:sz w:val="18"/>
                  </w:rPr>
                  <w:instrText> PAGE </w:instrText>
                </w:r>
                <w:r>
                  <w:rPr/>
                  <w:fldChar w:fldCharType="separate"/>
                </w:r>
                <w:r>
                  <w:rPr/>
                  <w:t>15</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8164224" id="docshape11" filled="true" fillcolor="#1d384a" stroked="false">
          <v:fill type="solid"/>
          <w10:wrap type="none"/>
        </v:rect>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38pt;width:612.000029pt;height:19.680001pt;mso-position-horizontal-relative:page;mso-position-vertical-relative:page;z-index:-18151936" id="docshape78" filled="true" fillcolor="#1d384a" stroked="false">
          <v:fill type="solid"/>
          <w10:wrap type="none"/>
        </v:rect>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38pt;width:612.000029pt;height:19.680001pt;mso-position-horizontal-relative:page;mso-position-vertical-relative:page;z-index:-18148864" id="docshape122" filled="true" fillcolor="#1d384a" stroked="false">
          <v:fill type="solid"/>
          <w10:wrap type="none"/>
        </v:rect>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38pt;width:612.000029pt;height:19.680001pt;mso-position-horizontal-relative:page;mso-position-vertical-relative:page;z-index:-18145280" id="docshape149" filled="true" fillcolor="#1d384a" stroked="false">
          <v:fill type="solid"/>
          <w10:wrap type="none"/>
        </v:rect>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38pt;width:612.000029pt;height:19.680001pt;mso-position-horizontal-relative:page;mso-position-vertical-relative:page;z-index:-18141696" id="docshape164" filled="true" fillcolor="#1d384a" stroked="false">
          <v:fill type="solid"/>
          <w10:wrap type="none"/>
        </v:rect>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38pt;width:612.000029pt;height:19.680001pt;mso-position-horizontal-relative:page;mso-position-vertical-relative:page;z-index:-18138112" id="docshape192" filled="true" fillcolor="#1d384a" stroked="false">
          <v:fill type="solid"/>
          <w10:wrap type="none"/>
        </v:rect>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8136064" id="docshapegroup207" coordorigin="0,0" coordsize="12240,394">
          <v:rect style="position:absolute;left:6480;top:0;width:5760;height:394" id="docshape208" filled="true" fillcolor="#1d384a" stroked="false">
            <v:fill type="solid"/>
          </v:rect>
          <v:rect style="position:absolute;left:0;top:0;width:6480;height:394" id="docshape209" filled="true" fillcolor="#cf382d" stroked="false">
            <v:fill type="solid"/>
          </v:rect>
          <w10:wrap type="non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pt;width:612pt;height:19.68pt;mso-position-horizontal-relative:page;mso-position-vertical-relative:page;z-index:-18163712" id="docshape13" filled="true" fillcolor="#1d384a" stroked="false">
          <v:fill type="solid"/>
          <w10:wrap type="none"/>
        </v:rect>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pt;margin-top:0pt;width:612pt;height:19.7pt;mso-position-horizontal-relative:page;mso-position-vertical-relative:page;z-index:-18134016" id="docshapegroup214" coordorigin="0,0" coordsize="12240,394">
          <v:rect style="position:absolute;left:6480;top:0;width:5760;height:394" id="docshape215" filled="true" fillcolor="#1d384a" stroked="false">
            <v:fill type="solid"/>
          </v:rect>
          <v:rect style="position:absolute;left:0;top:0;width:6480;height:394" id="docshape216" filled="true" fillcolor="#cf382d" stroked="false">
            <v:fill type="solid"/>
          </v:rect>
          <w10:wrap type="none"/>
        </v:group>
      </w:pict>
    </w:r>
    <w:r>
      <w:rPr/>
      <w:pict>
        <v:rect style="position:absolute;margin-left:0pt;margin-top:94.329102pt;width:612pt;height:1pt;mso-position-horizontal-relative:page;mso-position-vertical-relative:page;z-index:-18133504" id="docshape217" filled="true" fillcolor="#ce372e" stroked="false">
          <v:fill type="solid"/>
          <w10:wrap type="none"/>
        </v:rect>
      </w:pict>
    </w:r>
    <w:r>
      <w:rPr/>
      <w:pict>
        <v:shape style="position:absolute;margin-left:35pt;margin-top:45.548882pt;width:463pt;height:30.25pt;mso-position-horizontal-relative:page;mso-position-vertical-relative:page;z-index:-18132992" type="#_x0000_t202" id="docshape218" filled="false" stroked="false">
          <v:textbox inset="0,0,0,0">
            <w:txbxContent>
              <w:p>
                <w:pPr>
                  <w:spacing w:before="20"/>
                  <w:ind w:left="20" w:right="0" w:firstLine="0"/>
                  <w:jc w:val="left"/>
                  <w:rPr>
                    <w:rFonts w:ascii="Arial Black"/>
                    <w:sz w:val="40"/>
                  </w:rPr>
                </w:pPr>
                <w:r>
                  <w:rPr>
                    <w:rFonts w:ascii="Arial Black"/>
                    <w:color w:val="1C384B"/>
                    <w:spacing w:val="-2"/>
                    <w:sz w:val="40"/>
                  </w:rPr>
                  <w:t>Appendix</w:t>
                </w:r>
                <w:r>
                  <w:rPr>
                    <w:rFonts w:ascii="Arial Black"/>
                    <w:color w:val="1C384B"/>
                    <w:spacing w:val="-31"/>
                    <w:sz w:val="40"/>
                  </w:rPr>
                  <w:t> </w:t>
                </w:r>
                <w:r>
                  <w:rPr>
                    <w:rFonts w:ascii="Arial Black"/>
                    <w:color w:val="1C384B"/>
                    <w:spacing w:val="-1"/>
                    <w:sz w:val="40"/>
                  </w:rPr>
                  <w:t>2:</w:t>
                </w:r>
                <w:r>
                  <w:rPr>
                    <w:rFonts w:ascii="Arial Black"/>
                    <w:color w:val="1C384B"/>
                    <w:spacing w:val="-31"/>
                    <w:sz w:val="40"/>
                  </w:rPr>
                  <w:t> </w:t>
                </w:r>
                <w:r>
                  <w:rPr>
                    <w:rFonts w:ascii="Arial Black"/>
                    <w:color w:val="1C384B"/>
                    <w:spacing w:val="-1"/>
                    <w:sz w:val="40"/>
                  </w:rPr>
                  <w:t>Evidence</w:t>
                </w:r>
                <w:r>
                  <w:rPr>
                    <w:rFonts w:ascii="Arial Black"/>
                    <w:color w:val="1C384B"/>
                    <w:spacing w:val="-31"/>
                    <w:sz w:val="40"/>
                  </w:rPr>
                  <w:t> </w:t>
                </w:r>
                <w:r>
                  <w:rPr>
                    <w:rFonts w:ascii="Arial Black"/>
                    <w:color w:val="1C384B"/>
                    <w:spacing w:val="-1"/>
                    <w:sz w:val="40"/>
                  </w:rPr>
                  <w:t>Review</w:t>
                </w:r>
                <w:r>
                  <w:rPr>
                    <w:rFonts w:ascii="Arial Black"/>
                    <w:color w:val="1C384B"/>
                    <w:spacing w:val="-31"/>
                    <w:sz w:val="40"/>
                  </w:rPr>
                  <w:t> </w:t>
                </w:r>
                <w:r>
                  <w:rPr>
                    <w:rFonts w:ascii="Arial Black"/>
                    <w:color w:val="1C384B"/>
                    <w:spacing w:val="-1"/>
                    <w:sz w:val="40"/>
                  </w:rPr>
                  <w:t>Methodology</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38pt;width:612.000029pt;height:19.680001pt;mso-position-horizontal-relative:page;mso-position-vertical-relative:page;z-index:-18130944" id="docshape222" filled="true" fillcolor="#1d384a" stroked="false">
          <v:fill type="solid"/>
          <w10:wrap type="none"/>
        </v:rect>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0pt;margin-top:-.000038pt;width:612.000029pt;height:19.680001pt;mso-position-horizontal-relative:page;mso-position-vertical-relative:page;z-index:-18155008" id="docshape63" filled="true" fillcolor="#1d384a" stroked="false">
          <v:fill type="solid"/>
          <w10:wrap type="none"/>
        </v:rect>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
    <w:multiLevelType w:val="hybridMultilevel"/>
    <w:lvl w:ilvl="0">
      <w:start w:val="0"/>
      <w:numFmt w:val="bullet"/>
      <w:lvlText w:val=""/>
      <w:lvlJc w:val="left"/>
      <w:pPr>
        <w:ind w:left="407"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7" w:hanging="360"/>
      </w:pPr>
      <w:rPr>
        <w:rFonts w:hint="default"/>
        <w:lang w:val="en-US" w:eastAsia="en-US" w:bidi="ar-SA"/>
      </w:rPr>
    </w:lvl>
    <w:lvl w:ilvl="3">
      <w:start w:val="0"/>
      <w:numFmt w:val="bullet"/>
      <w:lvlText w:val="•"/>
      <w:lvlJc w:val="left"/>
      <w:pPr>
        <w:ind w:left="1460" w:hanging="360"/>
      </w:pPr>
      <w:rPr>
        <w:rFonts w:hint="default"/>
        <w:lang w:val="en-US" w:eastAsia="en-US" w:bidi="ar-SA"/>
      </w:rPr>
    </w:lvl>
    <w:lvl w:ilvl="4">
      <w:start w:val="0"/>
      <w:numFmt w:val="bullet"/>
      <w:lvlText w:val="•"/>
      <w:lvlJc w:val="left"/>
      <w:pPr>
        <w:ind w:left="1814" w:hanging="360"/>
      </w:pPr>
      <w:rPr>
        <w:rFonts w:hint="default"/>
        <w:lang w:val="en-US" w:eastAsia="en-US" w:bidi="ar-SA"/>
      </w:rPr>
    </w:lvl>
    <w:lvl w:ilvl="5">
      <w:start w:val="0"/>
      <w:numFmt w:val="bullet"/>
      <w:lvlText w:val="•"/>
      <w:lvlJc w:val="left"/>
      <w:pPr>
        <w:ind w:left="2167" w:hanging="360"/>
      </w:pPr>
      <w:rPr>
        <w:rFonts w:hint="default"/>
        <w:lang w:val="en-US" w:eastAsia="en-US" w:bidi="ar-SA"/>
      </w:rPr>
    </w:lvl>
    <w:lvl w:ilvl="6">
      <w:start w:val="0"/>
      <w:numFmt w:val="bullet"/>
      <w:lvlText w:val="•"/>
      <w:lvlJc w:val="left"/>
      <w:pPr>
        <w:ind w:left="2521" w:hanging="360"/>
      </w:pPr>
      <w:rPr>
        <w:rFonts w:hint="default"/>
        <w:lang w:val="en-US" w:eastAsia="en-US" w:bidi="ar-SA"/>
      </w:rPr>
    </w:lvl>
    <w:lvl w:ilvl="7">
      <w:start w:val="0"/>
      <w:numFmt w:val="bullet"/>
      <w:lvlText w:val="•"/>
      <w:lvlJc w:val="left"/>
      <w:pPr>
        <w:ind w:left="2874" w:hanging="360"/>
      </w:pPr>
      <w:rPr>
        <w:rFonts w:hint="default"/>
        <w:lang w:val="en-US" w:eastAsia="en-US" w:bidi="ar-SA"/>
      </w:rPr>
    </w:lvl>
    <w:lvl w:ilvl="8">
      <w:start w:val="0"/>
      <w:numFmt w:val="bullet"/>
      <w:lvlText w:val="•"/>
      <w:lvlJc w:val="left"/>
      <w:pPr>
        <w:ind w:left="3228" w:hanging="360"/>
      </w:pPr>
      <w:rPr>
        <w:rFonts w:hint="default"/>
        <w:lang w:val="en-US" w:eastAsia="en-US" w:bidi="ar-SA"/>
      </w:rPr>
    </w:lvl>
  </w:abstractNum>
  <w:abstractNum w:abstractNumId="59">
    <w:multiLevelType w:val="hybridMultilevel"/>
    <w:lvl w:ilvl="0">
      <w:start w:val="0"/>
      <w:numFmt w:val="bullet"/>
      <w:lvlText w:val=""/>
      <w:lvlJc w:val="left"/>
      <w:pPr>
        <w:ind w:left="392"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2" w:hanging="360"/>
      </w:pPr>
      <w:rPr>
        <w:rFonts w:hint="default"/>
        <w:lang w:val="en-US" w:eastAsia="en-US" w:bidi="ar-SA"/>
      </w:rPr>
    </w:lvl>
    <w:lvl w:ilvl="2">
      <w:start w:val="0"/>
      <w:numFmt w:val="bullet"/>
      <w:lvlText w:val="•"/>
      <w:lvlJc w:val="left"/>
      <w:pPr>
        <w:ind w:left="1084" w:hanging="360"/>
      </w:pPr>
      <w:rPr>
        <w:rFonts w:hint="default"/>
        <w:lang w:val="en-US" w:eastAsia="en-US" w:bidi="ar-SA"/>
      </w:rPr>
    </w:lvl>
    <w:lvl w:ilvl="3">
      <w:start w:val="0"/>
      <w:numFmt w:val="bullet"/>
      <w:lvlText w:val="•"/>
      <w:lvlJc w:val="left"/>
      <w:pPr>
        <w:ind w:left="1427" w:hanging="360"/>
      </w:pPr>
      <w:rPr>
        <w:rFonts w:hint="default"/>
        <w:lang w:val="en-US" w:eastAsia="en-US" w:bidi="ar-SA"/>
      </w:rPr>
    </w:lvl>
    <w:lvl w:ilvl="4">
      <w:start w:val="0"/>
      <w:numFmt w:val="bullet"/>
      <w:lvlText w:val="•"/>
      <w:lvlJc w:val="left"/>
      <w:pPr>
        <w:ind w:left="1769" w:hanging="360"/>
      </w:pPr>
      <w:rPr>
        <w:rFonts w:hint="default"/>
        <w:lang w:val="en-US" w:eastAsia="en-US" w:bidi="ar-SA"/>
      </w:rPr>
    </w:lvl>
    <w:lvl w:ilvl="5">
      <w:start w:val="0"/>
      <w:numFmt w:val="bullet"/>
      <w:lvlText w:val="•"/>
      <w:lvlJc w:val="left"/>
      <w:pPr>
        <w:ind w:left="2112" w:hanging="360"/>
      </w:pPr>
      <w:rPr>
        <w:rFonts w:hint="default"/>
        <w:lang w:val="en-US" w:eastAsia="en-US" w:bidi="ar-SA"/>
      </w:rPr>
    </w:lvl>
    <w:lvl w:ilvl="6">
      <w:start w:val="0"/>
      <w:numFmt w:val="bullet"/>
      <w:lvlText w:val="•"/>
      <w:lvlJc w:val="left"/>
      <w:pPr>
        <w:ind w:left="2454" w:hanging="360"/>
      </w:pPr>
      <w:rPr>
        <w:rFonts w:hint="default"/>
        <w:lang w:val="en-US" w:eastAsia="en-US" w:bidi="ar-SA"/>
      </w:rPr>
    </w:lvl>
    <w:lvl w:ilvl="7">
      <w:start w:val="0"/>
      <w:numFmt w:val="bullet"/>
      <w:lvlText w:val="•"/>
      <w:lvlJc w:val="left"/>
      <w:pPr>
        <w:ind w:left="2796" w:hanging="360"/>
      </w:pPr>
      <w:rPr>
        <w:rFonts w:hint="default"/>
        <w:lang w:val="en-US" w:eastAsia="en-US" w:bidi="ar-SA"/>
      </w:rPr>
    </w:lvl>
    <w:lvl w:ilvl="8">
      <w:start w:val="0"/>
      <w:numFmt w:val="bullet"/>
      <w:lvlText w:val="•"/>
      <w:lvlJc w:val="left"/>
      <w:pPr>
        <w:ind w:left="3139" w:hanging="360"/>
      </w:pPr>
      <w:rPr>
        <w:rFonts w:hint="default"/>
        <w:lang w:val="en-US" w:eastAsia="en-US" w:bidi="ar-SA"/>
      </w:rPr>
    </w:lvl>
  </w:abstractNum>
  <w:abstractNum w:abstractNumId="58">
    <w:multiLevelType w:val="hybridMultilevel"/>
    <w:lvl w:ilvl="0">
      <w:start w:val="0"/>
      <w:numFmt w:val="bullet"/>
      <w:lvlText w:val=""/>
      <w:lvlJc w:val="left"/>
      <w:pPr>
        <w:ind w:left="407"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7" w:hanging="360"/>
      </w:pPr>
      <w:rPr>
        <w:rFonts w:hint="default"/>
        <w:lang w:val="en-US" w:eastAsia="en-US" w:bidi="ar-SA"/>
      </w:rPr>
    </w:lvl>
    <w:lvl w:ilvl="3">
      <w:start w:val="0"/>
      <w:numFmt w:val="bullet"/>
      <w:lvlText w:val="•"/>
      <w:lvlJc w:val="left"/>
      <w:pPr>
        <w:ind w:left="1460" w:hanging="360"/>
      </w:pPr>
      <w:rPr>
        <w:rFonts w:hint="default"/>
        <w:lang w:val="en-US" w:eastAsia="en-US" w:bidi="ar-SA"/>
      </w:rPr>
    </w:lvl>
    <w:lvl w:ilvl="4">
      <w:start w:val="0"/>
      <w:numFmt w:val="bullet"/>
      <w:lvlText w:val="•"/>
      <w:lvlJc w:val="left"/>
      <w:pPr>
        <w:ind w:left="1814" w:hanging="360"/>
      </w:pPr>
      <w:rPr>
        <w:rFonts w:hint="default"/>
        <w:lang w:val="en-US" w:eastAsia="en-US" w:bidi="ar-SA"/>
      </w:rPr>
    </w:lvl>
    <w:lvl w:ilvl="5">
      <w:start w:val="0"/>
      <w:numFmt w:val="bullet"/>
      <w:lvlText w:val="•"/>
      <w:lvlJc w:val="left"/>
      <w:pPr>
        <w:ind w:left="2167" w:hanging="360"/>
      </w:pPr>
      <w:rPr>
        <w:rFonts w:hint="default"/>
        <w:lang w:val="en-US" w:eastAsia="en-US" w:bidi="ar-SA"/>
      </w:rPr>
    </w:lvl>
    <w:lvl w:ilvl="6">
      <w:start w:val="0"/>
      <w:numFmt w:val="bullet"/>
      <w:lvlText w:val="•"/>
      <w:lvlJc w:val="left"/>
      <w:pPr>
        <w:ind w:left="2521" w:hanging="360"/>
      </w:pPr>
      <w:rPr>
        <w:rFonts w:hint="default"/>
        <w:lang w:val="en-US" w:eastAsia="en-US" w:bidi="ar-SA"/>
      </w:rPr>
    </w:lvl>
    <w:lvl w:ilvl="7">
      <w:start w:val="0"/>
      <w:numFmt w:val="bullet"/>
      <w:lvlText w:val="•"/>
      <w:lvlJc w:val="left"/>
      <w:pPr>
        <w:ind w:left="2874" w:hanging="360"/>
      </w:pPr>
      <w:rPr>
        <w:rFonts w:hint="default"/>
        <w:lang w:val="en-US" w:eastAsia="en-US" w:bidi="ar-SA"/>
      </w:rPr>
    </w:lvl>
    <w:lvl w:ilvl="8">
      <w:start w:val="0"/>
      <w:numFmt w:val="bullet"/>
      <w:lvlText w:val="•"/>
      <w:lvlJc w:val="left"/>
      <w:pPr>
        <w:ind w:left="3228" w:hanging="360"/>
      </w:pPr>
      <w:rPr>
        <w:rFonts w:hint="default"/>
        <w:lang w:val="en-US" w:eastAsia="en-US" w:bidi="ar-SA"/>
      </w:rPr>
    </w:lvl>
  </w:abstractNum>
  <w:abstractNum w:abstractNumId="57">
    <w:multiLevelType w:val="hybridMultilevel"/>
    <w:lvl w:ilvl="0">
      <w:start w:val="0"/>
      <w:numFmt w:val="bullet"/>
      <w:lvlText w:val=""/>
      <w:lvlJc w:val="left"/>
      <w:pPr>
        <w:ind w:left="392"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2" w:hanging="360"/>
      </w:pPr>
      <w:rPr>
        <w:rFonts w:hint="default"/>
        <w:lang w:val="en-US" w:eastAsia="en-US" w:bidi="ar-SA"/>
      </w:rPr>
    </w:lvl>
    <w:lvl w:ilvl="2">
      <w:start w:val="0"/>
      <w:numFmt w:val="bullet"/>
      <w:lvlText w:val="•"/>
      <w:lvlJc w:val="left"/>
      <w:pPr>
        <w:ind w:left="1084" w:hanging="360"/>
      </w:pPr>
      <w:rPr>
        <w:rFonts w:hint="default"/>
        <w:lang w:val="en-US" w:eastAsia="en-US" w:bidi="ar-SA"/>
      </w:rPr>
    </w:lvl>
    <w:lvl w:ilvl="3">
      <w:start w:val="0"/>
      <w:numFmt w:val="bullet"/>
      <w:lvlText w:val="•"/>
      <w:lvlJc w:val="left"/>
      <w:pPr>
        <w:ind w:left="1427" w:hanging="360"/>
      </w:pPr>
      <w:rPr>
        <w:rFonts w:hint="default"/>
        <w:lang w:val="en-US" w:eastAsia="en-US" w:bidi="ar-SA"/>
      </w:rPr>
    </w:lvl>
    <w:lvl w:ilvl="4">
      <w:start w:val="0"/>
      <w:numFmt w:val="bullet"/>
      <w:lvlText w:val="•"/>
      <w:lvlJc w:val="left"/>
      <w:pPr>
        <w:ind w:left="1769" w:hanging="360"/>
      </w:pPr>
      <w:rPr>
        <w:rFonts w:hint="default"/>
        <w:lang w:val="en-US" w:eastAsia="en-US" w:bidi="ar-SA"/>
      </w:rPr>
    </w:lvl>
    <w:lvl w:ilvl="5">
      <w:start w:val="0"/>
      <w:numFmt w:val="bullet"/>
      <w:lvlText w:val="•"/>
      <w:lvlJc w:val="left"/>
      <w:pPr>
        <w:ind w:left="2112" w:hanging="360"/>
      </w:pPr>
      <w:rPr>
        <w:rFonts w:hint="default"/>
        <w:lang w:val="en-US" w:eastAsia="en-US" w:bidi="ar-SA"/>
      </w:rPr>
    </w:lvl>
    <w:lvl w:ilvl="6">
      <w:start w:val="0"/>
      <w:numFmt w:val="bullet"/>
      <w:lvlText w:val="•"/>
      <w:lvlJc w:val="left"/>
      <w:pPr>
        <w:ind w:left="2454" w:hanging="360"/>
      </w:pPr>
      <w:rPr>
        <w:rFonts w:hint="default"/>
        <w:lang w:val="en-US" w:eastAsia="en-US" w:bidi="ar-SA"/>
      </w:rPr>
    </w:lvl>
    <w:lvl w:ilvl="7">
      <w:start w:val="0"/>
      <w:numFmt w:val="bullet"/>
      <w:lvlText w:val="•"/>
      <w:lvlJc w:val="left"/>
      <w:pPr>
        <w:ind w:left="2796" w:hanging="360"/>
      </w:pPr>
      <w:rPr>
        <w:rFonts w:hint="default"/>
        <w:lang w:val="en-US" w:eastAsia="en-US" w:bidi="ar-SA"/>
      </w:rPr>
    </w:lvl>
    <w:lvl w:ilvl="8">
      <w:start w:val="0"/>
      <w:numFmt w:val="bullet"/>
      <w:lvlText w:val="•"/>
      <w:lvlJc w:val="left"/>
      <w:pPr>
        <w:ind w:left="3139" w:hanging="360"/>
      </w:pPr>
      <w:rPr>
        <w:rFonts w:hint="default"/>
        <w:lang w:val="en-US" w:eastAsia="en-US" w:bidi="ar-SA"/>
      </w:rPr>
    </w:lvl>
  </w:abstractNum>
  <w:abstractNum w:abstractNumId="56">
    <w:multiLevelType w:val="hybridMultilevel"/>
    <w:lvl w:ilvl="0">
      <w:start w:val="0"/>
      <w:numFmt w:val="bullet"/>
      <w:lvlText w:val=""/>
      <w:lvlJc w:val="left"/>
      <w:pPr>
        <w:ind w:left="407"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7" w:hanging="360"/>
      </w:pPr>
      <w:rPr>
        <w:rFonts w:hint="default"/>
        <w:lang w:val="en-US" w:eastAsia="en-US" w:bidi="ar-SA"/>
      </w:rPr>
    </w:lvl>
    <w:lvl w:ilvl="3">
      <w:start w:val="0"/>
      <w:numFmt w:val="bullet"/>
      <w:lvlText w:val="•"/>
      <w:lvlJc w:val="left"/>
      <w:pPr>
        <w:ind w:left="1460" w:hanging="360"/>
      </w:pPr>
      <w:rPr>
        <w:rFonts w:hint="default"/>
        <w:lang w:val="en-US" w:eastAsia="en-US" w:bidi="ar-SA"/>
      </w:rPr>
    </w:lvl>
    <w:lvl w:ilvl="4">
      <w:start w:val="0"/>
      <w:numFmt w:val="bullet"/>
      <w:lvlText w:val="•"/>
      <w:lvlJc w:val="left"/>
      <w:pPr>
        <w:ind w:left="1814" w:hanging="360"/>
      </w:pPr>
      <w:rPr>
        <w:rFonts w:hint="default"/>
        <w:lang w:val="en-US" w:eastAsia="en-US" w:bidi="ar-SA"/>
      </w:rPr>
    </w:lvl>
    <w:lvl w:ilvl="5">
      <w:start w:val="0"/>
      <w:numFmt w:val="bullet"/>
      <w:lvlText w:val="•"/>
      <w:lvlJc w:val="left"/>
      <w:pPr>
        <w:ind w:left="2167" w:hanging="360"/>
      </w:pPr>
      <w:rPr>
        <w:rFonts w:hint="default"/>
        <w:lang w:val="en-US" w:eastAsia="en-US" w:bidi="ar-SA"/>
      </w:rPr>
    </w:lvl>
    <w:lvl w:ilvl="6">
      <w:start w:val="0"/>
      <w:numFmt w:val="bullet"/>
      <w:lvlText w:val="•"/>
      <w:lvlJc w:val="left"/>
      <w:pPr>
        <w:ind w:left="2521" w:hanging="360"/>
      </w:pPr>
      <w:rPr>
        <w:rFonts w:hint="default"/>
        <w:lang w:val="en-US" w:eastAsia="en-US" w:bidi="ar-SA"/>
      </w:rPr>
    </w:lvl>
    <w:lvl w:ilvl="7">
      <w:start w:val="0"/>
      <w:numFmt w:val="bullet"/>
      <w:lvlText w:val="•"/>
      <w:lvlJc w:val="left"/>
      <w:pPr>
        <w:ind w:left="2874" w:hanging="360"/>
      </w:pPr>
      <w:rPr>
        <w:rFonts w:hint="default"/>
        <w:lang w:val="en-US" w:eastAsia="en-US" w:bidi="ar-SA"/>
      </w:rPr>
    </w:lvl>
    <w:lvl w:ilvl="8">
      <w:start w:val="0"/>
      <w:numFmt w:val="bullet"/>
      <w:lvlText w:val="•"/>
      <w:lvlJc w:val="left"/>
      <w:pPr>
        <w:ind w:left="3228" w:hanging="360"/>
      </w:pPr>
      <w:rPr>
        <w:rFonts w:hint="default"/>
        <w:lang w:val="en-US" w:eastAsia="en-US" w:bidi="ar-SA"/>
      </w:rPr>
    </w:lvl>
  </w:abstractNum>
  <w:abstractNum w:abstractNumId="55">
    <w:multiLevelType w:val="hybridMultilevel"/>
    <w:lvl w:ilvl="0">
      <w:start w:val="0"/>
      <w:numFmt w:val="bullet"/>
      <w:lvlText w:val=""/>
      <w:lvlJc w:val="left"/>
      <w:pPr>
        <w:ind w:left="392"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2" w:hanging="360"/>
      </w:pPr>
      <w:rPr>
        <w:rFonts w:hint="default"/>
        <w:lang w:val="en-US" w:eastAsia="en-US" w:bidi="ar-SA"/>
      </w:rPr>
    </w:lvl>
    <w:lvl w:ilvl="2">
      <w:start w:val="0"/>
      <w:numFmt w:val="bullet"/>
      <w:lvlText w:val="•"/>
      <w:lvlJc w:val="left"/>
      <w:pPr>
        <w:ind w:left="1084" w:hanging="360"/>
      </w:pPr>
      <w:rPr>
        <w:rFonts w:hint="default"/>
        <w:lang w:val="en-US" w:eastAsia="en-US" w:bidi="ar-SA"/>
      </w:rPr>
    </w:lvl>
    <w:lvl w:ilvl="3">
      <w:start w:val="0"/>
      <w:numFmt w:val="bullet"/>
      <w:lvlText w:val="•"/>
      <w:lvlJc w:val="left"/>
      <w:pPr>
        <w:ind w:left="1427" w:hanging="360"/>
      </w:pPr>
      <w:rPr>
        <w:rFonts w:hint="default"/>
        <w:lang w:val="en-US" w:eastAsia="en-US" w:bidi="ar-SA"/>
      </w:rPr>
    </w:lvl>
    <w:lvl w:ilvl="4">
      <w:start w:val="0"/>
      <w:numFmt w:val="bullet"/>
      <w:lvlText w:val="•"/>
      <w:lvlJc w:val="left"/>
      <w:pPr>
        <w:ind w:left="1769" w:hanging="360"/>
      </w:pPr>
      <w:rPr>
        <w:rFonts w:hint="default"/>
        <w:lang w:val="en-US" w:eastAsia="en-US" w:bidi="ar-SA"/>
      </w:rPr>
    </w:lvl>
    <w:lvl w:ilvl="5">
      <w:start w:val="0"/>
      <w:numFmt w:val="bullet"/>
      <w:lvlText w:val="•"/>
      <w:lvlJc w:val="left"/>
      <w:pPr>
        <w:ind w:left="2112" w:hanging="360"/>
      </w:pPr>
      <w:rPr>
        <w:rFonts w:hint="default"/>
        <w:lang w:val="en-US" w:eastAsia="en-US" w:bidi="ar-SA"/>
      </w:rPr>
    </w:lvl>
    <w:lvl w:ilvl="6">
      <w:start w:val="0"/>
      <w:numFmt w:val="bullet"/>
      <w:lvlText w:val="•"/>
      <w:lvlJc w:val="left"/>
      <w:pPr>
        <w:ind w:left="2454" w:hanging="360"/>
      </w:pPr>
      <w:rPr>
        <w:rFonts w:hint="default"/>
        <w:lang w:val="en-US" w:eastAsia="en-US" w:bidi="ar-SA"/>
      </w:rPr>
    </w:lvl>
    <w:lvl w:ilvl="7">
      <w:start w:val="0"/>
      <w:numFmt w:val="bullet"/>
      <w:lvlText w:val="•"/>
      <w:lvlJc w:val="left"/>
      <w:pPr>
        <w:ind w:left="2796" w:hanging="360"/>
      </w:pPr>
      <w:rPr>
        <w:rFonts w:hint="default"/>
        <w:lang w:val="en-US" w:eastAsia="en-US" w:bidi="ar-SA"/>
      </w:rPr>
    </w:lvl>
    <w:lvl w:ilvl="8">
      <w:start w:val="0"/>
      <w:numFmt w:val="bullet"/>
      <w:lvlText w:val="•"/>
      <w:lvlJc w:val="left"/>
      <w:pPr>
        <w:ind w:left="3139" w:hanging="360"/>
      </w:pPr>
      <w:rPr>
        <w:rFonts w:hint="default"/>
        <w:lang w:val="en-US" w:eastAsia="en-US" w:bidi="ar-SA"/>
      </w:rPr>
    </w:lvl>
  </w:abstractNum>
  <w:abstractNum w:abstractNumId="54">
    <w:multiLevelType w:val="hybridMultilevel"/>
    <w:lvl w:ilvl="0">
      <w:start w:val="0"/>
      <w:numFmt w:val="bullet"/>
      <w:lvlText w:val=""/>
      <w:lvlJc w:val="left"/>
      <w:pPr>
        <w:ind w:left="407"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7" w:hanging="360"/>
      </w:pPr>
      <w:rPr>
        <w:rFonts w:hint="default"/>
        <w:lang w:val="en-US" w:eastAsia="en-US" w:bidi="ar-SA"/>
      </w:rPr>
    </w:lvl>
    <w:lvl w:ilvl="3">
      <w:start w:val="0"/>
      <w:numFmt w:val="bullet"/>
      <w:lvlText w:val="•"/>
      <w:lvlJc w:val="left"/>
      <w:pPr>
        <w:ind w:left="1460" w:hanging="360"/>
      </w:pPr>
      <w:rPr>
        <w:rFonts w:hint="default"/>
        <w:lang w:val="en-US" w:eastAsia="en-US" w:bidi="ar-SA"/>
      </w:rPr>
    </w:lvl>
    <w:lvl w:ilvl="4">
      <w:start w:val="0"/>
      <w:numFmt w:val="bullet"/>
      <w:lvlText w:val="•"/>
      <w:lvlJc w:val="left"/>
      <w:pPr>
        <w:ind w:left="1814" w:hanging="360"/>
      </w:pPr>
      <w:rPr>
        <w:rFonts w:hint="default"/>
        <w:lang w:val="en-US" w:eastAsia="en-US" w:bidi="ar-SA"/>
      </w:rPr>
    </w:lvl>
    <w:lvl w:ilvl="5">
      <w:start w:val="0"/>
      <w:numFmt w:val="bullet"/>
      <w:lvlText w:val="•"/>
      <w:lvlJc w:val="left"/>
      <w:pPr>
        <w:ind w:left="2167" w:hanging="360"/>
      </w:pPr>
      <w:rPr>
        <w:rFonts w:hint="default"/>
        <w:lang w:val="en-US" w:eastAsia="en-US" w:bidi="ar-SA"/>
      </w:rPr>
    </w:lvl>
    <w:lvl w:ilvl="6">
      <w:start w:val="0"/>
      <w:numFmt w:val="bullet"/>
      <w:lvlText w:val="•"/>
      <w:lvlJc w:val="left"/>
      <w:pPr>
        <w:ind w:left="2521" w:hanging="360"/>
      </w:pPr>
      <w:rPr>
        <w:rFonts w:hint="default"/>
        <w:lang w:val="en-US" w:eastAsia="en-US" w:bidi="ar-SA"/>
      </w:rPr>
    </w:lvl>
    <w:lvl w:ilvl="7">
      <w:start w:val="0"/>
      <w:numFmt w:val="bullet"/>
      <w:lvlText w:val="•"/>
      <w:lvlJc w:val="left"/>
      <w:pPr>
        <w:ind w:left="2874" w:hanging="360"/>
      </w:pPr>
      <w:rPr>
        <w:rFonts w:hint="default"/>
        <w:lang w:val="en-US" w:eastAsia="en-US" w:bidi="ar-SA"/>
      </w:rPr>
    </w:lvl>
    <w:lvl w:ilvl="8">
      <w:start w:val="0"/>
      <w:numFmt w:val="bullet"/>
      <w:lvlText w:val="•"/>
      <w:lvlJc w:val="left"/>
      <w:pPr>
        <w:ind w:left="3228" w:hanging="360"/>
      </w:pPr>
      <w:rPr>
        <w:rFonts w:hint="default"/>
        <w:lang w:val="en-US" w:eastAsia="en-US" w:bidi="ar-SA"/>
      </w:rPr>
    </w:lvl>
  </w:abstractNum>
  <w:abstractNum w:abstractNumId="53">
    <w:multiLevelType w:val="hybridMultilevel"/>
    <w:lvl w:ilvl="0">
      <w:start w:val="0"/>
      <w:numFmt w:val="bullet"/>
      <w:lvlText w:val=""/>
      <w:lvlJc w:val="left"/>
      <w:pPr>
        <w:ind w:left="407"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7" w:hanging="360"/>
      </w:pPr>
      <w:rPr>
        <w:rFonts w:hint="default"/>
        <w:lang w:val="en-US" w:eastAsia="en-US" w:bidi="ar-SA"/>
      </w:rPr>
    </w:lvl>
    <w:lvl w:ilvl="3">
      <w:start w:val="0"/>
      <w:numFmt w:val="bullet"/>
      <w:lvlText w:val="•"/>
      <w:lvlJc w:val="left"/>
      <w:pPr>
        <w:ind w:left="1460" w:hanging="360"/>
      </w:pPr>
      <w:rPr>
        <w:rFonts w:hint="default"/>
        <w:lang w:val="en-US" w:eastAsia="en-US" w:bidi="ar-SA"/>
      </w:rPr>
    </w:lvl>
    <w:lvl w:ilvl="4">
      <w:start w:val="0"/>
      <w:numFmt w:val="bullet"/>
      <w:lvlText w:val="•"/>
      <w:lvlJc w:val="left"/>
      <w:pPr>
        <w:ind w:left="1814" w:hanging="360"/>
      </w:pPr>
      <w:rPr>
        <w:rFonts w:hint="default"/>
        <w:lang w:val="en-US" w:eastAsia="en-US" w:bidi="ar-SA"/>
      </w:rPr>
    </w:lvl>
    <w:lvl w:ilvl="5">
      <w:start w:val="0"/>
      <w:numFmt w:val="bullet"/>
      <w:lvlText w:val="•"/>
      <w:lvlJc w:val="left"/>
      <w:pPr>
        <w:ind w:left="2167" w:hanging="360"/>
      </w:pPr>
      <w:rPr>
        <w:rFonts w:hint="default"/>
        <w:lang w:val="en-US" w:eastAsia="en-US" w:bidi="ar-SA"/>
      </w:rPr>
    </w:lvl>
    <w:lvl w:ilvl="6">
      <w:start w:val="0"/>
      <w:numFmt w:val="bullet"/>
      <w:lvlText w:val="•"/>
      <w:lvlJc w:val="left"/>
      <w:pPr>
        <w:ind w:left="2521" w:hanging="360"/>
      </w:pPr>
      <w:rPr>
        <w:rFonts w:hint="default"/>
        <w:lang w:val="en-US" w:eastAsia="en-US" w:bidi="ar-SA"/>
      </w:rPr>
    </w:lvl>
    <w:lvl w:ilvl="7">
      <w:start w:val="0"/>
      <w:numFmt w:val="bullet"/>
      <w:lvlText w:val="•"/>
      <w:lvlJc w:val="left"/>
      <w:pPr>
        <w:ind w:left="2874" w:hanging="360"/>
      </w:pPr>
      <w:rPr>
        <w:rFonts w:hint="default"/>
        <w:lang w:val="en-US" w:eastAsia="en-US" w:bidi="ar-SA"/>
      </w:rPr>
    </w:lvl>
    <w:lvl w:ilvl="8">
      <w:start w:val="0"/>
      <w:numFmt w:val="bullet"/>
      <w:lvlText w:val="•"/>
      <w:lvlJc w:val="left"/>
      <w:pPr>
        <w:ind w:left="3228" w:hanging="360"/>
      </w:pPr>
      <w:rPr>
        <w:rFonts w:hint="default"/>
        <w:lang w:val="en-US" w:eastAsia="en-US" w:bidi="ar-SA"/>
      </w:rPr>
    </w:lvl>
  </w:abstractNum>
  <w:abstractNum w:abstractNumId="52">
    <w:multiLevelType w:val="hybridMultilevel"/>
    <w:lvl w:ilvl="0">
      <w:start w:val="0"/>
      <w:numFmt w:val="bullet"/>
      <w:lvlText w:val=""/>
      <w:lvlJc w:val="left"/>
      <w:pPr>
        <w:ind w:left="392"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2" w:hanging="360"/>
      </w:pPr>
      <w:rPr>
        <w:rFonts w:hint="default"/>
        <w:lang w:val="en-US" w:eastAsia="en-US" w:bidi="ar-SA"/>
      </w:rPr>
    </w:lvl>
    <w:lvl w:ilvl="2">
      <w:start w:val="0"/>
      <w:numFmt w:val="bullet"/>
      <w:lvlText w:val="•"/>
      <w:lvlJc w:val="left"/>
      <w:pPr>
        <w:ind w:left="1084" w:hanging="360"/>
      </w:pPr>
      <w:rPr>
        <w:rFonts w:hint="default"/>
        <w:lang w:val="en-US" w:eastAsia="en-US" w:bidi="ar-SA"/>
      </w:rPr>
    </w:lvl>
    <w:lvl w:ilvl="3">
      <w:start w:val="0"/>
      <w:numFmt w:val="bullet"/>
      <w:lvlText w:val="•"/>
      <w:lvlJc w:val="left"/>
      <w:pPr>
        <w:ind w:left="1427" w:hanging="360"/>
      </w:pPr>
      <w:rPr>
        <w:rFonts w:hint="default"/>
        <w:lang w:val="en-US" w:eastAsia="en-US" w:bidi="ar-SA"/>
      </w:rPr>
    </w:lvl>
    <w:lvl w:ilvl="4">
      <w:start w:val="0"/>
      <w:numFmt w:val="bullet"/>
      <w:lvlText w:val="•"/>
      <w:lvlJc w:val="left"/>
      <w:pPr>
        <w:ind w:left="1769" w:hanging="360"/>
      </w:pPr>
      <w:rPr>
        <w:rFonts w:hint="default"/>
        <w:lang w:val="en-US" w:eastAsia="en-US" w:bidi="ar-SA"/>
      </w:rPr>
    </w:lvl>
    <w:lvl w:ilvl="5">
      <w:start w:val="0"/>
      <w:numFmt w:val="bullet"/>
      <w:lvlText w:val="•"/>
      <w:lvlJc w:val="left"/>
      <w:pPr>
        <w:ind w:left="2112" w:hanging="360"/>
      </w:pPr>
      <w:rPr>
        <w:rFonts w:hint="default"/>
        <w:lang w:val="en-US" w:eastAsia="en-US" w:bidi="ar-SA"/>
      </w:rPr>
    </w:lvl>
    <w:lvl w:ilvl="6">
      <w:start w:val="0"/>
      <w:numFmt w:val="bullet"/>
      <w:lvlText w:val="•"/>
      <w:lvlJc w:val="left"/>
      <w:pPr>
        <w:ind w:left="2454" w:hanging="360"/>
      </w:pPr>
      <w:rPr>
        <w:rFonts w:hint="default"/>
        <w:lang w:val="en-US" w:eastAsia="en-US" w:bidi="ar-SA"/>
      </w:rPr>
    </w:lvl>
    <w:lvl w:ilvl="7">
      <w:start w:val="0"/>
      <w:numFmt w:val="bullet"/>
      <w:lvlText w:val="•"/>
      <w:lvlJc w:val="left"/>
      <w:pPr>
        <w:ind w:left="2796" w:hanging="360"/>
      </w:pPr>
      <w:rPr>
        <w:rFonts w:hint="default"/>
        <w:lang w:val="en-US" w:eastAsia="en-US" w:bidi="ar-SA"/>
      </w:rPr>
    </w:lvl>
    <w:lvl w:ilvl="8">
      <w:start w:val="0"/>
      <w:numFmt w:val="bullet"/>
      <w:lvlText w:val="•"/>
      <w:lvlJc w:val="left"/>
      <w:pPr>
        <w:ind w:left="3139" w:hanging="360"/>
      </w:pPr>
      <w:rPr>
        <w:rFonts w:hint="default"/>
        <w:lang w:val="en-US" w:eastAsia="en-US" w:bidi="ar-SA"/>
      </w:rPr>
    </w:lvl>
  </w:abstractNum>
  <w:abstractNum w:abstractNumId="51">
    <w:multiLevelType w:val="hybridMultilevel"/>
    <w:lvl w:ilvl="0">
      <w:start w:val="0"/>
      <w:numFmt w:val="bullet"/>
      <w:lvlText w:val=""/>
      <w:lvlJc w:val="left"/>
      <w:pPr>
        <w:ind w:left="407"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7" w:hanging="360"/>
      </w:pPr>
      <w:rPr>
        <w:rFonts w:hint="default"/>
        <w:lang w:val="en-US" w:eastAsia="en-US" w:bidi="ar-SA"/>
      </w:rPr>
    </w:lvl>
    <w:lvl w:ilvl="3">
      <w:start w:val="0"/>
      <w:numFmt w:val="bullet"/>
      <w:lvlText w:val="•"/>
      <w:lvlJc w:val="left"/>
      <w:pPr>
        <w:ind w:left="1460" w:hanging="360"/>
      </w:pPr>
      <w:rPr>
        <w:rFonts w:hint="default"/>
        <w:lang w:val="en-US" w:eastAsia="en-US" w:bidi="ar-SA"/>
      </w:rPr>
    </w:lvl>
    <w:lvl w:ilvl="4">
      <w:start w:val="0"/>
      <w:numFmt w:val="bullet"/>
      <w:lvlText w:val="•"/>
      <w:lvlJc w:val="left"/>
      <w:pPr>
        <w:ind w:left="1814" w:hanging="360"/>
      </w:pPr>
      <w:rPr>
        <w:rFonts w:hint="default"/>
        <w:lang w:val="en-US" w:eastAsia="en-US" w:bidi="ar-SA"/>
      </w:rPr>
    </w:lvl>
    <w:lvl w:ilvl="5">
      <w:start w:val="0"/>
      <w:numFmt w:val="bullet"/>
      <w:lvlText w:val="•"/>
      <w:lvlJc w:val="left"/>
      <w:pPr>
        <w:ind w:left="2167" w:hanging="360"/>
      </w:pPr>
      <w:rPr>
        <w:rFonts w:hint="default"/>
        <w:lang w:val="en-US" w:eastAsia="en-US" w:bidi="ar-SA"/>
      </w:rPr>
    </w:lvl>
    <w:lvl w:ilvl="6">
      <w:start w:val="0"/>
      <w:numFmt w:val="bullet"/>
      <w:lvlText w:val="•"/>
      <w:lvlJc w:val="left"/>
      <w:pPr>
        <w:ind w:left="2521" w:hanging="360"/>
      </w:pPr>
      <w:rPr>
        <w:rFonts w:hint="default"/>
        <w:lang w:val="en-US" w:eastAsia="en-US" w:bidi="ar-SA"/>
      </w:rPr>
    </w:lvl>
    <w:lvl w:ilvl="7">
      <w:start w:val="0"/>
      <w:numFmt w:val="bullet"/>
      <w:lvlText w:val="•"/>
      <w:lvlJc w:val="left"/>
      <w:pPr>
        <w:ind w:left="2874" w:hanging="360"/>
      </w:pPr>
      <w:rPr>
        <w:rFonts w:hint="default"/>
        <w:lang w:val="en-US" w:eastAsia="en-US" w:bidi="ar-SA"/>
      </w:rPr>
    </w:lvl>
    <w:lvl w:ilvl="8">
      <w:start w:val="0"/>
      <w:numFmt w:val="bullet"/>
      <w:lvlText w:val="•"/>
      <w:lvlJc w:val="left"/>
      <w:pPr>
        <w:ind w:left="3228" w:hanging="360"/>
      </w:pPr>
      <w:rPr>
        <w:rFonts w:hint="default"/>
        <w:lang w:val="en-US" w:eastAsia="en-US" w:bidi="ar-SA"/>
      </w:rPr>
    </w:lvl>
  </w:abstractNum>
  <w:abstractNum w:abstractNumId="50">
    <w:multiLevelType w:val="hybridMultilevel"/>
    <w:lvl w:ilvl="0">
      <w:start w:val="0"/>
      <w:numFmt w:val="bullet"/>
      <w:lvlText w:val=""/>
      <w:lvlJc w:val="left"/>
      <w:pPr>
        <w:ind w:left="392"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2" w:hanging="360"/>
      </w:pPr>
      <w:rPr>
        <w:rFonts w:hint="default"/>
        <w:lang w:val="en-US" w:eastAsia="en-US" w:bidi="ar-SA"/>
      </w:rPr>
    </w:lvl>
    <w:lvl w:ilvl="2">
      <w:start w:val="0"/>
      <w:numFmt w:val="bullet"/>
      <w:lvlText w:val="•"/>
      <w:lvlJc w:val="left"/>
      <w:pPr>
        <w:ind w:left="1084" w:hanging="360"/>
      </w:pPr>
      <w:rPr>
        <w:rFonts w:hint="default"/>
        <w:lang w:val="en-US" w:eastAsia="en-US" w:bidi="ar-SA"/>
      </w:rPr>
    </w:lvl>
    <w:lvl w:ilvl="3">
      <w:start w:val="0"/>
      <w:numFmt w:val="bullet"/>
      <w:lvlText w:val="•"/>
      <w:lvlJc w:val="left"/>
      <w:pPr>
        <w:ind w:left="1427" w:hanging="360"/>
      </w:pPr>
      <w:rPr>
        <w:rFonts w:hint="default"/>
        <w:lang w:val="en-US" w:eastAsia="en-US" w:bidi="ar-SA"/>
      </w:rPr>
    </w:lvl>
    <w:lvl w:ilvl="4">
      <w:start w:val="0"/>
      <w:numFmt w:val="bullet"/>
      <w:lvlText w:val="•"/>
      <w:lvlJc w:val="left"/>
      <w:pPr>
        <w:ind w:left="1769" w:hanging="360"/>
      </w:pPr>
      <w:rPr>
        <w:rFonts w:hint="default"/>
        <w:lang w:val="en-US" w:eastAsia="en-US" w:bidi="ar-SA"/>
      </w:rPr>
    </w:lvl>
    <w:lvl w:ilvl="5">
      <w:start w:val="0"/>
      <w:numFmt w:val="bullet"/>
      <w:lvlText w:val="•"/>
      <w:lvlJc w:val="left"/>
      <w:pPr>
        <w:ind w:left="2112" w:hanging="360"/>
      </w:pPr>
      <w:rPr>
        <w:rFonts w:hint="default"/>
        <w:lang w:val="en-US" w:eastAsia="en-US" w:bidi="ar-SA"/>
      </w:rPr>
    </w:lvl>
    <w:lvl w:ilvl="6">
      <w:start w:val="0"/>
      <w:numFmt w:val="bullet"/>
      <w:lvlText w:val="•"/>
      <w:lvlJc w:val="left"/>
      <w:pPr>
        <w:ind w:left="2454" w:hanging="360"/>
      </w:pPr>
      <w:rPr>
        <w:rFonts w:hint="default"/>
        <w:lang w:val="en-US" w:eastAsia="en-US" w:bidi="ar-SA"/>
      </w:rPr>
    </w:lvl>
    <w:lvl w:ilvl="7">
      <w:start w:val="0"/>
      <w:numFmt w:val="bullet"/>
      <w:lvlText w:val="•"/>
      <w:lvlJc w:val="left"/>
      <w:pPr>
        <w:ind w:left="2796" w:hanging="360"/>
      </w:pPr>
      <w:rPr>
        <w:rFonts w:hint="default"/>
        <w:lang w:val="en-US" w:eastAsia="en-US" w:bidi="ar-SA"/>
      </w:rPr>
    </w:lvl>
    <w:lvl w:ilvl="8">
      <w:start w:val="0"/>
      <w:numFmt w:val="bullet"/>
      <w:lvlText w:val="•"/>
      <w:lvlJc w:val="left"/>
      <w:pPr>
        <w:ind w:left="3139" w:hanging="360"/>
      </w:pPr>
      <w:rPr>
        <w:rFonts w:hint="default"/>
        <w:lang w:val="en-US" w:eastAsia="en-US" w:bidi="ar-SA"/>
      </w:rPr>
    </w:lvl>
  </w:abstractNum>
  <w:abstractNum w:abstractNumId="49">
    <w:multiLevelType w:val="hybridMultilevel"/>
    <w:lvl w:ilvl="0">
      <w:start w:val="0"/>
      <w:numFmt w:val="bullet"/>
      <w:lvlText w:val=""/>
      <w:lvlJc w:val="left"/>
      <w:pPr>
        <w:ind w:left="40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6" w:hanging="360"/>
      </w:pPr>
      <w:rPr>
        <w:rFonts w:hint="default"/>
        <w:lang w:val="en-US" w:eastAsia="en-US" w:bidi="ar-SA"/>
      </w:rPr>
    </w:lvl>
    <w:lvl w:ilvl="3">
      <w:start w:val="0"/>
      <w:numFmt w:val="bullet"/>
      <w:lvlText w:val="•"/>
      <w:lvlJc w:val="left"/>
      <w:pPr>
        <w:ind w:left="1459"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65" w:hanging="360"/>
      </w:pPr>
      <w:rPr>
        <w:rFonts w:hint="default"/>
        <w:lang w:val="en-US" w:eastAsia="en-US" w:bidi="ar-SA"/>
      </w:rPr>
    </w:lvl>
    <w:lvl w:ilvl="6">
      <w:start w:val="0"/>
      <w:numFmt w:val="bullet"/>
      <w:lvlText w:val="•"/>
      <w:lvlJc w:val="left"/>
      <w:pPr>
        <w:ind w:left="2518" w:hanging="360"/>
      </w:pPr>
      <w:rPr>
        <w:rFonts w:hint="default"/>
        <w:lang w:val="en-US" w:eastAsia="en-US" w:bidi="ar-SA"/>
      </w:rPr>
    </w:lvl>
    <w:lvl w:ilvl="7">
      <w:start w:val="0"/>
      <w:numFmt w:val="bullet"/>
      <w:lvlText w:val="•"/>
      <w:lvlJc w:val="left"/>
      <w:pPr>
        <w:ind w:left="2871" w:hanging="360"/>
      </w:pPr>
      <w:rPr>
        <w:rFonts w:hint="default"/>
        <w:lang w:val="en-US" w:eastAsia="en-US" w:bidi="ar-SA"/>
      </w:rPr>
    </w:lvl>
    <w:lvl w:ilvl="8">
      <w:start w:val="0"/>
      <w:numFmt w:val="bullet"/>
      <w:lvlText w:val="•"/>
      <w:lvlJc w:val="left"/>
      <w:pPr>
        <w:ind w:left="3224" w:hanging="360"/>
      </w:pPr>
      <w:rPr>
        <w:rFonts w:hint="default"/>
        <w:lang w:val="en-US" w:eastAsia="en-US" w:bidi="ar-SA"/>
      </w:rPr>
    </w:lvl>
  </w:abstractNum>
  <w:abstractNum w:abstractNumId="48">
    <w:multiLevelType w:val="hybridMultilevel"/>
    <w:lvl w:ilvl="0">
      <w:start w:val="0"/>
      <w:numFmt w:val="bullet"/>
      <w:lvlText w:val=""/>
      <w:lvlJc w:val="left"/>
      <w:pPr>
        <w:ind w:left="39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3" w:hanging="360"/>
      </w:pPr>
      <w:rPr>
        <w:rFonts w:hint="default"/>
        <w:lang w:val="en-US" w:eastAsia="en-US" w:bidi="ar-SA"/>
      </w:rPr>
    </w:lvl>
    <w:lvl w:ilvl="2">
      <w:start w:val="0"/>
      <w:numFmt w:val="bullet"/>
      <w:lvlText w:val="•"/>
      <w:lvlJc w:val="left"/>
      <w:pPr>
        <w:ind w:left="1086" w:hanging="360"/>
      </w:pPr>
      <w:rPr>
        <w:rFonts w:hint="default"/>
        <w:lang w:val="en-US" w:eastAsia="en-US" w:bidi="ar-SA"/>
      </w:rPr>
    </w:lvl>
    <w:lvl w:ilvl="3">
      <w:start w:val="0"/>
      <w:numFmt w:val="bullet"/>
      <w:lvlText w:val="•"/>
      <w:lvlJc w:val="left"/>
      <w:pPr>
        <w:ind w:left="1429" w:hanging="360"/>
      </w:pPr>
      <w:rPr>
        <w:rFonts w:hint="default"/>
        <w:lang w:val="en-US" w:eastAsia="en-US" w:bidi="ar-SA"/>
      </w:rPr>
    </w:lvl>
    <w:lvl w:ilvl="4">
      <w:start w:val="0"/>
      <w:numFmt w:val="bullet"/>
      <w:lvlText w:val="•"/>
      <w:lvlJc w:val="left"/>
      <w:pPr>
        <w:ind w:left="1772" w:hanging="360"/>
      </w:pPr>
      <w:rPr>
        <w:rFonts w:hint="default"/>
        <w:lang w:val="en-US" w:eastAsia="en-US" w:bidi="ar-SA"/>
      </w:rPr>
    </w:lvl>
    <w:lvl w:ilvl="5">
      <w:start w:val="0"/>
      <w:numFmt w:val="bullet"/>
      <w:lvlText w:val="•"/>
      <w:lvlJc w:val="left"/>
      <w:pPr>
        <w:ind w:left="2115" w:hanging="360"/>
      </w:pPr>
      <w:rPr>
        <w:rFonts w:hint="default"/>
        <w:lang w:val="en-US" w:eastAsia="en-US" w:bidi="ar-SA"/>
      </w:rPr>
    </w:lvl>
    <w:lvl w:ilvl="6">
      <w:start w:val="0"/>
      <w:numFmt w:val="bullet"/>
      <w:lvlText w:val="•"/>
      <w:lvlJc w:val="left"/>
      <w:pPr>
        <w:ind w:left="2458" w:hanging="360"/>
      </w:pPr>
      <w:rPr>
        <w:rFonts w:hint="default"/>
        <w:lang w:val="en-US" w:eastAsia="en-US" w:bidi="ar-SA"/>
      </w:rPr>
    </w:lvl>
    <w:lvl w:ilvl="7">
      <w:start w:val="0"/>
      <w:numFmt w:val="bullet"/>
      <w:lvlText w:val="•"/>
      <w:lvlJc w:val="left"/>
      <w:pPr>
        <w:ind w:left="2801" w:hanging="360"/>
      </w:pPr>
      <w:rPr>
        <w:rFonts w:hint="default"/>
        <w:lang w:val="en-US" w:eastAsia="en-US" w:bidi="ar-SA"/>
      </w:rPr>
    </w:lvl>
    <w:lvl w:ilvl="8">
      <w:start w:val="0"/>
      <w:numFmt w:val="bullet"/>
      <w:lvlText w:val="•"/>
      <w:lvlJc w:val="left"/>
      <w:pPr>
        <w:ind w:left="3144" w:hanging="360"/>
      </w:pPr>
      <w:rPr>
        <w:rFonts w:hint="default"/>
        <w:lang w:val="en-US" w:eastAsia="en-US" w:bidi="ar-SA"/>
      </w:rPr>
    </w:lvl>
  </w:abstractNum>
  <w:abstractNum w:abstractNumId="47">
    <w:multiLevelType w:val="hybridMultilevel"/>
    <w:lvl w:ilvl="0">
      <w:start w:val="0"/>
      <w:numFmt w:val="bullet"/>
      <w:lvlText w:val=""/>
      <w:lvlJc w:val="left"/>
      <w:pPr>
        <w:ind w:left="40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6" w:hanging="360"/>
      </w:pPr>
      <w:rPr>
        <w:rFonts w:hint="default"/>
        <w:lang w:val="en-US" w:eastAsia="en-US" w:bidi="ar-SA"/>
      </w:rPr>
    </w:lvl>
    <w:lvl w:ilvl="3">
      <w:start w:val="0"/>
      <w:numFmt w:val="bullet"/>
      <w:lvlText w:val="•"/>
      <w:lvlJc w:val="left"/>
      <w:pPr>
        <w:ind w:left="1459"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65" w:hanging="360"/>
      </w:pPr>
      <w:rPr>
        <w:rFonts w:hint="default"/>
        <w:lang w:val="en-US" w:eastAsia="en-US" w:bidi="ar-SA"/>
      </w:rPr>
    </w:lvl>
    <w:lvl w:ilvl="6">
      <w:start w:val="0"/>
      <w:numFmt w:val="bullet"/>
      <w:lvlText w:val="•"/>
      <w:lvlJc w:val="left"/>
      <w:pPr>
        <w:ind w:left="2518" w:hanging="360"/>
      </w:pPr>
      <w:rPr>
        <w:rFonts w:hint="default"/>
        <w:lang w:val="en-US" w:eastAsia="en-US" w:bidi="ar-SA"/>
      </w:rPr>
    </w:lvl>
    <w:lvl w:ilvl="7">
      <w:start w:val="0"/>
      <w:numFmt w:val="bullet"/>
      <w:lvlText w:val="•"/>
      <w:lvlJc w:val="left"/>
      <w:pPr>
        <w:ind w:left="2871" w:hanging="360"/>
      </w:pPr>
      <w:rPr>
        <w:rFonts w:hint="default"/>
        <w:lang w:val="en-US" w:eastAsia="en-US" w:bidi="ar-SA"/>
      </w:rPr>
    </w:lvl>
    <w:lvl w:ilvl="8">
      <w:start w:val="0"/>
      <w:numFmt w:val="bullet"/>
      <w:lvlText w:val="•"/>
      <w:lvlJc w:val="left"/>
      <w:pPr>
        <w:ind w:left="3224" w:hanging="360"/>
      </w:pPr>
      <w:rPr>
        <w:rFonts w:hint="default"/>
        <w:lang w:val="en-US" w:eastAsia="en-US" w:bidi="ar-SA"/>
      </w:rPr>
    </w:lvl>
  </w:abstractNum>
  <w:abstractNum w:abstractNumId="46">
    <w:multiLevelType w:val="hybridMultilevel"/>
    <w:lvl w:ilvl="0">
      <w:start w:val="0"/>
      <w:numFmt w:val="bullet"/>
      <w:lvlText w:val=""/>
      <w:lvlJc w:val="left"/>
      <w:pPr>
        <w:ind w:left="39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3" w:hanging="360"/>
      </w:pPr>
      <w:rPr>
        <w:rFonts w:hint="default"/>
        <w:lang w:val="en-US" w:eastAsia="en-US" w:bidi="ar-SA"/>
      </w:rPr>
    </w:lvl>
    <w:lvl w:ilvl="2">
      <w:start w:val="0"/>
      <w:numFmt w:val="bullet"/>
      <w:lvlText w:val="•"/>
      <w:lvlJc w:val="left"/>
      <w:pPr>
        <w:ind w:left="1086" w:hanging="360"/>
      </w:pPr>
      <w:rPr>
        <w:rFonts w:hint="default"/>
        <w:lang w:val="en-US" w:eastAsia="en-US" w:bidi="ar-SA"/>
      </w:rPr>
    </w:lvl>
    <w:lvl w:ilvl="3">
      <w:start w:val="0"/>
      <w:numFmt w:val="bullet"/>
      <w:lvlText w:val="•"/>
      <w:lvlJc w:val="left"/>
      <w:pPr>
        <w:ind w:left="1429" w:hanging="360"/>
      </w:pPr>
      <w:rPr>
        <w:rFonts w:hint="default"/>
        <w:lang w:val="en-US" w:eastAsia="en-US" w:bidi="ar-SA"/>
      </w:rPr>
    </w:lvl>
    <w:lvl w:ilvl="4">
      <w:start w:val="0"/>
      <w:numFmt w:val="bullet"/>
      <w:lvlText w:val="•"/>
      <w:lvlJc w:val="left"/>
      <w:pPr>
        <w:ind w:left="1772" w:hanging="360"/>
      </w:pPr>
      <w:rPr>
        <w:rFonts w:hint="default"/>
        <w:lang w:val="en-US" w:eastAsia="en-US" w:bidi="ar-SA"/>
      </w:rPr>
    </w:lvl>
    <w:lvl w:ilvl="5">
      <w:start w:val="0"/>
      <w:numFmt w:val="bullet"/>
      <w:lvlText w:val="•"/>
      <w:lvlJc w:val="left"/>
      <w:pPr>
        <w:ind w:left="2115" w:hanging="360"/>
      </w:pPr>
      <w:rPr>
        <w:rFonts w:hint="default"/>
        <w:lang w:val="en-US" w:eastAsia="en-US" w:bidi="ar-SA"/>
      </w:rPr>
    </w:lvl>
    <w:lvl w:ilvl="6">
      <w:start w:val="0"/>
      <w:numFmt w:val="bullet"/>
      <w:lvlText w:val="•"/>
      <w:lvlJc w:val="left"/>
      <w:pPr>
        <w:ind w:left="2458" w:hanging="360"/>
      </w:pPr>
      <w:rPr>
        <w:rFonts w:hint="default"/>
        <w:lang w:val="en-US" w:eastAsia="en-US" w:bidi="ar-SA"/>
      </w:rPr>
    </w:lvl>
    <w:lvl w:ilvl="7">
      <w:start w:val="0"/>
      <w:numFmt w:val="bullet"/>
      <w:lvlText w:val="•"/>
      <w:lvlJc w:val="left"/>
      <w:pPr>
        <w:ind w:left="2801" w:hanging="360"/>
      </w:pPr>
      <w:rPr>
        <w:rFonts w:hint="default"/>
        <w:lang w:val="en-US" w:eastAsia="en-US" w:bidi="ar-SA"/>
      </w:rPr>
    </w:lvl>
    <w:lvl w:ilvl="8">
      <w:start w:val="0"/>
      <w:numFmt w:val="bullet"/>
      <w:lvlText w:val="•"/>
      <w:lvlJc w:val="left"/>
      <w:pPr>
        <w:ind w:left="3144" w:hanging="360"/>
      </w:pPr>
      <w:rPr>
        <w:rFonts w:hint="default"/>
        <w:lang w:val="en-US" w:eastAsia="en-US" w:bidi="ar-SA"/>
      </w:rPr>
    </w:lvl>
  </w:abstractNum>
  <w:abstractNum w:abstractNumId="45">
    <w:multiLevelType w:val="hybridMultilevel"/>
    <w:lvl w:ilvl="0">
      <w:start w:val="0"/>
      <w:numFmt w:val="bullet"/>
      <w:lvlText w:val=""/>
      <w:lvlJc w:val="left"/>
      <w:pPr>
        <w:ind w:left="40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6" w:hanging="360"/>
      </w:pPr>
      <w:rPr>
        <w:rFonts w:hint="default"/>
        <w:lang w:val="en-US" w:eastAsia="en-US" w:bidi="ar-SA"/>
      </w:rPr>
    </w:lvl>
    <w:lvl w:ilvl="3">
      <w:start w:val="0"/>
      <w:numFmt w:val="bullet"/>
      <w:lvlText w:val="•"/>
      <w:lvlJc w:val="left"/>
      <w:pPr>
        <w:ind w:left="1459"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65" w:hanging="360"/>
      </w:pPr>
      <w:rPr>
        <w:rFonts w:hint="default"/>
        <w:lang w:val="en-US" w:eastAsia="en-US" w:bidi="ar-SA"/>
      </w:rPr>
    </w:lvl>
    <w:lvl w:ilvl="6">
      <w:start w:val="0"/>
      <w:numFmt w:val="bullet"/>
      <w:lvlText w:val="•"/>
      <w:lvlJc w:val="left"/>
      <w:pPr>
        <w:ind w:left="2518" w:hanging="360"/>
      </w:pPr>
      <w:rPr>
        <w:rFonts w:hint="default"/>
        <w:lang w:val="en-US" w:eastAsia="en-US" w:bidi="ar-SA"/>
      </w:rPr>
    </w:lvl>
    <w:lvl w:ilvl="7">
      <w:start w:val="0"/>
      <w:numFmt w:val="bullet"/>
      <w:lvlText w:val="•"/>
      <w:lvlJc w:val="left"/>
      <w:pPr>
        <w:ind w:left="2871" w:hanging="360"/>
      </w:pPr>
      <w:rPr>
        <w:rFonts w:hint="default"/>
        <w:lang w:val="en-US" w:eastAsia="en-US" w:bidi="ar-SA"/>
      </w:rPr>
    </w:lvl>
    <w:lvl w:ilvl="8">
      <w:start w:val="0"/>
      <w:numFmt w:val="bullet"/>
      <w:lvlText w:val="•"/>
      <w:lvlJc w:val="left"/>
      <w:pPr>
        <w:ind w:left="3224" w:hanging="360"/>
      </w:pPr>
      <w:rPr>
        <w:rFonts w:hint="default"/>
        <w:lang w:val="en-US" w:eastAsia="en-US" w:bidi="ar-SA"/>
      </w:rPr>
    </w:lvl>
  </w:abstractNum>
  <w:abstractNum w:abstractNumId="44">
    <w:multiLevelType w:val="hybridMultilevel"/>
    <w:lvl w:ilvl="0">
      <w:start w:val="0"/>
      <w:numFmt w:val="bullet"/>
      <w:lvlText w:val=""/>
      <w:lvlJc w:val="left"/>
      <w:pPr>
        <w:ind w:left="39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3" w:hanging="360"/>
      </w:pPr>
      <w:rPr>
        <w:rFonts w:hint="default"/>
        <w:lang w:val="en-US" w:eastAsia="en-US" w:bidi="ar-SA"/>
      </w:rPr>
    </w:lvl>
    <w:lvl w:ilvl="2">
      <w:start w:val="0"/>
      <w:numFmt w:val="bullet"/>
      <w:lvlText w:val="•"/>
      <w:lvlJc w:val="left"/>
      <w:pPr>
        <w:ind w:left="1086" w:hanging="360"/>
      </w:pPr>
      <w:rPr>
        <w:rFonts w:hint="default"/>
        <w:lang w:val="en-US" w:eastAsia="en-US" w:bidi="ar-SA"/>
      </w:rPr>
    </w:lvl>
    <w:lvl w:ilvl="3">
      <w:start w:val="0"/>
      <w:numFmt w:val="bullet"/>
      <w:lvlText w:val="•"/>
      <w:lvlJc w:val="left"/>
      <w:pPr>
        <w:ind w:left="1429" w:hanging="360"/>
      </w:pPr>
      <w:rPr>
        <w:rFonts w:hint="default"/>
        <w:lang w:val="en-US" w:eastAsia="en-US" w:bidi="ar-SA"/>
      </w:rPr>
    </w:lvl>
    <w:lvl w:ilvl="4">
      <w:start w:val="0"/>
      <w:numFmt w:val="bullet"/>
      <w:lvlText w:val="•"/>
      <w:lvlJc w:val="left"/>
      <w:pPr>
        <w:ind w:left="1772" w:hanging="360"/>
      </w:pPr>
      <w:rPr>
        <w:rFonts w:hint="default"/>
        <w:lang w:val="en-US" w:eastAsia="en-US" w:bidi="ar-SA"/>
      </w:rPr>
    </w:lvl>
    <w:lvl w:ilvl="5">
      <w:start w:val="0"/>
      <w:numFmt w:val="bullet"/>
      <w:lvlText w:val="•"/>
      <w:lvlJc w:val="left"/>
      <w:pPr>
        <w:ind w:left="2115" w:hanging="360"/>
      </w:pPr>
      <w:rPr>
        <w:rFonts w:hint="default"/>
        <w:lang w:val="en-US" w:eastAsia="en-US" w:bidi="ar-SA"/>
      </w:rPr>
    </w:lvl>
    <w:lvl w:ilvl="6">
      <w:start w:val="0"/>
      <w:numFmt w:val="bullet"/>
      <w:lvlText w:val="•"/>
      <w:lvlJc w:val="left"/>
      <w:pPr>
        <w:ind w:left="2458" w:hanging="360"/>
      </w:pPr>
      <w:rPr>
        <w:rFonts w:hint="default"/>
        <w:lang w:val="en-US" w:eastAsia="en-US" w:bidi="ar-SA"/>
      </w:rPr>
    </w:lvl>
    <w:lvl w:ilvl="7">
      <w:start w:val="0"/>
      <w:numFmt w:val="bullet"/>
      <w:lvlText w:val="•"/>
      <w:lvlJc w:val="left"/>
      <w:pPr>
        <w:ind w:left="2801" w:hanging="360"/>
      </w:pPr>
      <w:rPr>
        <w:rFonts w:hint="default"/>
        <w:lang w:val="en-US" w:eastAsia="en-US" w:bidi="ar-SA"/>
      </w:rPr>
    </w:lvl>
    <w:lvl w:ilvl="8">
      <w:start w:val="0"/>
      <w:numFmt w:val="bullet"/>
      <w:lvlText w:val="•"/>
      <w:lvlJc w:val="left"/>
      <w:pPr>
        <w:ind w:left="3144" w:hanging="360"/>
      </w:pPr>
      <w:rPr>
        <w:rFonts w:hint="default"/>
        <w:lang w:val="en-US" w:eastAsia="en-US" w:bidi="ar-SA"/>
      </w:rPr>
    </w:lvl>
  </w:abstractNum>
  <w:abstractNum w:abstractNumId="43">
    <w:multiLevelType w:val="hybridMultilevel"/>
    <w:lvl w:ilvl="0">
      <w:start w:val="0"/>
      <w:numFmt w:val="bullet"/>
      <w:lvlText w:val=""/>
      <w:lvlJc w:val="left"/>
      <w:pPr>
        <w:ind w:left="40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6" w:hanging="360"/>
      </w:pPr>
      <w:rPr>
        <w:rFonts w:hint="default"/>
        <w:lang w:val="en-US" w:eastAsia="en-US" w:bidi="ar-SA"/>
      </w:rPr>
    </w:lvl>
    <w:lvl w:ilvl="3">
      <w:start w:val="0"/>
      <w:numFmt w:val="bullet"/>
      <w:lvlText w:val="•"/>
      <w:lvlJc w:val="left"/>
      <w:pPr>
        <w:ind w:left="1459"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65" w:hanging="360"/>
      </w:pPr>
      <w:rPr>
        <w:rFonts w:hint="default"/>
        <w:lang w:val="en-US" w:eastAsia="en-US" w:bidi="ar-SA"/>
      </w:rPr>
    </w:lvl>
    <w:lvl w:ilvl="6">
      <w:start w:val="0"/>
      <w:numFmt w:val="bullet"/>
      <w:lvlText w:val="•"/>
      <w:lvlJc w:val="left"/>
      <w:pPr>
        <w:ind w:left="2518" w:hanging="360"/>
      </w:pPr>
      <w:rPr>
        <w:rFonts w:hint="default"/>
        <w:lang w:val="en-US" w:eastAsia="en-US" w:bidi="ar-SA"/>
      </w:rPr>
    </w:lvl>
    <w:lvl w:ilvl="7">
      <w:start w:val="0"/>
      <w:numFmt w:val="bullet"/>
      <w:lvlText w:val="•"/>
      <w:lvlJc w:val="left"/>
      <w:pPr>
        <w:ind w:left="2871" w:hanging="360"/>
      </w:pPr>
      <w:rPr>
        <w:rFonts w:hint="default"/>
        <w:lang w:val="en-US" w:eastAsia="en-US" w:bidi="ar-SA"/>
      </w:rPr>
    </w:lvl>
    <w:lvl w:ilvl="8">
      <w:start w:val="0"/>
      <w:numFmt w:val="bullet"/>
      <w:lvlText w:val="•"/>
      <w:lvlJc w:val="left"/>
      <w:pPr>
        <w:ind w:left="3224" w:hanging="360"/>
      </w:pPr>
      <w:rPr>
        <w:rFonts w:hint="default"/>
        <w:lang w:val="en-US" w:eastAsia="en-US" w:bidi="ar-SA"/>
      </w:rPr>
    </w:lvl>
  </w:abstractNum>
  <w:abstractNum w:abstractNumId="42">
    <w:multiLevelType w:val="hybridMultilevel"/>
    <w:lvl w:ilvl="0">
      <w:start w:val="0"/>
      <w:numFmt w:val="bullet"/>
      <w:lvlText w:val=""/>
      <w:lvlJc w:val="left"/>
      <w:pPr>
        <w:ind w:left="39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3" w:hanging="360"/>
      </w:pPr>
      <w:rPr>
        <w:rFonts w:hint="default"/>
        <w:lang w:val="en-US" w:eastAsia="en-US" w:bidi="ar-SA"/>
      </w:rPr>
    </w:lvl>
    <w:lvl w:ilvl="2">
      <w:start w:val="0"/>
      <w:numFmt w:val="bullet"/>
      <w:lvlText w:val="•"/>
      <w:lvlJc w:val="left"/>
      <w:pPr>
        <w:ind w:left="1086" w:hanging="360"/>
      </w:pPr>
      <w:rPr>
        <w:rFonts w:hint="default"/>
        <w:lang w:val="en-US" w:eastAsia="en-US" w:bidi="ar-SA"/>
      </w:rPr>
    </w:lvl>
    <w:lvl w:ilvl="3">
      <w:start w:val="0"/>
      <w:numFmt w:val="bullet"/>
      <w:lvlText w:val="•"/>
      <w:lvlJc w:val="left"/>
      <w:pPr>
        <w:ind w:left="1429" w:hanging="360"/>
      </w:pPr>
      <w:rPr>
        <w:rFonts w:hint="default"/>
        <w:lang w:val="en-US" w:eastAsia="en-US" w:bidi="ar-SA"/>
      </w:rPr>
    </w:lvl>
    <w:lvl w:ilvl="4">
      <w:start w:val="0"/>
      <w:numFmt w:val="bullet"/>
      <w:lvlText w:val="•"/>
      <w:lvlJc w:val="left"/>
      <w:pPr>
        <w:ind w:left="1772" w:hanging="360"/>
      </w:pPr>
      <w:rPr>
        <w:rFonts w:hint="default"/>
        <w:lang w:val="en-US" w:eastAsia="en-US" w:bidi="ar-SA"/>
      </w:rPr>
    </w:lvl>
    <w:lvl w:ilvl="5">
      <w:start w:val="0"/>
      <w:numFmt w:val="bullet"/>
      <w:lvlText w:val="•"/>
      <w:lvlJc w:val="left"/>
      <w:pPr>
        <w:ind w:left="2115" w:hanging="360"/>
      </w:pPr>
      <w:rPr>
        <w:rFonts w:hint="default"/>
        <w:lang w:val="en-US" w:eastAsia="en-US" w:bidi="ar-SA"/>
      </w:rPr>
    </w:lvl>
    <w:lvl w:ilvl="6">
      <w:start w:val="0"/>
      <w:numFmt w:val="bullet"/>
      <w:lvlText w:val="•"/>
      <w:lvlJc w:val="left"/>
      <w:pPr>
        <w:ind w:left="2458" w:hanging="360"/>
      </w:pPr>
      <w:rPr>
        <w:rFonts w:hint="default"/>
        <w:lang w:val="en-US" w:eastAsia="en-US" w:bidi="ar-SA"/>
      </w:rPr>
    </w:lvl>
    <w:lvl w:ilvl="7">
      <w:start w:val="0"/>
      <w:numFmt w:val="bullet"/>
      <w:lvlText w:val="•"/>
      <w:lvlJc w:val="left"/>
      <w:pPr>
        <w:ind w:left="2801" w:hanging="360"/>
      </w:pPr>
      <w:rPr>
        <w:rFonts w:hint="default"/>
        <w:lang w:val="en-US" w:eastAsia="en-US" w:bidi="ar-SA"/>
      </w:rPr>
    </w:lvl>
    <w:lvl w:ilvl="8">
      <w:start w:val="0"/>
      <w:numFmt w:val="bullet"/>
      <w:lvlText w:val="•"/>
      <w:lvlJc w:val="left"/>
      <w:pPr>
        <w:ind w:left="3144" w:hanging="360"/>
      </w:pPr>
      <w:rPr>
        <w:rFonts w:hint="default"/>
        <w:lang w:val="en-US" w:eastAsia="en-US" w:bidi="ar-SA"/>
      </w:rPr>
    </w:lvl>
  </w:abstractNum>
  <w:abstractNum w:abstractNumId="41">
    <w:multiLevelType w:val="hybridMultilevel"/>
    <w:lvl w:ilvl="0">
      <w:start w:val="0"/>
      <w:numFmt w:val="bullet"/>
      <w:lvlText w:val=""/>
      <w:lvlJc w:val="left"/>
      <w:pPr>
        <w:ind w:left="40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6" w:hanging="360"/>
      </w:pPr>
      <w:rPr>
        <w:rFonts w:hint="default"/>
        <w:lang w:val="en-US" w:eastAsia="en-US" w:bidi="ar-SA"/>
      </w:rPr>
    </w:lvl>
    <w:lvl w:ilvl="3">
      <w:start w:val="0"/>
      <w:numFmt w:val="bullet"/>
      <w:lvlText w:val="•"/>
      <w:lvlJc w:val="left"/>
      <w:pPr>
        <w:ind w:left="1459"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65" w:hanging="360"/>
      </w:pPr>
      <w:rPr>
        <w:rFonts w:hint="default"/>
        <w:lang w:val="en-US" w:eastAsia="en-US" w:bidi="ar-SA"/>
      </w:rPr>
    </w:lvl>
    <w:lvl w:ilvl="6">
      <w:start w:val="0"/>
      <w:numFmt w:val="bullet"/>
      <w:lvlText w:val="•"/>
      <w:lvlJc w:val="left"/>
      <w:pPr>
        <w:ind w:left="2518" w:hanging="360"/>
      </w:pPr>
      <w:rPr>
        <w:rFonts w:hint="default"/>
        <w:lang w:val="en-US" w:eastAsia="en-US" w:bidi="ar-SA"/>
      </w:rPr>
    </w:lvl>
    <w:lvl w:ilvl="7">
      <w:start w:val="0"/>
      <w:numFmt w:val="bullet"/>
      <w:lvlText w:val="•"/>
      <w:lvlJc w:val="left"/>
      <w:pPr>
        <w:ind w:left="2871" w:hanging="360"/>
      </w:pPr>
      <w:rPr>
        <w:rFonts w:hint="default"/>
        <w:lang w:val="en-US" w:eastAsia="en-US" w:bidi="ar-SA"/>
      </w:rPr>
    </w:lvl>
    <w:lvl w:ilvl="8">
      <w:start w:val="0"/>
      <w:numFmt w:val="bullet"/>
      <w:lvlText w:val="•"/>
      <w:lvlJc w:val="left"/>
      <w:pPr>
        <w:ind w:left="3224" w:hanging="360"/>
      </w:pPr>
      <w:rPr>
        <w:rFonts w:hint="default"/>
        <w:lang w:val="en-US" w:eastAsia="en-US" w:bidi="ar-SA"/>
      </w:rPr>
    </w:lvl>
  </w:abstractNum>
  <w:abstractNum w:abstractNumId="40">
    <w:multiLevelType w:val="hybridMultilevel"/>
    <w:lvl w:ilvl="0">
      <w:start w:val="0"/>
      <w:numFmt w:val="bullet"/>
      <w:lvlText w:val=""/>
      <w:lvlJc w:val="left"/>
      <w:pPr>
        <w:ind w:left="39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3" w:hanging="360"/>
      </w:pPr>
      <w:rPr>
        <w:rFonts w:hint="default"/>
        <w:lang w:val="en-US" w:eastAsia="en-US" w:bidi="ar-SA"/>
      </w:rPr>
    </w:lvl>
    <w:lvl w:ilvl="2">
      <w:start w:val="0"/>
      <w:numFmt w:val="bullet"/>
      <w:lvlText w:val="•"/>
      <w:lvlJc w:val="left"/>
      <w:pPr>
        <w:ind w:left="1086" w:hanging="360"/>
      </w:pPr>
      <w:rPr>
        <w:rFonts w:hint="default"/>
        <w:lang w:val="en-US" w:eastAsia="en-US" w:bidi="ar-SA"/>
      </w:rPr>
    </w:lvl>
    <w:lvl w:ilvl="3">
      <w:start w:val="0"/>
      <w:numFmt w:val="bullet"/>
      <w:lvlText w:val="•"/>
      <w:lvlJc w:val="left"/>
      <w:pPr>
        <w:ind w:left="1429" w:hanging="360"/>
      </w:pPr>
      <w:rPr>
        <w:rFonts w:hint="default"/>
        <w:lang w:val="en-US" w:eastAsia="en-US" w:bidi="ar-SA"/>
      </w:rPr>
    </w:lvl>
    <w:lvl w:ilvl="4">
      <w:start w:val="0"/>
      <w:numFmt w:val="bullet"/>
      <w:lvlText w:val="•"/>
      <w:lvlJc w:val="left"/>
      <w:pPr>
        <w:ind w:left="1772" w:hanging="360"/>
      </w:pPr>
      <w:rPr>
        <w:rFonts w:hint="default"/>
        <w:lang w:val="en-US" w:eastAsia="en-US" w:bidi="ar-SA"/>
      </w:rPr>
    </w:lvl>
    <w:lvl w:ilvl="5">
      <w:start w:val="0"/>
      <w:numFmt w:val="bullet"/>
      <w:lvlText w:val="•"/>
      <w:lvlJc w:val="left"/>
      <w:pPr>
        <w:ind w:left="2115" w:hanging="360"/>
      </w:pPr>
      <w:rPr>
        <w:rFonts w:hint="default"/>
        <w:lang w:val="en-US" w:eastAsia="en-US" w:bidi="ar-SA"/>
      </w:rPr>
    </w:lvl>
    <w:lvl w:ilvl="6">
      <w:start w:val="0"/>
      <w:numFmt w:val="bullet"/>
      <w:lvlText w:val="•"/>
      <w:lvlJc w:val="left"/>
      <w:pPr>
        <w:ind w:left="2458" w:hanging="360"/>
      </w:pPr>
      <w:rPr>
        <w:rFonts w:hint="default"/>
        <w:lang w:val="en-US" w:eastAsia="en-US" w:bidi="ar-SA"/>
      </w:rPr>
    </w:lvl>
    <w:lvl w:ilvl="7">
      <w:start w:val="0"/>
      <w:numFmt w:val="bullet"/>
      <w:lvlText w:val="•"/>
      <w:lvlJc w:val="left"/>
      <w:pPr>
        <w:ind w:left="2801" w:hanging="360"/>
      </w:pPr>
      <w:rPr>
        <w:rFonts w:hint="default"/>
        <w:lang w:val="en-US" w:eastAsia="en-US" w:bidi="ar-SA"/>
      </w:rPr>
    </w:lvl>
    <w:lvl w:ilvl="8">
      <w:start w:val="0"/>
      <w:numFmt w:val="bullet"/>
      <w:lvlText w:val="•"/>
      <w:lvlJc w:val="left"/>
      <w:pPr>
        <w:ind w:left="3144" w:hanging="360"/>
      </w:pPr>
      <w:rPr>
        <w:rFonts w:hint="default"/>
        <w:lang w:val="en-US" w:eastAsia="en-US" w:bidi="ar-SA"/>
      </w:rPr>
    </w:lvl>
  </w:abstractNum>
  <w:abstractNum w:abstractNumId="39">
    <w:multiLevelType w:val="hybridMultilevel"/>
    <w:lvl w:ilvl="0">
      <w:start w:val="0"/>
      <w:numFmt w:val="bullet"/>
      <w:lvlText w:val=""/>
      <w:lvlJc w:val="left"/>
      <w:pPr>
        <w:ind w:left="40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6" w:hanging="360"/>
      </w:pPr>
      <w:rPr>
        <w:rFonts w:hint="default"/>
        <w:lang w:val="en-US" w:eastAsia="en-US" w:bidi="ar-SA"/>
      </w:rPr>
    </w:lvl>
    <w:lvl w:ilvl="3">
      <w:start w:val="0"/>
      <w:numFmt w:val="bullet"/>
      <w:lvlText w:val="•"/>
      <w:lvlJc w:val="left"/>
      <w:pPr>
        <w:ind w:left="1459"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65" w:hanging="360"/>
      </w:pPr>
      <w:rPr>
        <w:rFonts w:hint="default"/>
        <w:lang w:val="en-US" w:eastAsia="en-US" w:bidi="ar-SA"/>
      </w:rPr>
    </w:lvl>
    <w:lvl w:ilvl="6">
      <w:start w:val="0"/>
      <w:numFmt w:val="bullet"/>
      <w:lvlText w:val="•"/>
      <w:lvlJc w:val="left"/>
      <w:pPr>
        <w:ind w:left="2518" w:hanging="360"/>
      </w:pPr>
      <w:rPr>
        <w:rFonts w:hint="default"/>
        <w:lang w:val="en-US" w:eastAsia="en-US" w:bidi="ar-SA"/>
      </w:rPr>
    </w:lvl>
    <w:lvl w:ilvl="7">
      <w:start w:val="0"/>
      <w:numFmt w:val="bullet"/>
      <w:lvlText w:val="•"/>
      <w:lvlJc w:val="left"/>
      <w:pPr>
        <w:ind w:left="2871" w:hanging="360"/>
      </w:pPr>
      <w:rPr>
        <w:rFonts w:hint="default"/>
        <w:lang w:val="en-US" w:eastAsia="en-US" w:bidi="ar-SA"/>
      </w:rPr>
    </w:lvl>
    <w:lvl w:ilvl="8">
      <w:start w:val="0"/>
      <w:numFmt w:val="bullet"/>
      <w:lvlText w:val="•"/>
      <w:lvlJc w:val="left"/>
      <w:pPr>
        <w:ind w:left="3224" w:hanging="360"/>
      </w:pPr>
      <w:rPr>
        <w:rFonts w:hint="default"/>
        <w:lang w:val="en-US" w:eastAsia="en-US" w:bidi="ar-SA"/>
      </w:rPr>
    </w:lvl>
  </w:abstractNum>
  <w:abstractNum w:abstractNumId="38">
    <w:multiLevelType w:val="hybridMultilevel"/>
    <w:lvl w:ilvl="0">
      <w:start w:val="0"/>
      <w:numFmt w:val="bullet"/>
      <w:lvlText w:val=""/>
      <w:lvlJc w:val="left"/>
      <w:pPr>
        <w:ind w:left="39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3" w:hanging="360"/>
      </w:pPr>
      <w:rPr>
        <w:rFonts w:hint="default"/>
        <w:lang w:val="en-US" w:eastAsia="en-US" w:bidi="ar-SA"/>
      </w:rPr>
    </w:lvl>
    <w:lvl w:ilvl="2">
      <w:start w:val="0"/>
      <w:numFmt w:val="bullet"/>
      <w:lvlText w:val="•"/>
      <w:lvlJc w:val="left"/>
      <w:pPr>
        <w:ind w:left="1086" w:hanging="360"/>
      </w:pPr>
      <w:rPr>
        <w:rFonts w:hint="default"/>
        <w:lang w:val="en-US" w:eastAsia="en-US" w:bidi="ar-SA"/>
      </w:rPr>
    </w:lvl>
    <w:lvl w:ilvl="3">
      <w:start w:val="0"/>
      <w:numFmt w:val="bullet"/>
      <w:lvlText w:val="•"/>
      <w:lvlJc w:val="left"/>
      <w:pPr>
        <w:ind w:left="1429" w:hanging="360"/>
      </w:pPr>
      <w:rPr>
        <w:rFonts w:hint="default"/>
        <w:lang w:val="en-US" w:eastAsia="en-US" w:bidi="ar-SA"/>
      </w:rPr>
    </w:lvl>
    <w:lvl w:ilvl="4">
      <w:start w:val="0"/>
      <w:numFmt w:val="bullet"/>
      <w:lvlText w:val="•"/>
      <w:lvlJc w:val="left"/>
      <w:pPr>
        <w:ind w:left="1772" w:hanging="360"/>
      </w:pPr>
      <w:rPr>
        <w:rFonts w:hint="default"/>
        <w:lang w:val="en-US" w:eastAsia="en-US" w:bidi="ar-SA"/>
      </w:rPr>
    </w:lvl>
    <w:lvl w:ilvl="5">
      <w:start w:val="0"/>
      <w:numFmt w:val="bullet"/>
      <w:lvlText w:val="•"/>
      <w:lvlJc w:val="left"/>
      <w:pPr>
        <w:ind w:left="2115" w:hanging="360"/>
      </w:pPr>
      <w:rPr>
        <w:rFonts w:hint="default"/>
        <w:lang w:val="en-US" w:eastAsia="en-US" w:bidi="ar-SA"/>
      </w:rPr>
    </w:lvl>
    <w:lvl w:ilvl="6">
      <w:start w:val="0"/>
      <w:numFmt w:val="bullet"/>
      <w:lvlText w:val="•"/>
      <w:lvlJc w:val="left"/>
      <w:pPr>
        <w:ind w:left="2458" w:hanging="360"/>
      </w:pPr>
      <w:rPr>
        <w:rFonts w:hint="default"/>
        <w:lang w:val="en-US" w:eastAsia="en-US" w:bidi="ar-SA"/>
      </w:rPr>
    </w:lvl>
    <w:lvl w:ilvl="7">
      <w:start w:val="0"/>
      <w:numFmt w:val="bullet"/>
      <w:lvlText w:val="•"/>
      <w:lvlJc w:val="left"/>
      <w:pPr>
        <w:ind w:left="2801" w:hanging="360"/>
      </w:pPr>
      <w:rPr>
        <w:rFonts w:hint="default"/>
        <w:lang w:val="en-US" w:eastAsia="en-US" w:bidi="ar-SA"/>
      </w:rPr>
    </w:lvl>
    <w:lvl w:ilvl="8">
      <w:start w:val="0"/>
      <w:numFmt w:val="bullet"/>
      <w:lvlText w:val="•"/>
      <w:lvlJc w:val="left"/>
      <w:pPr>
        <w:ind w:left="3144" w:hanging="360"/>
      </w:pPr>
      <w:rPr>
        <w:rFonts w:hint="default"/>
        <w:lang w:val="en-US" w:eastAsia="en-US" w:bidi="ar-SA"/>
      </w:rPr>
    </w:lvl>
  </w:abstractNum>
  <w:abstractNum w:abstractNumId="37">
    <w:multiLevelType w:val="hybridMultilevel"/>
    <w:lvl w:ilvl="0">
      <w:start w:val="0"/>
      <w:numFmt w:val="bullet"/>
      <w:lvlText w:val=""/>
      <w:lvlJc w:val="left"/>
      <w:pPr>
        <w:ind w:left="40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6" w:hanging="360"/>
      </w:pPr>
      <w:rPr>
        <w:rFonts w:hint="default"/>
        <w:lang w:val="en-US" w:eastAsia="en-US" w:bidi="ar-SA"/>
      </w:rPr>
    </w:lvl>
    <w:lvl w:ilvl="3">
      <w:start w:val="0"/>
      <w:numFmt w:val="bullet"/>
      <w:lvlText w:val="•"/>
      <w:lvlJc w:val="left"/>
      <w:pPr>
        <w:ind w:left="1459"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65" w:hanging="360"/>
      </w:pPr>
      <w:rPr>
        <w:rFonts w:hint="default"/>
        <w:lang w:val="en-US" w:eastAsia="en-US" w:bidi="ar-SA"/>
      </w:rPr>
    </w:lvl>
    <w:lvl w:ilvl="6">
      <w:start w:val="0"/>
      <w:numFmt w:val="bullet"/>
      <w:lvlText w:val="•"/>
      <w:lvlJc w:val="left"/>
      <w:pPr>
        <w:ind w:left="2518" w:hanging="360"/>
      </w:pPr>
      <w:rPr>
        <w:rFonts w:hint="default"/>
        <w:lang w:val="en-US" w:eastAsia="en-US" w:bidi="ar-SA"/>
      </w:rPr>
    </w:lvl>
    <w:lvl w:ilvl="7">
      <w:start w:val="0"/>
      <w:numFmt w:val="bullet"/>
      <w:lvlText w:val="•"/>
      <w:lvlJc w:val="left"/>
      <w:pPr>
        <w:ind w:left="2871" w:hanging="360"/>
      </w:pPr>
      <w:rPr>
        <w:rFonts w:hint="default"/>
        <w:lang w:val="en-US" w:eastAsia="en-US" w:bidi="ar-SA"/>
      </w:rPr>
    </w:lvl>
    <w:lvl w:ilvl="8">
      <w:start w:val="0"/>
      <w:numFmt w:val="bullet"/>
      <w:lvlText w:val="•"/>
      <w:lvlJc w:val="left"/>
      <w:pPr>
        <w:ind w:left="3224" w:hanging="360"/>
      </w:pPr>
      <w:rPr>
        <w:rFonts w:hint="default"/>
        <w:lang w:val="en-US" w:eastAsia="en-US" w:bidi="ar-SA"/>
      </w:rPr>
    </w:lvl>
  </w:abstractNum>
  <w:abstractNum w:abstractNumId="36">
    <w:multiLevelType w:val="hybridMultilevel"/>
    <w:lvl w:ilvl="0">
      <w:start w:val="0"/>
      <w:numFmt w:val="bullet"/>
      <w:lvlText w:val=""/>
      <w:lvlJc w:val="left"/>
      <w:pPr>
        <w:ind w:left="39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3" w:hanging="360"/>
      </w:pPr>
      <w:rPr>
        <w:rFonts w:hint="default"/>
        <w:lang w:val="en-US" w:eastAsia="en-US" w:bidi="ar-SA"/>
      </w:rPr>
    </w:lvl>
    <w:lvl w:ilvl="2">
      <w:start w:val="0"/>
      <w:numFmt w:val="bullet"/>
      <w:lvlText w:val="•"/>
      <w:lvlJc w:val="left"/>
      <w:pPr>
        <w:ind w:left="1086" w:hanging="360"/>
      </w:pPr>
      <w:rPr>
        <w:rFonts w:hint="default"/>
        <w:lang w:val="en-US" w:eastAsia="en-US" w:bidi="ar-SA"/>
      </w:rPr>
    </w:lvl>
    <w:lvl w:ilvl="3">
      <w:start w:val="0"/>
      <w:numFmt w:val="bullet"/>
      <w:lvlText w:val="•"/>
      <w:lvlJc w:val="left"/>
      <w:pPr>
        <w:ind w:left="1429" w:hanging="360"/>
      </w:pPr>
      <w:rPr>
        <w:rFonts w:hint="default"/>
        <w:lang w:val="en-US" w:eastAsia="en-US" w:bidi="ar-SA"/>
      </w:rPr>
    </w:lvl>
    <w:lvl w:ilvl="4">
      <w:start w:val="0"/>
      <w:numFmt w:val="bullet"/>
      <w:lvlText w:val="•"/>
      <w:lvlJc w:val="left"/>
      <w:pPr>
        <w:ind w:left="1772" w:hanging="360"/>
      </w:pPr>
      <w:rPr>
        <w:rFonts w:hint="default"/>
        <w:lang w:val="en-US" w:eastAsia="en-US" w:bidi="ar-SA"/>
      </w:rPr>
    </w:lvl>
    <w:lvl w:ilvl="5">
      <w:start w:val="0"/>
      <w:numFmt w:val="bullet"/>
      <w:lvlText w:val="•"/>
      <w:lvlJc w:val="left"/>
      <w:pPr>
        <w:ind w:left="2115" w:hanging="360"/>
      </w:pPr>
      <w:rPr>
        <w:rFonts w:hint="default"/>
        <w:lang w:val="en-US" w:eastAsia="en-US" w:bidi="ar-SA"/>
      </w:rPr>
    </w:lvl>
    <w:lvl w:ilvl="6">
      <w:start w:val="0"/>
      <w:numFmt w:val="bullet"/>
      <w:lvlText w:val="•"/>
      <w:lvlJc w:val="left"/>
      <w:pPr>
        <w:ind w:left="2458" w:hanging="360"/>
      </w:pPr>
      <w:rPr>
        <w:rFonts w:hint="default"/>
        <w:lang w:val="en-US" w:eastAsia="en-US" w:bidi="ar-SA"/>
      </w:rPr>
    </w:lvl>
    <w:lvl w:ilvl="7">
      <w:start w:val="0"/>
      <w:numFmt w:val="bullet"/>
      <w:lvlText w:val="•"/>
      <w:lvlJc w:val="left"/>
      <w:pPr>
        <w:ind w:left="2801" w:hanging="360"/>
      </w:pPr>
      <w:rPr>
        <w:rFonts w:hint="default"/>
        <w:lang w:val="en-US" w:eastAsia="en-US" w:bidi="ar-SA"/>
      </w:rPr>
    </w:lvl>
    <w:lvl w:ilvl="8">
      <w:start w:val="0"/>
      <w:numFmt w:val="bullet"/>
      <w:lvlText w:val="•"/>
      <w:lvlJc w:val="left"/>
      <w:pPr>
        <w:ind w:left="3144" w:hanging="360"/>
      </w:pPr>
      <w:rPr>
        <w:rFonts w:hint="default"/>
        <w:lang w:val="en-US" w:eastAsia="en-US" w:bidi="ar-SA"/>
      </w:rPr>
    </w:lvl>
  </w:abstractNum>
  <w:abstractNum w:abstractNumId="35">
    <w:multiLevelType w:val="hybridMultilevel"/>
    <w:lvl w:ilvl="0">
      <w:start w:val="0"/>
      <w:numFmt w:val="bullet"/>
      <w:lvlText w:val=""/>
      <w:lvlJc w:val="left"/>
      <w:pPr>
        <w:ind w:left="40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6" w:hanging="360"/>
      </w:pPr>
      <w:rPr>
        <w:rFonts w:hint="default"/>
        <w:lang w:val="en-US" w:eastAsia="en-US" w:bidi="ar-SA"/>
      </w:rPr>
    </w:lvl>
    <w:lvl w:ilvl="3">
      <w:start w:val="0"/>
      <w:numFmt w:val="bullet"/>
      <w:lvlText w:val="•"/>
      <w:lvlJc w:val="left"/>
      <w:pPr>
        <w:ind w:left="1459"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65" w:hanging="360"/>
      </w:pPr>
      <w:rPr>
        <w:rFonts w:hint="default"/>
        <w:lang w:val="en-US" w:eastAsia="en-US" w:bidi="ar-SA"/>
      </w:rPr>
    </w:lvl>
    <w:lvl w:ilvl="6">
      <w:start w:val="0"/>
      <w:numFmt w:val="bullet"/>
      <w:lvlText w:val="•"/>
      <w:lvlJc w:val="left"/>
      <w:pPr>
        <w:ind w:left="2518" w:hanging="360"/>
      </w:pPr>
      <w:rPr>
        <w:rFonts w:hint="default"/>
        <w:lang w:val="en-US" w:eastAsia="en-US" w:bidi="ar-SA"/>
      </w:rPr>
    </w:lvl>
    <w:lvl w:ilvl="7">
      <w:start w:val="0"/>
      <w:numFmt w:val="bullet"/>
      <w:lvlText w:val="•"/>
      <w:lvlJc w:val="left"/>
      <w:pPr>
        <w:ind w:left="2871" w:hanging="360"/>
      </w:pPr>
      <w:rPr>
        <w:rFonts w:hint="default"/>
        <w:lang w:val="en-US" w:eastAsia="en-US" w:bidi="ar-SA"/>
      </w:rPr>
    </w:lvl>
    <w:lvl w:ilvl="8">
      <w:start w:val="0"/>
      <w:numFmt w:val="bullet"/>
      <w:lvlText w:val="•"/>
      <w:lvlJc w:val="left"/>
      <w:pPr>
        <w:ind w:left="3224" w:hanging="360"/>
      </w:pPr>
      <w:rPr>
        <w:rFonts w:hint="default"/>
        <w:lang w:val="en-US" w:eastAsia="en-US" w:bidi="ar-SA"/>
      </w:rPr>
    </w:lvl>
  </w:abstractNum>
  <w:abstractNum w:abstractNumId="34">
    <w:multiLevelType w:val="hybridMultilevel"/>
    <w:lvl w:ilvl="0">
      <w:start w:val="0"/>
      <w:numFmt w:val="bullet"/>
      <w:lvlText w:val=""/>
      <w:lvlJc w:val="left"/>
      <w:pPr>
        <w:ind w:left="39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3" w:hanging="360"/>
      </w:pPr>
      <w:rPr>
        <w:rFonts w:hint="default"/>
        <w:lang w:val="en-US" w:eastAsia="en-US" w:bidi="ar-SA"/>
      </w:rPr>
    </w:lvl>
    <w:lvl w:ilvl="2">
      <w:start w:val="0"/>
      <w:numFmt w:val="bullet"/>
      <w:lvlText w:val="•"/>
      <w:lvlJc w:val="left"/>
      <w:pPr>
        <w:ind w:left="1086" w:hanging="360"/>
      </w:pPr>
      <w:rPr>
        <w:rFonts w:hint="default"/>
        <w:lang w:val="en-US" w:eastAsia="en-US" w:bidi="ar-SA"/>
      </w:rPr>
    </w:lvl>
    <w:lvl w:ilvl="3">
      <w:start w:val="0"/>
      <w:numFmt w:val="bullet"/>
      <w:lvlText w:val="•"/>
      <w:lvlJc w:val="left"/>
      <w:pPr>
        <w:ind w:left="1429" w:hanging="360"/>
      </w:pPr>
      <w:rPr>
        <w:rFonts w:hint="default"/>
        <w:lang w:val="en-US" w:eastAsia="en-US" w:bidi="ar-SA"/>
      </w:rPr>
    </w:lvl>
    <w:lvl w:ilvl="4">
      <w:start w:val="0"/>
      <w:numFmt w:val="bullet"/>
      <w:lvlText w:val="•"/>
      <w:lvlJc w:val="left"/>
      <w:pPr>
        <w:ind w:left="1772" w:hanging="360"/>
      </w:pPr>
      <w:rPr>
        <w:rFonts w:hint="default"/>
        <w:lang w:val="en-US" w:eastAsia="en-US" w:bidi="ar-SA"/>
      </w:rPr>
    </w:lvl>
    <w:lvl w:ilvl="5">
      <w:start w:val="0"/>
      <w:numFmt w:val="bullet"/>
      <w:lvlText w:val="•"/>
      <w:lvlJc w:val="left"/>
      <w:pPr>
        <w:ind w:left="2115" w:hanging="360"/>
      </w:pPr>
      <w:rPr>
        <w:rFonts w:hint="default"/>
        <w:lang w:val="en-US" w:eastAsia="en-US" w:bidi="ar-SA"/>
      </w:rPr>
    </w:lvl>
    <w:lvl w:ilvl="6">
      <w:start w:val="0"/>
      <w:numFmt w:val="bullet"/>
      <w:lvlText w:val="•"/>
      <w:lvlJc w:val="left"/>
      <w:pPr>
        <w:ind w:left="2458" w:hanging="360"/>
      </w:pPr>
      <w:rPr>
        <w:rFonts w:hint="default"/>
        <w:lang w:val="en-US" w:eastAsia="en-US" w:bidi="ar-SA"/>
      </w:rPr>
    </w:lvl>
    <w:lvl w:ilvl="7">
      <w:start w:val="0"/>
      <w:numFmt w:val="bullet"/>
      <w:lvlText w:val="•"/>
      <w:lvlJc w:val="left"/>
      <w:pPr>
        <w:ind w:left="2801" w:hanging="360"/>
      </w:pPr>
      <w:rPr>
        <w:rFonts w:hint="default"/>
        <w:lang w:val="en-US" w:eastAsia="en-US" w:bidi="ar-SA"/>
      </w:rPr>
    </w:lvl>
    <w:lvl w:ilvl="8">
      <w:start w:val="0"/>
      <w:numFmt w:val="bullet"/>
      <w:lvlText w:val="•"/>
      <w:lvlJc w:val="left"/>
      <w:pPr>
        <w:ind w:left="3144" w:hanging="360"/>
      </w:pPr>
      <w:rPr>
        <w:rFonts w:hint="default"/>
        <w:lang w:val="en-US" w:eastAsia="en-US" w:bidi="ar-SA"/>
      </w:rPr>
    </w:lvl>
  </w:abstractNum>
  <w:abstractNum w:abstractNumId="33">
    <w:multiLevelType w:val="hybridMultilevel"/>
    <w:lvl w:ilvl="0">
      <w:start w:val="0"/>
      <w:numFmt w:val="bullet"/>
      <w:lvlText w:val=""/>
      <w:lvlJc w:val="left"/>
      <w:pPr>
        <w:ind w:left="40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6" w:hanging="360"/>
      </w:pPr>
      <w:rPr>
        <w:rFonts w:hint="default"/>
        <w:lang w:val="en-US" w:eastAsia="en-US" w:bidi="ar-SA"/>
      </w:rPr>
    </w:lvl>
    <w:lvl w:ilvl="3">
      <w:start w:val="0"/>
      <w:numFmt w:val="bullet"/>
      <w:lvlText w:val="•"/>
      <w:lvlJc w:val="left"/>
      <w:pPr>
        <w:ind w:left="1459"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65" w:hanging="360"/>
      </w:pPr>
      <w:rPr>
        <w:rFonts w:hint="default"/>
        <w:lang w:val="en-US" w:eastAsia="en-US" w:bidi="ar-SA"/>
      </w:rPr>
    </w:lvl>
    <w:lvl w:ilvl="6">
      <w:start w:val="0"/>
      <w:numFmt w:val="bullet"/>
      <w:lvlText w:val="•"/>
      <w:lvlJc w:val="left"/>
      <w:pPr>
        <w:ind w:left="2518" w:hanging="360"/>
      </w:pPr>
      <w:rPr>
        <w:rFonts w:hint="default"/>
        <w:lang w:val="en-US" w:eastAsia="en-US" w:bidi="ar-SA"/>
      </w:rPr>
    </w:lvl>
    <w:lvl w:ilvl="7">
      <w:start w:val="0"/>
      <w:numFmt w:val="bullet"/>
      <w:lvlText w:val="•"/>
      <w:lvlJc w:val="left"/>
      <w:pPr>
        <w:ind w:left="2871" w:hanging="360"/>
      </w:pPr>
      <w:rPr>
        <w:rFonts w:hint="default"/>
        <w:lang w:val="en-US" w:eastAsia="en-US" w:bidi="ar-SA"/>
      </w:rPr>
    </w:lvl>
    <w:lvl w:ilvl="8">
      <w:start w:val="0"/>
      <w:numFmt w:val="bullet"/>
      <w:lvlText w:val="•"/>
      <w:lvlJc w:val="left"/>
      <w:pPr>
        <w:ind w:left="3224" w:hanging="360"/>
      </w:pPr>
      <w:rPr>
        <w:rFonts w:hint="default"/>
        <w:lang w:val="en-US" w:eastAsia="en-US" w:bidi="ar-SA"/>
      </w:rPr>
    </w:lvl>
  </w:abstractNum>
  <w:abstractNum w:abstractNumId="32">
    <w:multiLevelType w:val="hybridMultilevel"/>
    <w:lvl w:ilvl="0">
      <w:start w:val="0"/>
      <w:numFmt w:val="bullet"/>
      <w:lvlText w:val=""/>
      <w:lvlJc w:val="left"/>
      <w:pPr>
        <w:ind w:left="39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3" w:hanging="360"/>
      </w:pPr>
      <w:rPr>
        <w:rFonts w:hint="default"/>
        <w:lang w:val="en-US" w:eastAsia="en-US" w:bidi="ar-SA"/>
      </w:rPr>
    </w:lvl>
    <w:lvl w:ilvl="2">
      <w:start w:val="0"/>
      <w:numFmt w:val="bullet"/>
      <w:lvlText w:val="•"/>
      <w:lvlJc w:val="left"/>
      <w:pPr>
        <w:ind w:left="1086" w:hanging="360"/>
      </w:pPr>
      <w:rPr>
        <w:rFonts w:hint="default"/>
        <w:lang w:val="en-US" w:eastAsia="en-US" w:bidi="ar-SA"/>
      </w:rPr>
    </w:lvl>
    <w:lvl w:ilvl="3">
      <w:start w:val="0"/>
      <w:numFmt w:val="bullet"/>
      <w:lvlText w:val="•"/>
      <w:lvlJc w:val="left"/>
      <w:pPr>
        <w:ind w:left="1429" w:hanging="360"/>
      </w:pPr>
      <w:rPr>
        <w:rFonts w:hint="default"/>
        <w:lang w:val="en-US" w:eastAsia="en-US" w:bidi="ar-SA"/>
      </w:rPr>
    </w:lvl>
    <w:lvl w:ilvl="4">
      <w:start w:val="0"/>
      <w:numFmt w:val="bullet"/>
      <w:lvlText w:val="•"/>
      <w:lvlJc w:val="left"/>
      <w:pPr>
        <w:ind w:left="1772" w:hanging="360"/>
      </w:pPr>
      <w:rPr>
        <w:rFonts w:hint="default"/>
        <w:lang w:val="en-US" w:eastAsia="en-US" w:bidi="ar-SA"/>
      </w:rPr>
    </w:lvl>
    <w:lvl w:ilvl="5">
      <w:start w:val="0"/>
      <w:numFmt w:val="bullet"/>
      <w:lvlText w:val="•"/>
      <w:lvlJc w:val="left"/>
      <w:pPr>
        <w:ind w:left="2115" w:hanging="360"/>
      </w:pPr>
      <w:rPr>
        <w:rFonts w:hint="default"/>
        <w:lang w:val="en-US" w:eastAsia="en-US" w:bidi="ar-SA"/>
      </w:rPr>
    </w:lvl>
    <w:lvl w:ilvl="6">
      <w:start w:val="0"/>
      <w:numFmt w:val="bullet"/>
      <w:lvlText w:val="•"/>
      <w:lvlJc w:val="left"/>
      <w:pPr>
        <w:ind w:left="2458" w:hanging="360"/>
      </w:pPr>
      <w:rPr>
        <w:rFonts w:hint="default"/>
        <w:lang w:val="en-US" w:eastAsia="en-US" w:bidi="ar-SA"/>
      </w:rPr>
    </w:lvl>
    <w:lvl w:ilvl="7">
      <w:start w:val="0"/>
      <w:numFmt w:val="bullet"/>
      <w:lvlText w:val="•"/>
      <w:lvlJc w:val="left"/>
      <w:pPr>
        <w:ind w:left="2801" w:hanging="360"/>
      </w:pPr>
      <w:rPr>
        <w:rFonts w:hint="default"/>
        <w:lang w:val="en-US" w:eastAsia="en-US" w:bidi="ar-SA"/>
      </w:rPr>
    </w:lvl>
    <w:lvl w:ilvl="8">
      <w:start w:val="0"/>
      <w:numFmt w:val="bullet"/>
      <w:lvlText w:val="•"/>
      <w:lvlJc w:val="left"/>
      <w:pPr>
        <w:ind w:left="3144" w:hanging="360"/>
      </w:pPr>
      <w:rPr>
        <w:rFonts w:hint="default"/>
        <w:lang w:val="en-US" w:eastAsia="en-US" w:bidi="ar-SA"/>
      </w:rPr>
    </w:lvl>
  </w:abstractNum>
  <w:abstractNum w:abstractNumId="31">
    <w:multiLevelType w:val="hybridMultilevel"/>
    <w:lvl w:ilvl="0">
      <w:start w:val="0"/>
      <w:numFmt w:val="bullet"/>
      <w:lvlText w:val=""/>
      <w:lvlJc w:val="left"/>
      <w:pPr>
        <w:ind w:left="40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6" w:hanging="360"/>
      </w:pPr>
      <w:rPr>
        <w:rFonts w:hint="default"/>
        <w:lang w:val="en-US" w:eastAsia="en-US" w:bidi="ar-SA"/>
      </w:rPr>
    </w:lvl>
    <w:lvl w:ilvl="3">
      <w:start w:val="0"/>
      <w:numFmt w:val="bullet"/>
      <w:lvlText w:val="•"/>
      <w:lvlJc w:val="left"/>
      <w:pPr>
        <w:ind w:left="1459"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65" w:hanging="360"/>
      </w:pPr>
      <w:rPr>
        <w:rFonts w:hint="default"/>
        <w:lang w:val="en-US" w:eastAsia="en-US" w:bidi="ar-SA"/>
      </w:rPr>
    </w:lvl>
    <w:lvl w:ilvl="6">
      <w:start w:val="0"/>
      <w:numFmt w:val="bullet"/>
      <w:lvlText w:val="•"/>
      <w:lvlJc w:val="left"/>
      <w:pPr>
        <w:ind w:left="2518" w:hanging="360"/>
      </w:pPr>
      <w:rPr>
        <w:rFonts w:hint="default"/>
        <w:lang w:val="en-US" w:eastAsia="en-US" w:bidi="ar-SA"/>
      </w:rPr>
    </w:lvl>
    <w:lvl w:ilvl="7">
      <w:start w:val="0"/>
      <w:numFmt w:val="bullet"/>
      <w:lvlText w:val="•"/>
      <w:lvlJc w:val="left"/>
      <w:pPr>
        <w:ind w:left="2871" w:hanging="360"/>
      </w:pPr>
      <w:rPr>
        <w:rFonts w:hint="default"/>
        <w:lang w:val="en-US" w:eastAsia="en-US" w:bidi="ar-SA"/>
      </w:rPr>
    </w:lvl>
    <w:lvl w:ilvl="8">
      <w:start w:val="0"/>
      <w:numFmt w:val="bullet"/>
      <w:lvlText w:val="•"/>
      <w:lvlJc w:val="left"/>
      <w:pPr>
        <w:ind w:left="3224" w:hanging="360"/>
      </w:pPr>
      <w:rPr>
        <w:rFonts w:hint="default"/>
        <w:lang w:val="en-US" w:eastAsia="en-US" w:bidi="ar-SA"/>
      </w:rPr>
    </w:lvl>
  </w:abstractNum>
  <w:abstractNum w:abstractNumId="30">
    <w:multiLevelType w:val="hybridMultilevel"/>
    <w:lvl w:ilvl="0">
      <w:start w:val="0"/>
      <w:numFmt w:val="bullet"/>
      <w:lvlText w:val=""/>
      <w:lvlJc w:val="left"/>
      <w:pPr>
        <w:ind w:left="39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3" w:hanging="360"/>
      </w:pPr>
      <w:rPr>
        <w:rFonts w:hint="default"/>
        <w:lang w:val="en-US" w:eastAsia="en-US" w:bidi="ar-SA"/>
      </w:rPr>
    </w:lvl>
    <w:lvl w:ilvl="2">
      <w:start w:val="0"/>
      <w:numFmt w:val="bullet"/>
      <w:lvlText w:val="•"/>
      <w:lvlJc w:val="left"/>
      <w:pPr>
        <w:ind w:left="1086" w:hanging="360"/>
      </w:pPr>
      <w:rPr>
        <w:rFonts w:hint="default"/>
        <w:lang w:val="en-US" w:eastAsia="en-US" w:bidi="ar-SA"/>
      </w:rPr>
    </w:lvl>
    <w:lvl w:ilvl="3">
      <w:start w:val="0"/>
      <w:numFmt w:val="bullet"/>
      <w:lvlText w:val="•"/>
      <w:lvlJc w:val="left"/>
      <w:pPr>
        <w:ind w:left="1429" w:hanging="360"/>
      </w:pPr>
      <w:rPr>
        <w:rFonts w:hint="default"/>
        <w:lang w:val="en-US" w:eastAsia="en-US" w:bidi="ar-SA"/>
      </w:rPr>
    </w:lvl>
    <w:lvl w:ilvl="4">
      <w:start w:val="0"/>
      <w:numFmt w:val="bullet"/>
      <w:lvlText w:val="•"/>
      <w:lvlJc w:val="left"/>
      <w:pPr>
        <w:ind w:left="1772" w:hanging="360"/>
      </w:pPr>
      <w:rPr>
        <w:rFonts w:hint="default"/>
        <w:lang w:val="en-US" w:eastAsia="en-US" w:bidi="ar-SA"/>
      </w:rPr>
    </w:lvl>
    <w:lvl w:ilvl="5">
      <w:start w:val="0"/>
      <w:numFmt w:val="bullet"/>
      <w:lvlText w:val="•"/>
      <w:lvlJc w:val="left"/>
      <w:pPr>
        <w:ind w:left="2115" w:hanging="360"/>
      </w:pPr>
      <w:rPr>
        <w:rFonts w:hint="default"/>
        <w:lang w:val="en-US" w:eastAsia="en-US" w:bidi="ar-SA"/>
      </w:rPr>
    </w:lvl>
    <w:lvl w:ilvl="6">
      <w:start w:val="0"/>
      <w:numFmt w:val="bullet"/>
      <w:lvlText w:val="•"/>
      <w:lvlJc w:val="left"/>
      <w:pPr>
        <w:ind w:left="2458" w:hanging="360"/>
      </w:pPr>
      <w:rPr>
        <w:rFonts w:hint="default"/>
        <w:lang w:val="en-US" w:eastAsia="en-US" w:bidi="ar-SA"/>
      </w:rPr>
    </w:lvl>
    <w:lvl w:ilvl="7">
      <w:start w:val="0"/>
      <w:numFmt w:val="bullet"/>
      <w:lvlText w:val="•"/>
      <w:lvlJc w:val="left"/>
      <w:pPr>
        <w:ind w:left="2801" w:hanging="360"/>
      </w:pPr>
      <w:rPr>
        <w:rFonts w:hint="default"/>
        <w:lang w:val="en-US" w:eastAsia="en-US" w:bidi="ar-SA"/>
      </w:rPr>
    </w:lvl>
    <w:lvl w:ilvl="8">
      <w:start w:val="0"/>
      <w:numFmt w:val="bullet"/>
      <w:lvlText w:val="•"/>
      <w:lvlJc w:val="left"/>
      <w:pPr>
        <w:ind w:left="3144" w:hanging="360"/>
      </w:pPr>
      <w:rPr>
        <w:rFonts w:hint="default"/>
        <w:lang w:val="en-US" w:eastAsia="en-US" w:bidi="ar-SA"/>
      </w:rPr>
    </w:lvl>
  </w:abstractNum>
  <w:abstractNum w:abstractNumId="29">
    <w:multiLevelType w:val="hybridMultilevel"/>
    <w:lvl w:ilvl="0">
      <w:start w:val="0"/>
      <w:numFmt w:val="bullet"/>
      <w:lvlText w:val=""/>
      <w:lvlJc w:val="left"/>
      <w:pPr>
        <w:ind w:left="40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53" w:hanging="360"/>
      </w:pPr>
      <w:rPr>
        <w:rFonts w:hint="default"/>
        <w:lang w:val="en-US" w:eastAsia="en-US" w:bidi="ar-SA"/>
      </w:rPr>
    </w:lvl>
    <w:lvl w:ilvl="2">
      <w:start w:val="0"/>
      <w:numFmt w:val="bullet"/>
      <w:lvlText w:val="•"/>
      <w:lvlJc w:val="left"/>
      <w:pPr>
        <w:ind w:left="1106" w:hanging="360"/>
      </w:pPr>
      <w:rPr>
        <w:rFonts w:hint="default"/>
        <w:lang w:val="en-US" w:eastAsia="en-US" w:bidi="ar-SA"/>
      </w:rPr>
    </w:lvl>
    <w:lvl w:ilvl="3">
      <w:start w:val="0"/>
      <w:numFmt w:val="bullet"/>
      <w:lvlText w:val="•"/>
      <w:lvlJc w:val="left"/>
      <w:pPr>
        <w:ind w:left="1459"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65" w:hanging="360"/>
      </w:pPr>
      <w:rPr>
        <w:rFonts w:hint="default"/>
        <w:lang w:val="en-US" w:eastAsia="en-US" w:bidi="ar-SA"/>
      </w:rPr>
    </w:lvl>
    <w:lvl w:ilvl="6">
      <w:start w:val="0"/>
      <w:numFmt w:val="bullet"/>
      <w:lvlText w:val="•"/>
      <w:lvlJc w:val="left"/>
      <w:pPr>
        <w:ind w:left="2518" w:hanging="360"/>
      </w:pPr>
      <w:rPr>
        <w:rFonts w:hint="default"/>
        <w:lang w:val="en-US" w:eastAsia="en-US" w:bidi="ar-SA"/>
      </w:rPr>
    </w:lvl>
    <w:lvl w:ilvl="7">
      <w:start w:val="0"/>
      <w:numFmt w:val="bullet"/>
      <w:lvlText w:val="•"/>
      <w:lvlJc w:val="left"/>
      <w:pPr>
        <w:ind w:left="2871" w:hanging="360"/>
      </w:pPr>
      <w:rPr>
        <w:rFonts w:hint="default"/>
        <w:lang w:val="en-US" w:eastAsia="en-US" w:bidi="ar-SA"/>
      </w:rPr>
    </w:lvl>
    <w:lvl w:ilvl="8">
      <w:start w:val="0"/>
      <w:numFmt w:val="bullet"/>
      <w:lvlText w:val="•"/>
      <w:lvlJc w:val="left"/>
      <w:pPr>
        <w:ind w:left="3224" w:hanging="360"/>
      </w:pPr>
      <w:rPr>
        <w:rFonts w:hint="default"/>
        <w:lang w:val="en-US" w:eastAsia="en-US" w:bidi="ar-SA"/>
      </w:rPr>
    </w:lvl>
  </w:abstractNum>
  <w:abstractNum w:abstractNumId="28">
    <w:multiLevelType w:val="hybridMultilevel"/>
    <w:lvl w:ilvl="0">
      <w:start w:val="0"/>
      <w:numFmt w:val="bullet"/>
      <w:lvlText w:val=""/>
      <w:lvlJc w:val="left"/>
      <w:pPr>
        <w:ind w:left="391"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43" w:hanging="360"/>
      </w:pPr>
      <w:rPr>
        <w:rFonts w:hint="default"/>
        <w:lang w:val="en-US" w:eastAsia="en-US" w:bidi="ar-SA"/>
      </w:rPr>
    </w:lvl>
    <w:lvl w:ilvl="2">
      <w:start w:val="0"/>
      <w:numFmt w:val="bullet"/>
      <w:lvlText w:val="•"/>
      <w:lvlJc w:val="left"/>
      <w:pPr>
        <w:ind w:left="1086" w:hanging="360"/>
      </w:pPr>
      <w:rPr>
        <w:rFonts w:hint="default"/>
        <w:lang w:val="en-US" w:eastAsia="en-US" w:bidi="ar-SA"/>
      </w:rPr>
    </w:lvl>
    <w:lvl w:ilvl="3">
      <w:start w:val="0"/>
      <w:numFmt w:val="bullet"/>
      <w:lvlText w:val="•"/>
      <w:lvlJc w:val="left"/>
      <w:pPr>
        <w:ind w:left="1429" w:hanging="360"/>
      </w:pPr>
      <w:rPr>
        <w:rFonts w:hint="default"/>
        <w:lang w:val="en-US" w:eastAsia="en-US" w:bidi="ar-SA"/>
      </w:rPr>
    </w:lvl>
    <w:lvl w:ilvl="4">
      <w:start w:val="0"/>
      <w:numFmt w:val="bullet"/>
      <w:lvlText w:val="•"/>
      <w:lvlJc w:val="left"/>
      <w:pPr>
        <w:ind w:left="1772" w:hanging="360"/>
      </w:pPr>
      <w:rPr>
        <w:rFonts w:hint="default"/>
        <w:lang w:val="en-US" w:eastAsia="en-US" w:bidi="ar-SA"/>
      </w:rPr>
    </w:lvl>
    <w:lvl w:ilvl="5">
      <w:start w:val="0"/>
      <w:numFmt w:val="bullet"/>
      <w:lvlText w:val="•"/>
      <w:lvlJc w:val="left"/>
      <w:pPr>
        <w:ind w:left="2115" w:hanging="360"/>
      </w:pPr>
      <w:rPr>
        <w:rFonts w:hint="default"/>
        <w:lang w:val="en-US" w:eastAsia="en-US" w:bidi="ar-SA"/>
      </w:rPr>
    </w:lvl>
    <w:lvl w:ilvl="6">
      <w:start w:val="0"/>
      <w:numFmt w:val="bullet"/>
      <w:lvlText w:val="•"/>
      <w:lvlJc w:val="left"/>
      <w:pPr>
        <w:ind w:left="2458" w:hanging="360"/>
      </w:pPr>
      <w:rPr>
        <w:rFonts w:hint="default"/>
        <w:lang w:val="en-US" w:eastAsia="en-US" w:bidi="ar-SA"/>
      </w:rPr>
    </w:lvl>
    <w:lvl w:ilvl="7">
      <w:start w:val="0"/>
      <w:numFmt w:val="bullet"/>
      <w:lvlText w:val="•"/>
      <w:lvlJc w:val="left"/>
      <w:pPr>
        <w:ind w:left="2801" w:hanging="360"/>
      </w:pPr>
      <w:rPr>
        <w:rFonts w:hint="default"/>
        <w:lang w:val="en-US" w:eastAsia="en-US" w:bidi="ar-SA"/>
      </w:rPr>
    </w:lvl>
    <w:lvl w:ilvl="8">
      <w:start w:val="0"/>
      <w:numFmt w:val="bullet"/>
      <w:lvlText w:val="•"/>
      <w:lvlJc w:val="left"/>
      <w:pPr>
        <w:ind w:left="3144" w:hanging="360"/>
      </w:pPr>
      <w:rPr>
        <w:rFonts w:hint="default"/>
        <w:lang w:val="en-US" w:eastAsia="en-US" w:bidi="ar-SA"/>
      </w:rPr>
    </w:lvl>
  </w:abstractNum>
  <w:abstractNum w:abstractNumId="27">
    <w:multiLevelType w:val="hybridMultilevel"/>
    <w:lvl w:ilvl="0">
      <w:start w:val="1"/>
      <w:numFmt w:val="decimal"/>
      <w:lvlText w:val="%1."/>
      <w:lvlJc w:val="left"/>
      <w:pPr>
        <w:ind w:left="879" w:hanging="360"/>
        <w:jc w:val="left"/>
      </w:pPr>
      <w:rPr>
        <w:rFonts w:hint="default" w:ascii="Times New Roman" w:hAnsi="Times New Roman" w:eastAsia="Times New Roman" w:cs="Times New Roman"/>
        <w:b/>
        <w:bCs/>
        <w:i w:val="0"/>
        <w:iCs w:val="0"/>
        <w:color w:val="010202"/>
        <w:w w:val="100"/>
        <w:sz w:val="22"/>
        <w:szCs w:val="22"/>
        <w:lang w:val="en-US" w:eastAsia="en-US" w:bidi="ar-SA"/>
      </w:rPr>
    </w:lvl>
    <w:lvl w:ilvl="1">
      <w:start w:val="0"/>
      <w:numFmt w:val="bullet"/>
      <w:lvlText w:val="•"/>
      <w:lvlJc w:val="left"/>
      <w:pPr>
        <w:ind w:left="1315" w:hanging="360"/>
      </w:pPr>
      <w:rPr>
        <w:rFonts w:hint="default"/>
        <w:lang w:val="en-US" w:eastAsia="en-US" w:bidi="ar-SA"/>
      </w:rPr>
    </w:lvl>
    <w:lvl w:ilvl="2">
      <w:start w:val="0"/>
      <w:numFmt w:val="bullet"/>
      <w:lvlText w:val="•"/>
      <w:lvlJc w:val="left"/>
      <w:pPr>
        <w:ind w:left="1750" w:hanging="360"/>
      </w:pPr>
      <w:rPr>
        <w:rFonts w:hint="default"/>
        <w:lang w:val="en-US" w:eastAsia="en-US" w:bidi="ar-SA"/>
      </w:rPr>
    </w:lvl>
    <w:lvl w:ilvl="3">
      <w:start w:val="0"/>
      <w:numFmt w:val="bullet"/>
      <w:lvlText w:val="•"/>
      <w:lvlJc w:val="left"/>
      <w:pPr>
        <w:ind w:left="2186" w:hanging="360"/>
      </w:pPr>
      <w:rPr>
        <w:rFonts w:hint="default"/>
        <w:lang w:val="en-US" w:eastAsia="en-US" w:bidi="ar-SA"/>
      </w:rPr>
    </w:lvl>
    <w:lvl w:ilvl="4">
      <w:start w:val="0"/>
      <w:numFmt w:val="bullet"/>
      <w:lvlText w:val="•"/>
      <w:lvlJc w:val="left"/>
      <w:pPr>
        <w:ind w:left="2621" w:hanging="360"/>
      </w:pPr>
      <w:rPr>
        <w:rFonts w:hint="default"/>
        <w:lang w:val="en-US" w:eastAsia="en-US" w:bidi="ar-SA"/>
      </w:rPr>
    </w:lvl>
    <w:lvl w:ilvl="5">
      <w:start w:val="0"/>
      <w:numFmt w:val="bullet"/>
      <w:lvlText w:val="•"/>
      <w:lvlJc w:val="left"/>
      <w:pPr>
        <w:ind w:left="3056" w:hanging="360"/>
      </w:pPr>
      <w:rPr>
        <w:rFonts w:hint="default"/>
        <w:lang w:val="en-US" w:eastAsia="en-US" w:bidi="ar-SA"/>
      </w:rPr>
    </w:lvl>
    <w:lvl w:ilvl="6">
      <w:start w:val="0"/>
      <w:numFmt w:val="bullet"/>
      <w:lvlText w:val="•"/>
      <w:lvlJc w:val="left"/>
      <w:pPr>
        <w:ind w:left="3492" w:hanging="360"/>
      </w:pPr>
      <w:rPr>
        <w:rFonts w:hint="default"/>
        <w:lang w:val="en-US" w:eastAsia="en-US" w:bidi="ar-SA"/>
      </w:rPr>
    </w:lvl>
    <w:lvl w:ilvl="7">
      <w:start w:val="0"/>
      <w:numFmt w:val="bullet"/>
      <w:lvlText w:val="•"/>
      <w:lvlJc w:val="left"/>
      <w:pPr>
        <w:ind w:left="3927" w:hanging="360"/>
      </w:pPr>
      <w:rPr>
        <w:rFonts w:hint="default"/>
        <w:lang w:val="en-US" w:eastAsia="en-US" w:bidi="ar-SA"/>
      </w:rPr>
    </w:lvl>
    <w:lvl w:ilvl="8">
      <w:start w:val="0"/>
      <w:numFmt w:val="bullet"/>
      <w:lvlText w:val="•"/>
      <w:lvlJc w:val="left"/>
      <w:pPr>
        <w:ind w:left="4363" w:hanging="360"/>
      </w:pPr>
      <w:rPr>
        <w:rFonts w:hint="default"/>
        <w:lang w:val="en-US" w:eastAsia="en-US" w:bidi="ar-SA"/>
      </w:rPr>
    </w:lvl>
  </w:abstractNum>
  <w:abstractNum w:abstractNumId="26">
    <w:multiLevelType w:val="hybridMultilevel"/>
    <w:lvl w:ilvl="0">
      <w:start w:val="0"/>
      <w:numFmt w:val="bullet"/>
      <w:lvlText w:val="•"/>
      <w:lvlJc w:val="left"/>
      <w:pPr>
        <w:ind w:left="699" w:hanging="360"/>
      </w:pPr>
      <w:rPr>
        <w:rFonts w:hint="default" w:ascii="Arial" w:hAnsi="Arial" w:eastAsia="Arial" w:cs="Arial"/>
        <w:b w:val="0"/>
        <w:bCs w:val="0"/>
        <w:i w:val="0"/>
        <w:iCs w:val="0"/>
        <w:color w:val="010202"/>
        <w:w w:val="100"/>
        <w:sz w:val="21"/>
        <w:szCs w:val="21"/>
        <w:lang w:val="en-US" w:eastAsia="en-US" w:bidi="ar-SA"/>
      </w:rPr>
    </w:lvl>
    <w:lvl w:ilvl="1">
      <w:start w:val="0"/>
      <w:numFmt w:val="bullet"/>
      <w:lvlText w:val=""/>
      <w:lvlJc w:val="left"/>
      <w:pPr>
        <w:ind w:left="87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1239" w:hanging="360"/>
      </w:pPr>
      <w:rPr>
        <w:rFonts w:hint="default" w:ascii="Symbol" w:hAnsi="Symbol" w:eastAsia="Symbol" w:cs="Symbol"/>
        <w:b w:val="0"/>
        <w:bCs w:val="0"/>
        <w:i w:val="0"/>
        <w:iCs w:val="0"/>
        <w:color w:val="010202"/>
        <w:w w:val="100"/>
        <w:sz w:val="22"/>
        <w:szCs w:val="22"/>
        <w:lang w:val="en-US" w:eastAsia="en-US" w:bidi="ar-SA"/>
      </w:rPr>
    </w:lvl>
    <w:lvl w:ilvl="3">
      <w:start w:val="0"/>
      <w:numFmt w:val="bullet"/>
      <w:lvlText w:val="•"/>
      <w:lvlJc w:val="left"/>
      <w:pPr>
        <w:ind w:left="1739" w:hanging="360"/>
      </w:pPr>
      <w:rPr>
        <w:rFonts w:hint="default"/>
        <w:lang w:val="en-US" w:eastAsia="en-US" w:bidi="ar-SA"/>
      </w:rPr>
    </w:lvl>
    <w:lvl w:ilvl="4">
      <w:start w:val="0"/>
      <w:numFmt w:val="bullet"/>
      <w:lvlText w:val="•"/>
      <w:lvlJc w:val="left"/>
      <w:pPr>
        <w:ind w:left="2238" w:hanging="360"/>
      </w:pPr>
      <w:rPr>
        <w:rFonts w:hint="default"/>
        <w:lang w:val="en-US" w:eastAsia="en-US" w:bidi="ar-SA"/>
      </w:rPr>
    </w:lvl>
    <w:lvl w:ilvl="5">
      <w:start w:val="0"/>
      <w:numFmt w:val="bullet"/>
      <w:lvlText w:val="•"/>
      <w:lvlJc w:val="left"/>
      <w:pPr>
        <w:ind w:left="2737" w:hanging="360"/>
      </w:pPr>
      <w:rPr>
        <w:rFonts w:hint="default"/>
        <w:lang w:val="en-US" w:eastAsia="en-US" w:bidi="ar-SA"/>
      </w:rPr>
    </w:lvl>
    <w:lvl w:ilvl="6">
      <w:start w:val="0"/>
      <w:numFmt w:val="bullet"/>
      <w:lvlText w:val="•"/>
      <w:lvlJc w:val="left"/>
      <w:pPr>
        <w:ind w:left="3236" w:hanging="360"/>
      </w:pPr>
      <w:rPr>
        <w:rFonts w:hint="default"/>
        <w:lang w:val="en-US" w:eastAsia="en-US" w:bidi="ar-SA"/>
      </w:rPr>
    </w:lvl>
    <w:lvl w:ilvl="7">
      <w:start w:val="0"/>
      <w:numFmt w:val="bullet"/>
      <w:lvlText w:val="•"/>
      <w:lvlJc w:val="left"/>
      <w:pPr>
        <w:ind w:left="3736" w:hanging="360"/>
      </w:pPr>
      <w:rPr>
        <w:rFonts w:hint="default"/>
        <w:lang w:val="en-US" w:eastAsia="en-US" w:bidi="ar-SA"/>
      </w:rPr>
    </w:lvl>
    <w:lvl w:ilvl="8">
      <w:start w:val="0"/>
      <w:numFmt w:val="bullet"/>
      <w:lvlText w:val="•"/>
      <w:lvlJc w:val="left"/>
      <w:pPr>
        <w:ind w:left="4235" w:hanging="360"/>
      </w:pPr>
      <w:rPr>
        <w:rFonts w:hint="default"/>
        <w:lang w:val="en-US" w:eastAsia="en-US" w:bidi="ar-SA"/>
      </w:rPr>
    </w:lvl>
  </w:abstractNum>
  <w:abstractNum w:abstractNumId="25">
    <w:multiLevelType w:val="hybridMultilevel"/>
    <w:lvl w:ilvl="0">
      <w:start w:val="0"/>
      <w:numFmt w:val="bullet"/>
      <w:lvlText w:val=""/>
      <w:lvlJc w:val="left"/>
      <w:pPr>
        <w:ind w:left="699"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1059" w:hanging="360"/>
      </w:pPr>
      <w:rPr>
        <w:rFonts w:hint="default" w:ascii="Symbol" w:hAnsi="Symbol" w:eastAsia="Symbol" w:cs="Symbol"/>
        <w:b w:val="0"/>
        <w:bCs w:val="0"/>
        <w:i w:val="0"/>
        <w:iCs w:val="0"/>
        <w:color w:val="010202"/>
        <w:w w:val="100"/>
        <w:sz w:val="21"/>
        <w:szCs w:val="21"/>
        <w:lang w:val="en-US" w:eastAsia="en-US" w:bidi="ar-SA"/>
      </w:rPr>
    </w:lvl>
    <w:lvl w:ilvl="2">
      <w:start w:val="0"/>
      <w:numFmt w:val="bullet"/>
      <w:lvlText w:val="•"/>
      <w:lvlJc w:val="left"/>
      <w:pPr>
        <w:ind w:left="224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600" w:hanging="360"/>
      </w:pPr>
      <w:rPr>
        <w:rFonts w:hint="default"/>
        <w:lang w:val="en-US" w:eastAsia="en-US" w:bidi="ar-SA"/>
      </w:rPr>
    </w:lvl>
    <w:lvl w:ilvl="5">
      <w:start w:val="0"/>
      <w:numFmt w:val="bullet"/>
      <w:lvlText w:val="•"/>
      <w:lvlJc w:val="left"/>
      <w:pPr>
        <w:ind w:left="5780" w:hanging="360"/>
      </w:pPr>
      <w:rPr>
        <w:rFonts w:hint="default"/>
        <w:lang w:val="en-US" w:eastAsia="en-US" w:bidi="ar-SA"/>
      </w:rPr>
    </w:lvl>
    <w:lvl w:ilvl="6">
      <w:start w:val="0"/>
      <w:numFmt w:val="bullet"/>
      <w:lvlText w:val="•"/>
      <w:lvlJc w:val="left"/>
      <w:pPr>
        <w:ind w:left="6960" w:hanging="360"/>
      </w:pPr>
      <w:rPr>
        <w:rFonts w:hint="default"/>
        <w:lang w:val="en-US" w:eastAsia="en-US" w:bidi="ar-SA"/>
      </w:rPr>
    </w:lvl>
    <w:lvl w:ilvl="7">
      <w:start w:val="0"/>
      <w:numFmt w:val="bullet"/>
      <w:lvlText w:val="•"/>
      <w:lvlJc w:val="left"/>
      <w:pPr>
        <w:ind w:left="8140" w:hanging="360"/>
      </w:pPr>
      <w:rPr>
        <w:rFonts w:hint="default"/>
        <w:lang w:val="en-US" w:eastAsia="en-US" w:bidi="ar-SA"/>
      </w:rPr>
    </w:lvl>
    <w:lvl w:ilvl="8">
      <w:start w:val="0"/>
      <w:numFmt w:val="bullet"/>
      <w:lvlText w:val="•"/>
      <w:lvlJc w:val="left"/>
      <w:pPr>
        <w:ind w:left="9320" w:hanging="360"/>
      </w:pPr>
      <w:rPr>
        <w:rFonts w:hint="default"/>
        <w:lang w:val="en-US" w:eastAsia="en-US" w:bidi="ar-SA"/>
      </w:rPr>
    </w:lvl>
  </w:abstractNum>
  <w:abstractNum w:abstractNumId="24">
    <w:multiLevelType w:val="hybridMultilevel"/>
    <w:lvl w:ilvl="0">
      <w:start w:val="0"/>
      <w:numFmt w:val="bullet"/>
      <w:lvlText w:val="•"/>
      <w:lvlJc w:val="left"/>
      <w:pPr>
        <w:ind w:left="539" w:hanging="360"/>
      </w:pPr>
      <w:rPr>
        <w:rFonts w:hint="default" w:ascii="Arial" w:hAnsi="Arial" w:eastAsia="Arial" w:cs="Arial"/>
        <w:b w:val="0"/>
        <w:bCs w:val="0"/>
        <w:i w:val="0"/>
        <w:iCs w:val="0"/>
        <w:color w:val="010202"/>
        <w:w w:val="100"/>
        <w:sz w:val="21"/>
        <w:szCs w:val="21"/>
        <w:lang w:val="en-US" w:eastAsia="en-US" w:bidi="ar-SA"/>
      </w:rPr>
    </w:lvl>
    <w:lvl w:ilvl="1">
      <w:start w:val="0"/>
      <w:numFmt w:val="bullet"/>
      <w:lvlText w:val="•"/>
      <w:lvlJc w:val="left"/>
      <w:pPr>
        <w:ind w:left="990" w:hanging="360"/>
      </w:pPr>
      <w:rPr>
        <w:rFonts w:hint="default"/>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1890" w:hanging="360"/>
      </w:pPr>
      <w:rPr>
        <w:rFonts w:hint="default"/>
        <w:lang w:val="en-US" w:eastAsia="en-US" w:bidi="ar-SA"/>
      </w:rPr>
    </w:lvl>
    <w:lvl w:ilvl="4">
      <w:start w:val="0"/>
      <w:numFmt w:val="bullet"/>
      <w:lvlText w:val="•"/>
      <w:lvlJc w:val="left"/>
      <w:pPr>
        <w:ind w:left="2340" w:hanging="360"/>
      </w:pPr>
      <w:rPr>
        <w:rFonts w:hint="default"/>
        <w:lang w:val="en-US" w:eastAsia="en-US" w:bidi="ar-SA"/>
      </w:rPr>
    </w:lvl>
    <w:lvl w:ilvl="5">
      <w:start w:val="0"/>
      <w:numFmt w:val="bullet"/>
      <w:lvlText w:val="•"/>
      <w:lvlJc w:val="left"/>
      <w:pPr>
        <w:ind w:left="2790" w:hanging="360"/>
      </w:pPr>
      <w:rPr>
        <w:rFonts w:hint="default"/>
        <w:lang w:val="en-US" w:eastAsia="en-US" w:bidi="ar-SA"/>
      </w:rPr>
    </w:lvl>
    <w:lvl w:ilvl="6">
      <w:start w:val="0"/>
      <w:numFmt w:val="bullet"/>
      <w:lvlText w:val="•"/>
      <w:lvlJc w:val="left"/>
      <w:pPr>
        <w:ind w:left="3240" w:hanging="360"/>
      </w:pPr>
      <w:rPr>
        <w:rFonts w:hint="default"/>
        <w:lang w:val="en-US" w:eastAsia="en-US" w:bidi="ar-SA"/>
      </w:rPr>
    </w:lvl>
    <w:lvl w:ilvl="7">
      <w:start w:val="0"/>
      <w:numFmt w:val="bullet"/>
      <w:lvlText w:val="•"/>
      <w:lvlJc w:val="left"/>
      <w:pPr>
        <w:ind w:left="3690" w:hanging="360"/>
      </w:pPr>
      <w:rPr>
        <w:rFonts w:hint="default"/>
        <w:lang w:val="en-US" w:eastAsia="en-US" w:bidi="ar-SA"/>
      </w:rPr>
    </w:lvl>
    <w:lvl w:ilvl="8">
      <w:start w:val="0"/>
      <w:numFmt w:val="bullet"/>
      <w:lvlText w:val="•"/>
      <w:lvlJc w:val="left"/>
      <w:pPr>
        <w:ind w:left="4140" w:hanging="360"/>
      </w:pPr>
      <w:rPr>
        <w:rFonts w:hint="default"/>
        <w:lang w:val="en-US" w:eastAsia="en-US" w:bidi="ar-SA"/>
      </w:rPr>
    </w:lvl>
  </w:abstractNum>
  <w:abstractNum w:abstractNumId="23">
    <w:multiLevelType w:val="hybridMultilevel"/>
    <w:lvl w:ilvl="0">
      <w:start w:val="0"/>
      <w:numFmt w:val="bullet"/>
      <w:lvlText w:val=""/>
      <w:lvlJc w:val="left"/>
      <w:pPr>
        <w:ind w:left="1095"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603" w:hanging="360"/>
      </w:pPr>
      <w:rPr>
        <w:rFonts w:hint="default"/>
        <w:lang w:val="en-US" w:eastAsia="en-US" w:bidi="ar-SA"/>
      </w:rPr>
    </w:lvl>
    <w:lvl w:ilvl="2">
      <w:start w:val="0"/>
      <w:numFmt w:val="bullet"/>
      <w:lvlText w:val="•"/>
      <w:lvlJc w:val="left"/>
      <w:pPr>
        <w:ind w:left="2107" w:hanging="360"/>
      </w:pPr>
      <w:rPr>
        <w:rFonts w:hint="default"/>
        <w:lang w:val="en-US" w:eastAsia="en-US" w:bidi="ar-SA"/>
      </w:rPr>
    </w:lvl>
    <w:lvl w:ilvl="3">
      <w:start w:val="0"/>
      <w:numFmt w:val="bullet"/>
      <w:lvlText w:val="•"/>
      <w:lvlJc w:val="left"/>
      <w:pPr>
        <w:ind w:left="2610" w:hanging="360"/>
      </w:pPr>
      <w:rPr>
        <w:rFonts w:hint="default"/>
        <w:lang w:val="en-US" w:eastAsia="en-US" w:bidi="ar-SA"/>
      </w:rPr>
    </w:lvl>
    <w:lvl w:ilvl="4">
      <w:start w:val="0"/>
      <w:numFmt w:val="bullet"/>
      <w:lvlText w:val="•"/>
      <w:lvlJc w:val="left"/>
      <w:pPr>
        <w:ind w:left="3114" w:hanging="360"/>
      </w:pPr>
      <w:rPr>
        <w:rFonts w:hint="default"/>
        <w:lang w:val="en-US" w:eastAsia="en-US" w:bidi="ar-SA"/>
      </w:rPr>
    </w:lvl>
    <w:lvl w:ilvl="5">
      <w:start w:val="0"/>
      <w:numFmt w:val="bullet"/>
      <w:lvlText w:val="•"/>
      <w:lvlJc w:val="left"/>
      <w:pPr>
        <w:ind w:left="3618" w:hanging="360"/>
      </w:pPr>
      <w:rPr>
        <w:rFonts w:hint="default"/>
        <w:lang w:val="en-US" w:eastAsia="en-US" w:bidi="ar-SA"/>
      </w:rPr>
    </w:lvl>
    <w:lvl w:ilvl="6">
      <w:start w:val="0"/>
      <w:numFmt w:val="bullet"/>
      <w:lvlText w:val="•"/>
      <w:lvlJc w:val="left"/>
      <w:pPr>
        <w:ind w:left="4121" w:hanging="360"/>
      </w:pPr>
      <w:rPr>
        <w:rFonts w:hint="default"/>
        <w:lang w:val="en-US" w:eastAsia="en-US" w:bidi="ar-SA"/>
      </w:rPr>
    </w:lvl>
    <w:lvl w:ilvl="7">
      <w:start w:val="0"/>
      <w:numFmt w:val="bullet"/>
      <w:lvlText w:val="•"/>
      <w:lvlJc w:val="left"/>
      <w:pPr>
        <w:ind w:left="4625" w:hanging="360"/>
      </w:pPr>
      <w:rPr>
        <w:rFonts w:hint="default"/>
        <w:lang w:val="en-US" w:eastAsia="en-US" w:bidi="ar-SA"/>
      </w:rPr>
    </w:lvl>
    <w:lvl w:ilvl="8">
      <w:start w:val="0"/>
      <w:numFmt w:val="bullet"/>
      <w:lvlText w:val="•"/>
      <w:lvlJc w:val="left"/>
      <w:pPr>
        <w:ind w:left="5128" w:hanging="360"/>
      </w:pPr>
      <w:rPr>
        <w:rFonts w:hint="default"/>
        <w:lang w:val="en-US" w:eastAsia="en-US" w:bidi="ar-SA"/>
      </w:rPr>
    </w:lvl>
  </w:abstractNum>
  <w:abstractNum w:abstractNumId="22">
    <w:multiLevelType w:val="hybridMultilevel"/>
    <w:lvl w:ilvl="0">
      <w:start w:val="0"/>
      <w:numFmt w:val="bullet"/>
      <w:lvlText w:val="•"/>
      <w:lvlJc w:val="left"/>
      <w:pPr>
        <w:ind w:left="539" w:hanging="360"/>
      </w:pPr>
      <w:rPr>
        <w:rFonts w:hint="default" w:ascii="Arial" w:hAnsi="Arial" w:eastAsia="Arial" w:cs="Arial"/>
        <w:b w:val="0"/>
        <w:bCs w:val="0"/>
        <w:i w:val="0"/>
        <w:iCs w:val="0"/>
        <w:color w:val="010202"/>
        <w:w w:val="100"/>
        <w:sz w:val="21"/>
        <w:szCs w:val="21"/>
        <w:lang w:val="en-US" w:eastAsia="en-US" w:bidi="ar-SA"/>
      </w:rPr>
    </w:lvl>
    <w:lvl w:ilvl="1">
      <w:start w:val="0"/>
      <w:numFmt w:val="bullet"/>
      <w:lvlText w:val="•"/>
      <w:lvlJc w:val="left"/>
      <w:pPr>
        <w:ind w:left="990" w:hanging="360"/>
      </w:pPr>
      <w:rPr>
        <w:rFonts w:hint="default"/>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1890" w:hanging="360"/>
      </w:pPr>
      <w:rPr>
        <w:rFonts w:hint="default"/>
        <w:lang w:val="en-US" w:eastAsia="en-US" w:bidi="ar-SA"/>
      </w:rPr>
    </w:lvl>
    <w:lvl w:ilvl="4">
      <w:start w:val="0"/>
      <w:numFmt w:val="bullet"/>
      <w:lvlText w:val="•"/>
      <w:lvlJc w:val="left"/>
      <w:pPr>
        <w:ind w:left="2340" w:hanging="360"/>
      </w:pPr>
      <w:rPr>
        <w:rFonts w:hint="default"/>
        <w:lang w:val="en-US" w:eastAsia="en-US" w:bidi="ar-SA"/>
      </w:rPr>
    </w:lvl>
    <w:lvl w:ilvl="5">
      <w:start w:val="0"/>
      <w:numFmt w:val="bullet"/>
      <w:lvlText w:val="•"/>
      <w:lvlJc w:val="left"/>
      <w:pPr>
        <w:ind w:left="2790" w:hanging="360"/>
      </w:pPr>
      <w:rPr>
        <w:rFonts w:hint="default"/>
        <w:lang w:val="en-US" w:eastAsia="en-US" w:bidi="ar-SA"/>
      </w:rPr>
    </w:lvl>
    <w:lvl w:ilvl="6">
      <w:start w:val="0"/>
      <w:numFmt w:val="bullet"/>
      <w:lvlText w:val="•"/>
      <w:lvlJc w:val="left"/>
      <w:pPr>
        <w:ind w:left="3240" w:hanging="360"/>
      </w:pPr>
      <w:rPr>
        <w:rFonts w:hint="default"/>
        <w:lang w:val="en-US" w:eastAsia="en-US" w:bidi="ar-SA"/>
      </w:rPr>
    </w:lvl>
    <w:lvl w:ilvl="7">
      <w:start w:val="0"/>
      <w:numFmt w:val="bullet"/>
      <w:lvlText w:val="•"/>
      <w:lvlJc w:val="left"/>
      <w:pPr>
        <w:ind w:left="3690" w:hanging="360"/>
      </w:pPr>
      <w:rPr>
        <w:rFonts w:hint="default"/>
        <w:lang w:val="en-US" w:eastAsia="en-US" w:bidi="ar-SA"/>
      </w:rPr>
    </w:lvl>
    <w:lvl w:ilvl="8">
      <w:start w:val="0"/>
      <w:numFmt w:val="bullet"/>
      <w:lvlText w:val="•"/>
      <w:lvlJc w:val="left"/>
      <w:pPr>
        <w:ind w:left="4140" w:hanging="360"/>
      </w:pPr>
      <w:rPr>
        <w:rFonts w:hint="default"/>
        <w:lang w:val="en-US" w:eastAsia="en-US" w:bidi="ar-SA"/>
      </w:rPr>
    </w:lvl>
  </w:abstractNum>
  <w:abstractNum w:abstractNumId="21">
    <w:multiLevelType w:val="hybridMultilevel"/>
    <w:lvl w:ilvl="0">
      <w:start w:val="0"/>
      <w:numFmt w:val="bullet"/>
      <w:lvlText w:val=""/>
      <w:lvlJc w:val="left"/>
      <w:pPr>
        <w:ind w:left="51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87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1239" w:hanging="360"/>
      </w:pPr>
      <w:rPr>
        <w:rFonts w:hint="default" w:ascii="Symbol" w:hAnsi="Symbol" w:eastAsia="Symbol" w:cs="Symbol"/>
        <w:b w:val="0"/>
        <w:bCs w:val="0"/>
        <w:i w:val="0"/>
        <w:iCs w:val="0"/>
        <w:color w:val="010202"/>
        <w:w w:val="100"/>
        <w:sz w:val="22"/>
        <w:szCs w:val="22"/>
        <w:lang w:val="en-US" w:eastAsia="en-US" w:bidi="ar-SA"/>
      </w:rPr>
    </w:lvl>
    <w:lvl w:ilvl="3">
      <w:start w:val="0"/>
      <w:numFmt w:val="bullet"/>
      <w:lvlText w:val="•"/>
      <w:lvlJc w:val="left"/>
      <w:pPr>
        <w:ind w:left="955" w:hanging="360"/>
      </w:pPr>
      <w:rPr>
        <w:rFonts w:hint="default"/>
        <w:lang w:val="en-US" w:eastAsia="en-US" w:bidi="ar-SA"/>
      </w:rPr>
    </w:lvl>
    <w:lvl w:ilvl="4">
      <w:start w:val="0"/>
      <w:numFmt w:val="bullet"/>
      <w:lvlText w:val="•"/>
      <w:lvlJc w:val="left"/>
      <w:pPr>
        <w:ind w:left="671" w:hanging="360"/>
      </w:pPr>
      <w:rPr>
        <w:rFonts w:hint="default"/>
        <w:lang w:val="en-US" w:eastAsia="en-US" w:bidi="ar-SA"/>
      </w:rPr>
    </w:lvl>
    <w:lvl w:ilvl="5">
      <w:start w:val="0"/>
      <w:numFmt w:val="bullet"/>
      <w:lvlText w:val="•"/>
      <w:lvlJc w:val="left"/>
      <w:pPr>
        <w:ind w:left="387" w:hanging="360"/>
      </w:pPr>
      <w:rPr>
        <w:rFonts w:hint="default"/>
        <w:lang w:val="en-US" w:eastAsia="en-US" w:bidi="ar-SA"/>
      </w:rPr>
    </w:lvl>
    <w:lvl w:ilvl="6">
      <w:start w:val="0"/>
      <w:numFmt w:val="bullet"/>
      <w:lvlText w:val="•"/>
      <w:lvlJc w:val="left"/>
      <w:pPr>
        <w:ind w:left="103" w:hanging="360"/>
      </w:pPr>
      <w:rPr>
        <w:rFonts w:hint="default"/>
        <w:lang w:val="en-US" w:eastAsia="en-US" w:bidi="ar-SA"/>
      </w:rPr>
    </w:lvl>
    <w:lvl w:ilvl="7">
      <w:start w:val="0"/>
      <w:numFmt w:val="bullet"/>
      <w:lvlText w:val="•"/>
      <w:lvlJc w:val="left"/>
      <w:pPr>
        <w:ind w:left="-181" w:hanging="360"/>
      </w:pPr>
      <w:rPr>
        <w:rFonts w:hint="default"/>
        <w:lang w:val="en-US" w:eastAsia="en-US" w:bidi="ar-SA"/>
      </w:rPr>
    </w:lvl>
    <w:lvl w:ilvl="8">
      <w:start w:val="0"/>
      <w:numFmt w:val="bullet"/>
      <w:lvlText w:val="•"/>
      <w:lvlJc w:val="left"/>
      <w:pPr>
        <w:ind w:left="-465" w:hanging="360"/>
      </w:pPr>
      <w:rPr>
        <w:rFonts w:hint="default"/>
        <w:lang w:val="en-US" w:eastAsia="en-US" w:bidi="ar-SA"/>
      </w:rPr>
    </w:lvl>
  </w:abstractNum>
  <w:abstractNum w:abstractNumId="19">
    <w:multiLevelType w:val="hybridMultilevel"/>
    <w:lvl w:ilvl="0">
      <w:start w:val="0"/>
      <w:numFmt w:val="bullet"/>
      <w:lvlText w:val=""/>
      <w:lvlJc w:val="left"/>
      <w:pPr>
        <w:ind w:left="539" w:hanging="360"/>
      </w:pPr>
      <w:rPr>
        <w:rFonts w:hint="default" w:ascii="Symbol" w:hAnsi="Symbol" w:eastAsia="Symbol" w:cs="Symbol"/>
        <w:b w:val="0"/>
        <w:bCs w:val="0"/>
        <w:i w:val="0"/>
        <w:iCs w:val="0"/>
        <w:color w:val="010202"/>
        <w:w w:val="100"/>
        <w:sz w:val="21"/>
        <w:szCs w:val="21"/>
        <w:lang w:val="en-US" w:eastAsia="en-US" w:bidi="ar-SA"/>
      </w:rPr>
    </w:lvl>
    <w:lvl w:ilvl="1">
      <w:start w:val="0"/>
      <w:numFmt w:val="bullet"/>
      <w:lvlText w:val="•"/>
      <w:lvlJc w:val="left"/>
      <w:pPr>
        <w:ind w:left="990" w:hanging="360"/>
      </w:pPr>
      <w:rPr>
        <w:rFonts w:hint="default"/>
        <w:lang w:val="en-US" w:eastAsia="en-US" w:bidi="ar-SA"/>
      </w:rPr>
    </w:lvl>
    <w:lvl w:ilvl="2">
      <w:start w:val="0"/>
      <w:numFmt w:val="bullet"/>
      <w:lvlText w:val="•"/>
      <w:lvlJc w:val="left"/>
      <w:pPr>
        <w:ind w:left="1440" w:hanging="360"/>
      </w:pPr>
      <w:rPr>
        <w:rFonts w:hint="default"/>
        <w:lang w:val="en-US" w:eastAsia="en-US" w:bidi="ar-SA"/>
      </w:rPr>
    </w:lvl>
    <w:lvl w:ilvl="3">
      <w:start w:val="0"/>
      <w:numFmt w:val="bullet"/>
      <w:lvlText w:val="•"/>
      <w:lvlJc w:val="left"/>
      <w:pPr>
        <w:ind w:left="1890" w:hanging="360"/>
      </w:pPr>
      <w:rPr>
        <w:rFonts w:hint="default"/>
        <w:lang w:val="en-US" w:eastAsia="en-US" w:bidi="ar-SA"/>
      </w:rPr>
    </w:lvl>
    <w:lvl w:ilvl="4">
      <w:start w:val="0"/>
      <w:numFmt w:val="bullet"/>
      <w:lvlText w:val="•"/>
      <w:lvlJc w:val="left"/>
      <w:pPr>
        <w:ind w:left="2340" w:hanging="360"/>
      </w:pPr>
      <w:rPr>
        <w:rFonts w:hint="default"/>
        <w:lang w:val="en-US" w:eastAsia="en-US" w:bidi="ar-SA"/>
      </w:rPr>
    </w:lvl>
    <w:lvl w:ilvl="5">
      <w:start w:val="0"/>
      <w:numFmt w:val="bullet"/>
      <w:lvlText w:val="•"/>
      <w:lvlJc w:val="left"/>
      <w:pPr>
        <w:ind w:left="2790" w:hanging="360"/>
      </w:pPr>
      <w:rPr>
        <w:rFonts w:hint="default"/>
        <w:lang w:val="en-US" w:eastAsia="en-US" w:bidi="ar-SA"/>
      </w:rPr>
    </w:lvl>
    <w:lvl w:ilvl="6">
      <w:start w:val="0"/>
      <w:numFmt w:val="bullet"/>
      <w:lvlText w:val="•"/>
      <w:lvlJc w:val="left"/>
      <w:pPr>
        <w:ind w:left="3240" w:hanging="360"/>
      </w:pPr>
      <w:rPr>
        <w:rFonts w:hint="default"/>
        <w:lang w:val="en-US" w:eastAsia="en-US" w:bidi="ar-SA"/>
      </w:rPr>
    </w:lvl>
    <w:lvl w:ilvl="7">
      <w:start w:val="0"/>
      <w:numFmt w:val="bullet"/>
      <w:lvlText w:val="•"/>
      <w:lvlJc w:val="left"/>
      <w:pPr>
        <w:ind w:left="3690" w:hanging="360"/>
      </w:pPr>
      <w:rPr>
        <w:rFonts w:hint="default"/>
        <w:lang w:val="en-US" w:eastAsia="en-US" w:bidi="ar-SA"/>
      </w:rPr>
    </w:lvl>
    <w:lvl w:ilvl="8">
      <w:start w:val="0"/>
      <w:numFmt w:val="bullet"/>
      <w:lvlText w:val="•"/>
      <w:lvlJc w:val="left"/>
      <w:pPr>
        <w:ind w:left="4140" w:hanging="360"/>
      </w:pPr>
      <w:rPr>
        <w:rFonts w:hint="default"/>
        <w:lang w:val="en-US" w:eastAsia="en-US" w:bidi="ar-SA"/>
      </w:rPr>
    </w:lvl>
  </w:abstractNum>
  <w:abstractNum w:abstractNumId="20">
    <w:multiLevelType w:val="hybridMultilevel"/>
    <w:lvl w:ilvl="0">
      <w:start w:val="0"/>
      <w:numFmt w:val="bullet"/>
      <w:lvlText w:val=""/>
      <w:lvlJc w:val="left"/>
      <w:pPr>
        <w:ind w:left="1240"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59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2120" w:hanging="360"/>
      </w:pPr>
      <w:rPr>
        <w:rFonts w:hint="default"/>
        <w:lang w:val="en-US" w:eastAsia="en-US" w:bidi="ar-SA"/>
      </w:rPr>
    </w:lvl>
    <w:lvl w:ilvl="3">
      <w:start w:val="0"/>
      <w:numFmt w:val="bullet"/>
      <w:lvlText w:val="•"/>
      <w:lvlJc w:val="left"/>
      <w:pPr>
        <w:ind w:left="2640" w:hanging="360"/>
      </w:pPr>
      <w:rPr>
        <w:rFonts w:hint="default"/>
        <w:lang w:val="en-US" w:eastAsia="en-US" w:bidi="ar-SA"/>
      </w:rPr>
    </w:lvl>
    <w:lvl w:ilvl="4">
      <w:start w:val="0"/>
      <w:numFmt w:val="bullet"/>
      <w:lvlText w:val="•"/>
      <w:lvlJc w:val="left"/>
      <w:pPr>
        <w:ind w:left="3160" w:hanging="360"/>
      </w:pPr>
      <w:rPr>
        <w:rFonts w:hint="default"/>
        <w:lang w:val="en-US" w:eastAsia="en-US" w:bidi="ar-SA"/>
      </w:rPr>
    </w:lvl>
    <w:lvl w:ilvl="5">
      <w:start w:val="0"/>
      <w:numFmt w:val="bullet"/>
      <w:lvlText w:val="•"/>
      <w:lvlJc w:val="left"/>
      <w:pPr>
        <w:ind w:left="3680" w:hanging="360"/>
      </w:pPr>
      <w:rPr>
        <w:rFonts w:hint="default"/>
        <w:lang w:val="en-US" w:eastAsia="en-US" w:bidi="ar-SA"/>
      </w:rPr>
    </w:lvl>
    <w:lvl w:ilvl="6">
      <w:start w:val="0"/>
      <w:numFmt w:val="bullet"/>
      <w:lvlText w:val="•"/>
      <w:lvlJc w:val="left"/>
      <w:pPr>
        <w:ind w:left="4200" w:hanging="360"/>
      </w:pPr>
      <w:rPr>
        <w:rFonts w:hint="default"/>
        <w:lang w:val="en-US" w:eastAsia="en-US" w:bidi="ar-SA"/>
      </w:rPr>
    </w:lvl>
    <w:lvl w:ilvl="7">
      <w:start w:val="0"/>
      <w:numFmt w:val="bullet"/>
      <w:lvlText w:val="•"/>
      <w:lvlJc w:val="left"/>
      <w:pPr>
        <w:ind w:left="4720" w:hanging="360"/>
      </w:pPr>
      <w:rPr>
        <w:rFonts w:hint="default"/>
        <w:lang w:val="en-US" w:eastAsia="en-US" w:bidi="ar-SA"/>
      </w:rPr>
    </w:lvl>
    <w:lvl w:ilvl="8">
      <w:start w:val="0"/>
      <w:numFmt w:val="bullet"/>
      <w:lvlText w:val="•"/>
      <w:lvlJc w:val="left"/>
      <w:pPr>
        <w:ind w:left="5240" w:hanging="360"/>
      </w:pPr>
      <w:rPr>
        <w:rFonts w:hint="default"/>
        <w:lang w:val="en-US" w:eastAsia="en-US" w:bidi="ar-SA"/>
      </w:rPr>
    </w:lvl>
  </w:abstractNum>
  <w:abstractNum w:abstractNumId="18">
    <w:multiLevelType w:val="hybridMultilevel"/>
    <w:lvl w:ilvl="0">
      <w:start w:val="0"/>
      <w:numFmt w:val="bullet"/>
      <w:lvlText w:val=""/>
      <w:lvlJc w:val="left"/>
      <w:pPr>
        <w:ind w:left="87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239" w:hanging="360"/>
      </w:pPr>
      <w:rPr>
        <w:rFonts w:hint="default" w:ascii="Symbol" w:hAnsi="Symbol" w:eastAsia="Symbol" w:cs="Symbol"/>
        <w:b w:val="0"/>
        <w:bCs w:val="0"/>
        <w:i w:val="0"/>
        <w:iCs w:val="0"/>
        <w:color w:val="010202"/>
        <w:w w:val="100"/>
        <w:sz w:val="22"/>
        <w:szCs w:val="22"/>
        <w:lang w:val="en-US" w:eastAsia="en-US" w:bidi="ar-SA"/>
      </w:rPr>
    </w:lvl>
    <w:lvl w:ilvl="2">
      <w:start w:val="0"/>
      <w:numFmt w:val="bullet"/>
      <w:lvlText w:val="•"/>
      <w:lvlJc w:val="left"/>
      <w:pPr>
        <w:ind w:left="1677" w:hanging="360"/>
      </w:pPr>
      <w:rPr>
        <w:rFonts w:hint="default"/>
        <w:lang w:val="en-US" w:eastAsia="en-US" w:bidi="ar-SA"/>
      </w:rPr>
    </w:lvl>
    <w:lvl w:ilvl="3">
      <w:start w:val="0"/>
      <w:numFmt w:val="bullet"/>
      <w:lvlText w:val="•"/>
      <w:lvlJc w:val="left"/>
      <w:pPr>
        <w:ind w:left="2115" w:hanging="360"/>
      </w:pPr>
      <w:rPr>
        <w:rFonts w:hint="default"/>
        <w:lang w:val="en-US" w:eastAsia="en-US" w:bidi="ar-SA"/>
      </w:rPr>
    </w:lvl>
    <w:lvl w:ilvl="4">
      <w:start w:val="0"/>
      <w:numFmt w:val="bullet"/>
      <w:lvlText w:val="•"/>
      <w:lvlJc w:val="left"/>
      <w:pPr>
        <w:ind w:left="2552" w:hanging="360"/>
      </w:pPr>
      <w:rPr>
        <w:rFonts w:hint="default"/>
        <w:lang w:val="en-US" w:eastAsia="en-US" w:bidi="ar-SA"/>
      </w:rPr>
    </w:lvl>
    <w:lvl w:ilvl="5">
      <w:start w:val="0"/>
      <w:numFmt w:val="bullet"/>
      <w:lvlText w:val="•"/>
      <w:lvlJc w:val="left"/>
      <w:pPr>
        <w:ind w:left="2990" w:hanging="360"/>
      </w:pPr>
      <w:rPr>
        <w:rFonts w:hint="default"/>
        <w:lang w:val="en-US" w:eastAsia="en-US" w:bidi="ar-SA"/>
      </w:rPr>
    </w:lvl>
    <w:lvl w:ilvl="6">
      <w:start w:val="0"/>
      <w:numFmt w:val="bullet"/>
      <w:lvlText w:val="•"/>
      <w:lvlJc w:val="left"/>
      <w:pPr>
        <w:ind w:left="3427" w:hanging="360"/>
      </w:pPr>
      <w:rPr>
        <w:rFonts w:hint="default"/>
        <w:lang w:val="en-US" w:eastAsia="en-US" w:bidi="ar-SA"/>
      </w:rPr>
    </w:lvl>
    <w:lvl w:ilvl="7">
      <w:start w:val="0"/>
      <w:numFmt w:val="bullet"/>
      <w:lvlText w:val="•"/>
      <w:lvlJc w:val="left"/>
      <w:pPr>
        <w:ind w:left="3865" w:hanging="360"/>
      </w:pPr>
      <w:rPr>
        <w:rFonts w:hint="default"/>
        <w:lang w:val="en-US" w:eastAsia="en-US" w:bidi="ar-SA"/>
      </w:rPr>
    </w:lvl>
    <w:lvl w:ilvl="8">
      <w:start w:val="0"/>
      <w:numFmt w:val="bullet"/>
      <w:lvlText w:val="•"/>
      <w:lvlJc w:val="left"/>
      <w:pPr>
        <w:ind w:left="4303" w:hanging="360"/>
      </w:pPr>
      <w:rPr>
        <w:rFonts w:hint="default"/>
        <w:lang w:val="en-US" w:eastAsia="en-US" w:bidi="ar-SA"/>
      </w:rPr>
    </w:lvl>
  </w:abstractNum>
  <w:abstractNum w:abstractNumId="17">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20" w:hanging="360"/>
      </w:pPr>
      <w:rPr>
        <w:rFonts w:hint="default"/>
        <w:lang w:val="en-US" w:eastAsia="en-US" w:bidi="ar-SA"/>
      </w:rPr>
    </w:lvl>
    <w:lvl w:ilvl="2">
      <w:start w:val="0"/>
      <w:numFmt w:val="bullet"/>
      <w:lvlText w:val="•"/>
      <w:lvlJc w:val="left"/>
      <w:pPr>
        <w:ind w:left="1084" w:hanging="360"/>
      </w:pPr>
      <w:rPr>
        <w:rFonts w:hint="default"/>
        <w:lang w:val="en-US" w:eastAsia="en-US" w:bidi="ar-SA"/>
      </w:rPr>
    </w:lvl>
    <w:lvl w:ilvl="3">
      <w:start w:val="0"/>
      <w:numFmt w:val="bullet"/>
      <w:lvlText w:val="•"/>
      <w:lvlJc w:val="left"/>
      <w:pPr>
        <w:ind w:left="1448" w:hanging="360"/>
      </w:pPr>
      <w:rPr>
        <w:rFonts w:hint="default"/>
        <w:lang w:val="en-US" w:eastAsia="en-US" w:bidi="ar-SA"/>
      </w:rPr>
    </w:lvl>
    <w:lvl w:ilvl="4">
      <w:start w:val="0"/>
      <w:numFmt w:val="bullet"/>
      <w:lvlText w:val="•"/>
      <w:lvlJc w:val="left"/>
      <w:pPr>
        <w:ind w:left="1812" w:hanging="360"/>
      </w:pPr>
      <w:rPr>
        <w:rFonts w:hint="default"/>
        <w:lang w:val="en-US" w:eastAsia="en-US" w:bidi="ar-SA"/>
      </w:rPr>
    </w:lvl>
    <w:lvl w:ilvl="5">
      <w:start w:val="0"/>
      <w:numFmt w:val="bullet"/>
      <w:lvlText w:val="•"/>
      <w:lvlJc w:val="left"/>
      <w:pPr>
        <w:ind w:left="2176" w:hanging="360"/>
      </w:pPr>
      <w:rPr>
        <w:rFonts w:hint="default"/>
        <w:lang w:val="en-US" w:eastAsia="en-US" w:bidi="ar-SA"/>
      </w:rPr>
    </w:lvl>
    <w:lvl w:ilvl="6">
      <w:start w:val="0"/>
      <w:numFmt w:val="bullet"/>
      <w:lvlText w:val="•"/>
      <w:lvlJc w:val="left"/>
      <w:pPr>
        <w:ind w:left="2540" w:hanging="360"/>
      </w:pPr>
      <w:rPr>
        <w:rFonts w:hint="default"/>
        <w:lang w:val="en-US" w:eastAsia="en-US" w:bidi="ar-SA"/>
      </w:rPr>
    </w:lvl>
    <w:lvl w:ilvl="7">
      <w:start w:val="0"/>
      <w:numFmt w:val="bullet"/>
      <w:lvlText w:val="•"/>
      <w:lvlJc w:val="left"/>
      <w:pPr>
        <w:ind w:left="2904" w:hanging="360"/>
      </w:pPr>
      <w:rPr>
        <w:rFonts w:hint="default"/>
        <w:lang w:val="en-US" w:eastAsia="en-US" w:bidi="ar-SA"/>
      </w:rPr>
    </w:lvl>
    <w:lvl w:ilvl="8">
      <w:start w:val="0"/>
      <w:numFmt w:val="bullet"/>
      <w:lvlText w:val="•"/>
      <w:lvlJc w:val="left"/>
      <w:pPr>
        <w:ind w:left="3268" w:hanging="360"/>
      </w:pPr>
      <w:rPr>
        <w:rFonts w:hint="default"/>
        <w:lang w:val="en-US" w:eastAsia="en-US" w:bidi="ar-SA"/>
      </w:rPr>
    </w:lvl>
  </w:abstractNum>
  <w:abstractNum w:abstractNumId="16">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95" w:hanging="360"/>
      </w:pPr>
      <w:rPr>
        <w:rFonts w:hint="default"/>
        <w:lang w:val="en-US" w:eastAsia="en-US" w:bidi="ar-SA"/>
      </w:rPr>
    </w:lvl>
    <w:lvl w:ilvl="2">
      <w:start w:val="0"/>
      <w:numFmt w:val="bullet"/>
      <w:lvlText w:val="•"/>
      <w:lvlJc w:val="left"/>
      <w:pPr>
        <w:ind w:left="1150" w:hanging="360"/>
      </w:pPr>
      <w:rPr>
        <w:rFonts w:hint="default"/>
        <w:lang w:val="en-US" w:eastAsia="en-US" w:bidi="ar-SA"/>
      </w:rPr>
    </w:lvl>
    <w:lvl w:ilvl="3">
      <w:start w:val="0"/>
      <w:numFmt w:val="bullet"/>
      <w:lvlText w:val="•"/>
      <w:lvlJc w:val="left"/>
      <w:pPr>
        <w:ind w:left="1505" w:hanging="360"/>
      </w:pPr>
      <w:rPr>
        <w:rFonts w:hint="default"/>
        <w:lang w:val="en-US" w:eastAsia="en-US" w:bidi="ar-SA"/>
      </w:rPr>
    </w:lvl>
    <w:lvl w:ilvl="4">
      <w:start w:val="0"/>
      <w:numFmt w:val="bullet"/>
      <w:lvlText w:val="•"/>
      <w:lvlJc w:val="left"/>
      <w:pPr>
        <w:ind w:left="1860" w:hanging="360"/>
      </w:pPr>
      <w:rPr>
        <w:rFonts w:hint="default"/>
        <w:lang w:val="en-US" w:eastAsia="en-US" w:bidi="ar-SA"/>
      </w:rPr>
    </w:lvl>
    <w:lvl w:ilvl="5">
      <w:start w:val="0"/>
      <w:numFmt w:val="bullet"/>
      <w:lvlText w:val="•"/>
      <w:lvlJc w:val="left"/>
      <w:pPr>
        <w:ind w:left="2216" w:hanging="360"/>
      </w:pPr>
      <w:rPr>
        <w:rFonts w:hint="default"/>
        <w:lang w:val="en-US" w:eastAsia="en-US" w:bidi="ar-SA"/>
      </w:rPr>
    </w:lvl>
    <w:lvl w:ilvl="6">
      <w:start w:val="0"/>
      <w:numFmt w:val="bullet"/>
      <w:lvlText w:val="•"/>
      <w:lvlJc w:val="left"/>
      <w:pPr>
        <w:ind w:left="2571" w:hanging="360"/>
      </w:pPr>
      <w:rPr>
        <w:rFonts w:hint="default"/>
        <w:lang w:val="en-US" w:eastAsia="en-US" w:bidi="ar-SA"/>
      </w:rPr>
    </w:lvl>
    <w:lvl w:ilvl="7">
      <w:start w:val="0"/>
      <w:numFmt w:val="bullet"/>
      <w:lvlText w:val="•"/>
      <w:lvlJc w:val="left"/>
      <w:pPr>
        <w:ind w:left="2926" w:hanging="360"/>
      </w:pPr>
      <w:rPr>
        <w:rFonts w:hint="default"/>
        <w:lang w:val="en-US" w:eastAsia="en-US" w:bidi="ar-SA"/>
      </w:rPr>
    </w:lvl>
    <w:lvl w:ilvl="8">
      <w:start w:val="0"/>
      <w:numFmt w:val="bullet"/>
      <w:lvlText w:val="•"/>
      <w:lvlJc w:val="left"/>
      <w:pPr>
        <w:ind w:left="3281" w:hanging="360"/>
      </w:pPr>
      <w:rPr>
        <w:rFonts w:hint="default"/>
        <w:lang w:val="en-US" w:eastAsia="en-US" w:bidi="ar-SA"/>
      </w:rPr>
    </w:lvl>
  </w:abstractNum>
  <w:abstractNum w:abstractNumId="15">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95" w:hanging="360"/>
      </w:pPr>
      <w:rPr>
        <w:rFonts w:hint="default"/>
        <w:lang w:val="en-US" w:eastAsia="en-US" w:bidi="ar-SA"/>
      </w:rPr>
    </w:lvl>
    <w:lvl w:ilvl="2">
      <w:start w:val="0"/>
      <w:numFmt w:val="bullet"/>
      <w:lvlText w:val="•"/>
      <w:lvlJc w:val="left"/>
      <w:pPr>
        <w:ind w:left="1150" w:hanging="360"/>
      </w:pPr>
      <w:rPr>
        <w:rFonts w:hint="default"/>
        <w:lang w:val="en-US" w:eastAsia="en-US" w:bidi="ar-SA"/>
      </w:rPr>
    </w:lvl>
    <w:lvl w:ilvl="3">
      <w:start w:val="0"/>
      <w:numFmt w:val="bullet"/>
      <w:lvlText w:val="•"/>
      <w:lvlJc w:val="left"/>
      <w:pPr>
        <w:ind w:left="1505" w:hanging="360"/>
      </w:pPr>
      <w:rPr>
        <w:rFonts w:hint="default"/>
        <w:lang w:val="en-US" w:eastAsia="en-US" w:bidi="ar-SA"/>
      </w:rPr>
    </w:lvl>
    <w:lvl w:ilvl="4">
      <w:start w:val="0"/>
      <w:numFmt w:val="bullet"/>
      <w:lvlText w:val="•"/>
      <w:lvlJc w:val="left"/>
      <w:pPr>
        <w:ind w:left="1860" w:hanging="360"/>
      </w:pPr>
      <w:rPr>
        <w:rFonts w:hint="default"/>
        <w:lang w:val="en-US" w:eastAsia="en-US" w:bidi="ar-SA"/>
      </w:rPr>
    </w:lvl>
    <w:lvl w:ilvl="5">
      <w:start w:val="0"/>
      <w:numFmt w:val="bullet"/>
      <w:lvlText w:val="•"/>
      <w:lvlJc w:val="left"/>
      <w:pPr>
        <w:ind w:left="2216" w:hanging="360"/>
      </w:pPr>
      <w:rPr>
        <w:rFonts w:hint="default"/>
        <w:lang w:val="en-US" w:eastAsia="en-US" w:bidi="ar-SA"/>
      </w:rPr>
    </w:lvl>
    <w:lvl w:ilvl="6">
      <w:start w:val="0"/>
      <w:numFmt w:val="bullet"/>
      <w:lvlText w:val="•"/>
      <w:lvlJc w:val="left"/>
      <w:pPr>
        <w:ind w:left="2571" w:hanging="360"/>
      </w:pPr>
      <w:rPr>
        <w:rFonts w:hint="default"/>
        <w:lang w:val="en-US" w:eastAsia="en-US" w:bidi="ar-SA"/>
      </w:rPr>
    </w:lvl>
    <w:lvl w:ilvl="7">
      <w:start w:val="0"/>
      <w:numFmt w:val="bullet"/>
      <w:lvlText w:val="•"/>
      <w:lvlJc w:val="left"/>
      <w:pPr>
        <w:ind w:left="2926" w:hanging="360"/>
      </w:pPr>
      <w:rPr>
        <w:rFonts w:hint="default"/>
        <w:lang w:val="en-US" w:eastAsia="en-US" w:bidi="ar-SA"/>
      </w:rPr>
    </w:lvl>
    <w:lvl w:ilvl="8">
      <w:start w:val="0"/>
      <w:numFmt w:val="bullet"/>
      <w:lvlText w:val="•"/>
      <w:lvlJc w:val="left"/>
      <w:pPr>
        <w:ind w:left="3281" w:hanging="360"/>
      </w:pPr>
      <w:rPr>
        <w:rFonts w:hint="default"/>
        <w:lang w:val="en-US" w:eastAsia="en-US" w:bidi="ar-SA"/>
      </w:rPr>
    </w:lvl>
  </w:abstractNum>
  <w:abstractNum w:abstractNumId="14">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364" w:hanging="360"/>
      </w:pPr>
      <w:rPr>
        <w:rFonts w:hint="default"/>
        <w:lang w:val="en-US" w:eastAsia="en-US" w:bidi="ar-SA"/>
      </w:rPr>
    </w:lvl>
    <w:lvl w:ilvl="2">
      <w:start w:val="0"/>
      <w:numFmt w:val="bullet"/>
      <w:lvlText w:val="•"/>
      <w:lvlJc w:val="left"/>
      <w:pPr>
        <w:ind w:left="2289" w:hanging="360"/>
      </w:pPr>
      <w:rPr>
        <w:rFonts w:hint="default"/>
        <w:lang w:val="en-US" w:eastAsia="en-US" w:bidi="ar-SA"/>
      </w:rPr>
    </w:lvl>
    <w:lvl w:ilvl="3">
      <w:start w:val="0"/>
      <w:numFmt w:val="bullet"/>
      <w:lvlText w:val="•"/>
      <w:lvlJc w:val="left"/>
      <w:pPr>
        <w:ind w:left="3213" w:hanging="360"/>
      </w:pPr>
      <w:rPr>
        <w:rFonts w:hint="default"/>
        <w:lang w:val="en-US" w:eastAsia="en-US" w:bidi="ar-SA"/>
      </w:rPr>
    </w:lvl>
    <w:lvl w:ilvl="4">
      <w:start w:val="0"/>
      <w:numFmt w:val="bullet"/>
      <w:lvlText w:val="•"/>
      <w:lvlJc w:val="left"/>
      <w:pPr>
        <w:ind w:left="4138" w:hanging="360"/>
      </w:pPr>
      <w:rPr>
        <w:rFonts w:hint="default"/>
        <w:lang w:val="en-US" w:eastAsia="en-US" w:bidi="ar-SA"/>
      </w:rPr>
    </w:lvl>
    <w:lvl w:ilvl="5">
      <w:start w:val="0"/>
      <w:numFmt w:val="bullet"/>
      <w:lvlText w:val="•"/>
      <w:lvlJc w:val="left"/>
      <w:pPr>
        <w:ind w:left="5062" w:hanging="360"/>
      </w:pPr>
      <w:rPr>
        <w:rFonts w:hint="default"/>
        <w:lang w:val="en-US" w:eastAsia="en-US" w:bidi="ar-SA"/>
      </w:rPr>
    </w:lvl>
    <w:lvl w:ilvl="6">
      <w:start w:val="0"/>
      <w:numFmt w:val="bullet"/>
      <w:lvlText w:val="•"/>
      <w:lvlJc w:val="left"/>
      <w:pPr>
        <w:ind w:left="5987" w:hanging="360"/>
      </w:pPr>
      <w:rPr>
        <w:rFonts w:hint="default"/>
        <w:lang w:val="en-US" w:eastAsia="en-US" w:bidi="ar-SA"/>
      </w:rPr>
    </w:lvl>
    <w:lvl w:ilvl="7">
      <w:start w:val="0"/>
      <w:numFmt w:val="bullet"/>
      <w:lvlText w:val="•"/>
      <w:lvlJc w:val="left"/>
      <w:pPr>
        <w:ind w:left="6911" w:hanging="360"/>
      </w:pPr>
      <w:rPr>
        <w:rFonts w:hint="default"/>
        <w:lang w:val="en-US" w:eastAsia="en-US" w:bidi="ar-SA"/>
      </w:rPr>
    </w:lvl>
    <w:lvl w:ilvl="8">
      <w:start w:val="0"/>
      <w:numFmt w:val="bullet"/>
      <w:lvlText w:val="•"/>
      <w:lvlJc w:val="left"/>
      <w:pPr>
        <w:ind w:left="7836" w:hanging="360"/>
      </w:pPr>
      <w:rPr>
        <w:rFonts w:hint="default"/>
        <w:lang w:val="en-US" w:eastAsia="en-US" w:bidi="ar-SA"/>
      </w:rPr>
    </w:lvl>
  </w:abstractNum>
  <w:abstractNum w:abstractNumId="13">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364" w:hanging="360"/>
      </w:pPr>
      <w:rPr>
        <w:rFonts w:hint="default"/>
        <w:lang w:val="en-US" w:eastAsia="en-US" w:bidi="ar-SA"/>
      </w:rPr>
    </w:lvl>
    <w:lvl w:ilvl="2">
      <w:start w:val="0"/>
      <w:numFmt w:val="bullet"/>
      <w:lvlText w:val="•"/>
      <w:lvlJc w:val="left"/>
      <w:pPr>
        <w:ind w:left="2289" w:hanging="360"/>
      </w:pPr>
      <w:rPr>
        <w:rFonts w:hint="default"/>
        <w:lang w:val="en-US" w:eastAsia="en-US" w:bidi="ar-SA"/>
      </w:rPr>
    </w:lvl>
    <w:lvl w:ilvl="3">
      <w:start w:val="0"/>
      <w:numFmt w:val="bullet"/>
      <w:lvlText w:val="•"/>
      <w:lvlJc w:val="left"/>
      <w:pPr>
        <w:ind w:left="3213" w:hanging="360"/>
      </w:pPr>
      <w:rPr>
        <w:rFonts w:hint="default"/>
        <w:lang w:val="en-US" w:eastAsia="en-US" w:bidi="ar-SA"/>
      </w:rPr>
    </w:lvl>
    <w:lvl w:ilvl="4">
      <w:start w:val="0"/>
      <w:numFmt w:val="bullet"/>
      <w:lvlText w:val="•"/>
      <w:lvlJc w:val="left"/>
      <w:pPr>
        <w:ind w:left="4138" w:hanging="360"/>
      </w:pPr>
      <w:rPr>
        <w:rFonts w:hint="default"/>
        <w:lang w:val="en-US" w:eastAsia="en-US" w:bidi="ar-SA"/>
      </w:rPr>
    </w:lvl>
    <w:lvl w:ilvl="5">
      <w:start w:val="0"/>
      <w:numFmt w:val="bullet"/>
      <w:lvlText w:val="•"/>
      <w:lvlJc w:val="left"/>
      <w:pPr>
        <w:ind w:left="5062" w:hanging="360"/>
      </w:pPr>
      <w:rPr>
        <w:rFonts w:hint="default"/>
        <w:lang w:val="en-US" w:eastAsia="en-US" w:bidi="ar-SA"/>
      </w:rPr>
    </w:lvl>
    <w:lvl w:ilvl="6">
      <w:start w:val="0"/>
      <w:numFmt w:val="bullet"/>
      <w:lvlText w:val="•"/>
      <w:lvlJc w:val="left"/>
      <w:pPr>
        <w:ind w:left="5987" w:hanging="360"/>
      </w:pPr>
      <w:rPr>
        <w:rFonts w:hint="default"/>
        <w:lang w:val="en-US" w:eastAsia="en-US" w:bidi="ar-SA"/>
      </w:rPr>
    </w:lvl>
    <w:lvl w:ilvl="7">
      <w:start w:val="0"/>
      <w:numFmt w:val="bullet"/>
      <w:lvlText w:val="•"/>
      <w:lvlJc w:val="left"/>
      <w:pPr>
        <w:ind w:left="6911" w:hanging="360"/>
      </w:pPr>
      <w:rPr>
        <w:rFonts w:hint="default"/>
        <w:lang w:val="en-US" w:eastAsia="en-US" w:bidi="ar-SA"/>
      </w:rPr>
    </w:lvl>
    <w:lvl w:ilvl="8">
      <w:start w:val="0"/>
      <w:numFmt w:val="bullet"/>
      <w:lvlText w:val="•"/>
      <w:lvlJc w:val="left"/>
      <w:pPr>
        <w:ind w:left="7836" w:hanging="360"/>
      </w:pPr>
      <w:rPr>
        <w:rFonts w:hint="default"/>
        <w:lang w:val="en-US" w:eastAsia="en-US" w:bidi="ar-SA"/>
      </w:rPr>
    </w:lvl>
  </w:abstractNum>
  <w:abstractNum w:abstractNumId="12">
    <w:multiLevelType w:val="hybridMultilevel"/>
    <w:lvl w:ilvl="0">
      <w:start w:val="0"/>
      <w:numFmt w:val="bullet"/>
      <w:lvlText w:val=""/>
      <w:lvlJc w:val="left"/>
      <w:pPr>
        <w:ind w:left="440" w:hanging="360"/>
      </w:pPr>
      <w:rPr>
        <w:rFonts w:hint="default" w:ascii="Symbol" w:hAnsi="Symbol" w:eastAsia="Symbol" w:cs="Symbol"/>
        <w:b w:val="0"/>
        <w:bCs w:val="0"/>
        <w:i w:val="0"/>
        <w:iCs w:val="0"/>
        <w:color w:val="231F20"/>
        <w:w w:val="100"/>
        <w:sz w:val="20"/>
        <w:szCs w:val="20"/>
        <w:lang w:val="en-US" w:eastAsia="en-US" w:bidi="ar-SA"/>
      </w:rPr>
    </w:lvl>
    <w:lvl w:ilvl="1">
      <w:start w:val="0"/>
      <w:numFmt w:val="bullet"/>
      <w:lvlText w:val="•"/>
      <w:lvlJc w:val="left"/>
      <w:pPr>
        <w:ind w:left="1364" w:hanging="360"/>
      </w:pPr>
      <w:rPr>
        <w:rFonts w:hint="default"/>
        <w:lang w:val="en-US" w:eastAsia="en-US" w:bidi="ar-SA"/>
      </w:rPr>
    </w:lvl>
    <w:lvl w:ilvl="2">
      <w:start w:val="0"/>
      <w:numFmt w:val="bullet"/>
      <w:lvlText w:val="•"/>
      <w:lvlJc w:val="left"/>
      <w:pPr>
        <w:ind w:left="2289" w:hanging="360"/>
      </w:pPr>
      <w:rPr>
        <w:rFonts w:hint="default"/>
        <w:lang w:val="en-US" w:eastAsia="en-US" w:bidi="ar-SA"/>
      </w:rPr>
    </w:lvl>
    <w:lvl w:ilvl="3">
      <w:start w:val="0"/>
      <w:numFmt w:val="bullet"/>
      <w:lvlText w:val="•"/>
      <w:lvlJc w:val="left"/>
      <w:pPr>
        <w:ind w:left="3213" w:hanging="360"/>
      </w:pPr>
      <w:rPr>
        <w:rFonts w:hint="default"/>
        <w:lang w:val="en-US" w:eastAsia="en-US" w:bidi="ar-SA"/>
      </w:rPr>
    </w:lvl>
    <w:lvl w:ilvl="4">
      <w:start w:val="0"/>
      <w:numFmt w:val="bullet"/>
      <w:lvlText w:val="•"/>
      <w:lvlJc w:val="left"/>
      <w:pPr>
        <w:ind w:left="4138" w:hanging="360"/>
      </w:pPr>
      <w:rPr>
        <w:rFonts w:hint="default"/>
        <w:lang w:val="en-US" w:eastAsia="en-US" w:bidi="ar-SA"/>
      </w:rPr>
    </w:lvl>
    <w:lvl w:ilvl="5">
      <w:start w:val="0"/>
      <w:numFmt w:val="bullet"/>
      <w:lvlText w:val="•"/>
      <w:lvlJc w:val="left"/>
      <w:pPr>
        <w:ind w:left="5062" w:hanging="360"/>
      </w:pPr>
      <w:rPr>
        <w:rFonts w:hint="default"/>
        <w:lang w:val="en-US" w:eastAsia="en-US" w:bidi="ar-SA"/>
      </w:rPr>
    </w:lvl>
    <w:lvl w:ilvl="6">
      <w:start w:val="0"/>
      <w:numFmt w:val="bullet"/>
      <w:lvlText w:val="•"/>
      <w:lvlJc w:val="left"/>
      <w:pPr>
        <w:ind w:left="5987" w:hanging="360"/>
      </w:pPr>
      <w:rPr>
        <w:rFonts w:hint="default"/>
        <w:lang w:val="en-US" w:eastAsia="en-US" w:bidi="ar-SA"/>
      </w:rPr>
    </w:lvl>
    <w:lvl w:ilvl="7">
      <w:start w:val="0"/>
      <w:numFmt w:val="bullet"/>
      <w:lvlText w:val="•"/>
      <w:lvlJc w:val="left"/>
      <w:pPr>
        <w:ind w:left="6911" w:hanging="360"/>
      </w:pPr>
      <w:rPr>
        <w:rFonts w:hint="default"/>
        <w:lang w:val="en-US" w:eastAsia="en-US" w:bidi="ar-SA"/>
      </w:rPr>
    </w:lvl>
    <w:lvl w:ilvl="8">
      <w:start w:val="0"/>
      <w:numFmt w:val="bullet"/>
      <w:lvlText w:val="•"/>
      <w:lvlJc w:val="left"/>
      <w:pPr>
        <w:ind w:left="7836" w:hanging="360"/>
      </w:pPr>
      <w:rPr>
        <w:rFonts w:hint="default"/>
        <w:lang w:val="en-US" w:eastAsia="en-US" w:bidi="ar-SA"/>
      </w:rPr>
    </w:lvl>
  </w:abstractNum>
  <w:abstractNum w:abstractNumId="11">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1364" w:hanging="360"/>
      </w:pPr>
      <w:rPr>
        <w:rFonts w:hint="default"/>
        <w:lang w:val="en-US" w:eastAsia="en-US" w:bidi="ar-SA"/>
      </w:rPr>
    </w:lvl>
    <w:lvl w:ilvl="2">
      <w:start w:val="0"/>
      <w:numFmt w:val="bullet"/>
      <w:lvlText w:val="•"/>
      <w:lvlJc w:val="left"/>
      <w:pPr>
        <w:ind w:left="2289" w:hanging="360"/>
      </w:pPr>
      <w:rPr>
        <w:rFonts w:hint="default"/>
        <w:lang w:val="en-US" w:eastAsia="en-US" w:bidi="ar-SA"/>
      </w:rPr>
    </w:lvl>
    <w:lvl w:ilvl="3">
      <w:start w:val="0"/>
      <w:numFmt w:val="bullet"/>
      <w:lvlText w:val="•"/>
      <w:lvlJc w:val="left"/>
      <w:pPr>
        <w:ind w:left="3213" w:hanging="360"/>
      </w:pPr>
      <w:rPr>
        <w:rFonts w:hint="default"/>
        <w:lang w:val="en-US" w:eastAsia="en-US" w:bidi="ar-SA"/>
      </w:rPr>
    </w:lvl>
    <w:lvl w:ilvl="4">
      <w:start w:val="0"/>
      <w:numFmt w:val="bullet"/>
      <w:lvlText w:val="•"/>
      <w:lvlJc w:val="left"/>
      <w:pPr>
        <w:ind w:left="4138" w:hanging="360"/>
      </w:pPr>
      <w:rPr>
        <w:rFonts w:hint="default"/>
        <w:lang w:val="en-US" w:eastAsia="en-US" w:bidi="ar-SA"/>
      </w:rPr>
    </w:lvl>
    <w:lvl w:ilvl="5">
      <w:start w:val="0"/>
      <w:numFmt w:val="bullet"/>
      <w:lvlText w:val="•"/>
      <w:lvlJc w:val="left"/>
      <w:pPr>
        <w:ind w:left="5062" w:hanging="360"/>
      </w:pPr>
      <w:rPr>
        <w:rFonts w:hint="default"/>
        <w:lang w:val="en-US" w:eastAsia="en-US" w:bidi="ar-SA"/>
      </w:rPr>
    </w:lvl>
    <w:lvl w:ilvl="6">
      <w:start w:val="0"/>
      <w:numFmt w:val="bullet"/>
      <w:lvlText w:val="•"/>
      <w:lvlJc w:val="left"/>
      <w:pPr>
        <w:ind w:left="5987" w:hanging="360"/>
      </w:pPr>
      <w:rPr>
        <w:rFonts w:hint="default"/>
        <w:lang w:val="en-US" w:eastAsia="en-US" w:bidi="ar-SA"/>
      </w:rPr>
    </w:lvl>
    <w:lvl w:ilvl="7">
      <w:start w:val="0"/>
      <w:numFmt w:val="bullet"/>
      <w:lvlText w:val="•"/>
      <w:lvlJc w:val="left"/>
      <w:pPr>
        <w:ind w:left="6911" w:hanging="360"/>
      </w:pPr>
      <w:rPr>
        <w:rFonts w:hint="default"/>
        <w:lang w:val="en-US" w:eastAsia="en-US" w:bidi="ar-SA"/>
      </w:rPr>
    </w:lvl>
    <w:lvl w:ilvl="8">
      <w:start w:val="0"/>
      <w:numFmt w:val="bullet"/>
      <w:lvlText w:val="•"/>
      <w:lvlJc w:val="left"/>
      <w:pPr>
        <w:ind w:left="7836" w:hanging="360"/>
      </w:pPr>
      <w:rPr>
        <w:rFonts w:hint="default"/>
        <w:lang w:val="en-US" w:eastAsia="en-US" w:bidi="ar-SA"/>
      </w:rPr>
    </w:lvl>
  </w:abstractNum>
  <w:abstractNum w:abstractNumId="10">
    <w:multiLevelType w:val="hybridMultilevel"/>
    <w:lvl w:ilvl="0">
      <w:start w:val="0"/>
      <w:numFmt w:val="bullet"/>
      <w:lvlText w:val=""/>
      <w:lvlJc w:val="left"/>
      <w:pPr>
        <w:ind w:left="440" w:hanging="360"/>
      </w:pPr>
      <w:rPr>
        <w:rFonts w:hint="default" w:ascii="Symbol" w:hAnsi="Symbol" w:eastAsia="Symbol" w:cs="Symbol"/>
        <w:b w:val="0"/>
        <w:bCs w:val="0"/>
        <w:i w:val="0"/>
        <w:iCs w:val="0"/>
        <w:color w:val="231F20"/>
        <w:w w:val="100"/>
        <w:sz w:val="20"/>
        <w:szCs w:val="20"/>
        <w:lang w:val="en-US" w:eastAsia="en-US" w:bidi="ar-SA"/>
      </w:rPr>
    </w:lvl>
    <w:lvl w:ilvl="1">
      <w:start w:val="0"/>
      <w:numFmt w:val="bullet"/>
      <w:lvlText w:val="•"/>
      <w:lvlJc w:val="left"/>
      <w:pPr>
        <w:ind w:left="1364" w:hanging="360"/>
      </w:pPr>
      <w:rPr>
        <w:rFonts w:hint="default"/>
        <w:lang w:val="en-US" w:eastAsia="en-US" w:bidi="ar-SA"/>
      </w:rPr>
    </w:lvl>
    <w:lvl w:ilvl="2">
      <w:start w:val="0"/>
      <w:numFmt w:val="bullet"/>
      <w:lvlText w:val="•"/>
      <w:lvlJc w:val="left"/>
      <w:pPr>
        <w:ind w:left="2289" w:hanging="360"/>
      </w:pPr>
      <w:rPr>
        <w:rFonts w:hint="default"/>
        <w:lang w:val="en-US" w:eastAsia="en-US" w:bidi="ar-SA"/>
      </w:rPr>
    </w:lvl>
    <w:lvl w:ilvl="3">
      <w:start w:val="0"/>
      <w:numFmt w:val="bullet"/>
      <w:lvlText w:val="•"/>
      <w:lvlJc w:val="left"/>
      <w:pPr>
        <w:ind w:left="3213" w:hanging="360"/>
      </w:pPr>
      <w:rPr>
        <w:rFonts w:hint="default"/>
        <w:lang w:val="en-US" w:eastAsia="en-US" w:bidi="ar-SA"/>
      </w:rPr>
    </w:lvl>
    <w:lvl w:ilvl="4">
      <w:start w:val="0"/>
      <w:numFmt w:val="bullet"/>
      <w:lvlText w:val="•"/>
      <w:lvlJc w:val="left"/>
      <w:pPr>
        <w:ind w:left="4138" w:hanging="360"/>
      </w:pPr>
      <w:rPr>
        <w:rFonts w:hint="default"/>
        <w:lang w:val="en-US" w:eastAsia="en-US" w:bidi="ar-SA"/>
      </w:rPr>
    </w:lvl>
    <w:lvl w:ilvl="5">
      <w:start w:val="0"/>
      <w:numFmt w:val="bullet"/>
      <w:lvlText w:val="•"/>
      <w:lvlJc w:val="left"/>
      <w:pPr>
        <w:ind w:left="5062" w:hanging="360"/>
      </w:pPr>
      <w:rPr>
        <w:rFonts w:hint="default"/>
        <w:lang w:val="en-US" w:eastAsia="en-US" w:bidi="ar-SA"/>
      </w:rPr>
    </w:lvl>
    <w:lvl w:ilvl="6">
      <w:start w:val="0"/>
      <w:numFmt w:val="bullet"/>
      <w:lvlText w:val="•"/>
      <w:lvlJc w:val="left"/>
      <w:pPr>
        <w:ind w:left="5987" w:hanging="360"/>
      </w:pPr>
      <w:rPr>
        <w:rFonts w:hint="default"/>
        <w:lang w:val="en-US" w:eastAsia="en-US" w:bidi="ar-SA"/>
      </w:rPr>
    </w:lvl>
    <w:lvl w:ilvl="7">
      <w:start w:val="0"/>
      <w:numFmt w:val="bullet"/>
      <w:lvlText w:val="•"/>
      <w:lvlJc w:val="left"/>
      <w:pPr>
        <w:ind w:left="6911" w:hanging="360"/>
      </w:pPr>
      <w:rPr>
        <w:rFonts w:hint="default"/>
        <w:lang w:val="en-US" w:eastAsia="en-US" w:bidi="ar-SA"/>
      </w:rPr>
    </w:lvl>
    <w:lvl w:ilvl="8">
      <w:start w:val="0"/>
      <w:numFmt w:val="bullet"/>
      <w:lvlText w:val="•"/>
      <w:lvlJc w:val="left"/>
      <w:pPr>
        <w:ind w:left="7836" w:hanging="360"/>
      </w:pPr>
      <w:rPr>
        <w:rFonts w:hint="default"/>
        <w:lang w:val="en-US" w:eastAsia="en-US" w:bidi="ar-SA"/>
      </w:rPr>
    </w:lvl>
  </w:abstractNum>
  <w:abstractNum w:abstractNumId="9">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93" w:hanging="360"/>
      </w:pPr>
      <w:rPr>
        <w:rFonts w:hint="default"/>
        <w:lang w:val="en-US" w:eastAsia="en-US" w:bidi="ar-SA"/>
      </w:rPr>
    </w:lvl>
    <w:lvl w:ilvl="2">
      <w:start w:val="0"/>
      <w:numFmt w:val="bullet"/>
      <w:lvlText w:val="•"/>
      <w:lvlJc w:val="left"/>
      <w:pPr>
        <w:ind w:left="1147" w:hanging="360"/>
      </w:pPr>
      <w:rPr>
        <w:rFonts w:hint="default"/>
        <w:lang w:val="en-US" w:eastAsia="en-US" w:bidi="ar-SA"/>
      </w:rPr>
    </w:lvl>
    <w:lvl w:ilvl="3">
      <w:start w:val="0"/>
      <w:numFmt w:val="bullet"/>
      <w:lvlText w:val="•"/>
      <w:lvlJc w:val="left"/>
      <w:pPr>
        <w:ind w:left="1501" w:hanging="360"/>
      </w:pPr>
      <w:rPr>
        <w:rFonts w:hint="default"/>
        <w:lang w:val="en-US" w:eastAsia="en-US" w:bidi="ar-SA"/>
      </w:rPr>
    </w:lvl>
    <w:lvl w:ilvl="4">
      <w:start w:val="0"/>
      <w:numFmt w:val="bullet"/>
      <w:lvlText w:val="•"/>
      <w:lvlJc w:val="left"/>
      <w:pPr>
        <w:ind w:left="1855" w:hanging="360"/>
      </w:pPr>
      <w:rPr>
        <w:rFonts w:hint="default"/>
        <w:lang w:val="en-US" w:eastAsia="en-US" w:bidi="ar-SA"/>
      </w:rPr>
    </w:lvl>
    <w:lvl w:ilvl="5">
      <w:start w:val="0"/>
      <w:numFmt w:val="bullet"/>
      <w:lvlText w:val="•"/>
      <w:lvlJc w:val="left"/>
      <w:pPr>
        <w:ind w:left="2209" w:hanging="360"/>
      </w:pPr>
      <w:rPr>
        <w:rFonts w:hint="default"/>
        <w:lang w:val="en-US" w:eastAsia="en-US" w:bidi="ar-SA"/>
      </w:rPr>
    </w:lvl>
    <w:lvl w:ilvl="6">
      <w:start w:val="0"/>
      <w:numFmt w:val="bullet"/>
      <w:lvlText w:val="•"/>
      <w:lvlJc w:val="left"/>
      <w:pPr>
        <w:ind w:left="2562" w:hanging="360"/>
      </w:pPr>
      <w:rPr>
        <w:rFonts w:hint="default"/>
        <w:lang w:val="en-US" w:eastAsia="en-US" w:bidi="ar-SA"/>
      </w:rPr>
    </w:lvl>
    <w:lvl w:ilvl="7">
      <w:start w:val="0"/>
      <w:numFmt w:val="bullet"/>
      <w:lvlText w:val="•"/>
      <w:lvlJc w:val="left"/>
      <w:pPr>
        <w:ind w:left="2916" w:hanging="360"/>
      </w:pPr>
      <w:rPr>
        <w:rFonts w:hint="default"/>
        <w:lang w:val="en-US" w:eastAsia="en-US" w:bidi="ar-SA"/>
      </w:rPr>
    </w:lvl>
    <w:lvl w:ilvl="8">
      <w:start w:val="0"/>
      <w:numFmt w:val="bullet"/>
      <w:lvlText w:val="•"/>
      <w:lvlJc w:val="left"/>
      <w:pPr>
        <w:ind w:left="3270" w:hanging="360"/>
      </w:pPr>
      <w:rPr>
        <w:rFonts w:hint="default"/>
        <w:lang w:val="en-US" w:eastAsia="en-US" w:bidi="ar-SA"/>
      </w:rPr>
    </w:lvl>
  </w:abstractNum>
  <w:abstractNum w:abstractNumId="8">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93" w:hanging="360"/>
      </w:pPr>
      <w:rPr>
        <w:rFonts w:hint="default"/>
        <w:lang w:val="en-US" w:eastAsia="en-US" w:bidi="ar-SA"/>
      </w:rPr>
    </w:lvl>
    <w:lvl w:ilvl="2">
      <w:start w:val="0"/>
      <w:numFmt w:val="bullet"/>
      <w:lvlText w:val="•"/>
      <w:lvlJc w:val="left"/>
      <w:pPr>
        <w:ind w:left="1147" w:hanging="360"/>
      </w:pPr>
      <w:rPr>
        <w:rFonts w:hint="default"/>
        <w:lang w:val="en-US" w:eastAsia="en-US" w:bidi="ar-SA"/>
      </w:rPr>
    </w:lvl>
    <w:lvl w:ilvl="3">
      <w:start w:val="0"/>
      <w:numFmt w:val="bullet"/>
      <w:lvlText w:val="•"/>
      <w:lvlJc w:val="left"/>
      <w:pPr>
        <w:ind w:left="1501" w:hanging="360"/>
      </w:pPr>
      <w:rPr>
        <w:rFonts w:hint="default"/>
        <w:lang w:val="en-US" w:eastAsia="en-US" w:bidi="ar-SA"/>
      </w:rPr>
    </w:lvl>
    <w:lvl w:ilvl="4">
      <w:start w:val="0"/>
      <w:numFmt w:val="bullet"/>
      <w:lvlText w:val="•"/>
      <w:lvlJc w:val="left"/>
      <w:pPr>
        <w:ind w:left="1855" w:hanging="360"/>
      </w:pPr>
      <w:rPr>
        <w:rFonts w:hint="default"/>
        <w:lang w:val="en-US" w:eastAsia="en-US" w:bidi="ar-SA"/>
      </w:rPr>
    </w:lvl>
    <w:lvl w:ilvl="5">
      <w:start w:val="0"/>
      <w:numFmt w:val="bullet"/>
      <w:lvlText w:val="•"/>
      <w:lvlJc w:val="left"/>
      <w:pPr>
        <w:ind w:left="2209" w:hanging="360"/>
      </w:pPr>
      <w:rPr>
        <w:rFonts w:hint="default"/>
        <w:lang w:val="en-US" w:eastAsia="en-US" w:bidi="ar-SA"/>
      </w:rPr>
    </w:lvl>
    <w:lvl w:ilvl="6">
      <w:start w:val="0"/>
      <w:numFmt w:val="bullet"/>
      <w:lvlText w:val="•"/>
      <w:lvlJc w:val="left"/>
      <w:pPr>
        <w:ind w:left="2562" w:hanging="360"/>
      </w:pPr>
      <w:rPr>
        <w:rFonts w:hint="default"/>
        <w:lang w:val="en-US" w:eastAsia="en-US" w:bidi="ar-SA"/>
      </w:rPr>
    </w:lvl>
    <w:lvl w:ilvl="7">
      <w:start w:val="0"/>
      <w:numFmt w:val="bullet"/>
      <w:lvlText w:val="•"/>
      <w:lvlJc w:val="left"/>
      <w:pPr>
        <w:ind w:left="2916" w:hanging="360"/>
      </w:pPr>
      <w:rPr>
        <w:rFonts w:hint="default"/>
        <w:lang w:val="en-US" w:eastAsia="en-US" w:bidi="ar-SA"/>
      </w:rPr>
    </w:lvl>
    <w:lvl w:ilvl="8">
      <w:start w:val="0"/>
      <w:numFmt w:val="bullet"/>
      <w:lvlText w:val="•"/>
      <w:lvlJc w:val="left"/>
      <w:pPr>
        <w:ind w:left="3270" w:hanging="360"/>
      </w:pPr>
      <w:rPr>
        <w:rFonts w:hint="default"/>
        <w:lang w:val="en-US" w:eastAsia="en-US" w:bidi="ar-SA"/>
      </w:rPr>
    </w:lvl>
  </w:abstractNum>
  <w:abstractNum w:abstractNumId="7">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95" w:hanging="360"/>
      </w:pPr>
      <w:rPr>
        <w:rFonts w:hint="default"/>
        <w:lang w:val="en-US" w:eastAsia="en-US" w:bidi="ar-SA"/>
      </w:rPr>
    </w:lvl>
    <w:lvl w:ilvl="2">
      <w:start w:val="0"/>
      <w:numFmt w:val="bullet"/>
      <w:lvlText w:val="•"/>
      <w:lvlJc w:val="left"/>
      <w:pPr>
        <w:ind w:left="1150" w:hanging="360"/>
      </w:pPr>
      <w:rPr>
        <w:rFonts w:hint="default"/>
        <w:lang w:val="en-US" w:eastAsia="en-US" w:bidi="ar-SA"/>
      </w:rPr>
    </w:lvl>
    <w:lvl w:ilvl="3">
      <w:start w:val="0"/>
      <w:numFmt w:val="bullet"/>
      <w:lvlText w:val="•"/>
      <w:lvlJc w:val="left"/>
      <w:pPr>
        <w:ind w:left="1505" w:hanging="360"/>
      </w:pPr>
      <w:rPr>
        <w:rFonts w:hint="default"/>
        <w:lang w:val="en-US" w:eastAsia="en-US" w:bidi="ar-SA"/>
      </w:rPr>
    </w:lvl>
    <w:lvl w:ilvl="4">
      <w:start w:val="0"/>
      <w:numFmt w:val="bullet"/>
      <w:lvlText w:val="•"/>
      <w:lvlJc w:val="left"/>
      <w:pPr>
        <w:ind w:left="1860" w:hanging="360"/>
      </w:pPr>
      <w:rPr>
        <w:rFonts w:hint="default"/>
        <w:lang w:val="en-US" w:eastAsia="en-US" w:bidi="ar-SA"/>
      </w:rPr>
    </w:lvl>
    <w:lvl w:ilvl="5">
      <w:start w:val="0"/>
      <w:numFmt w:val="bullet"/>
      <w:lvlText w:val="•"/>
      <w:lvlJc w:val="left"/>
      <w:pPr>
        <w:ind w:left="2216" w:hanging="360"/>
      </w:pPr>
      <w:rPr>
        <w:rFonts w:hint="default"/>
        <w:lang w:val="en-US" w:eastAsia="en-US" w:bidi="ar-SA"/>
      </w:rPr>
    </w:lvl>
    <w:lvl w:ilvl="6">
      <w:start w:val="0"/>
      <w:numFmt w:val="bullet"/>
      <w:lvlText w:val="•"/>
      <w:lvlJc w:val="left"/>
      <w:pPr>
        <w:ind w:left="2571" w:hanging="360"/>
      </w:pPr>
      <w:rPr>
        <w:rFonts w:hint="default"/>
        <w:lang w:val="en-US" w:eastAsia="en-US" w:bidi="ar-SA"/>
      </w:rPr>
    </w:lvl>
    <w:lvl w:ilvl="7">
      <w:start w:val="0"/>
      <w:numFmt w:val="bullet"/>
      <w:lvlText w:val="•"/>
      <w:lvlJc w:val="left"/>
      <w:pPr>
        <w:ind w:left="2926" w:hanging="360"/>
      </w:pPr>
      <w:rPr>
        <w:rFonts w:hint="default"/>
        <w:lang w:val="en-US" w:eastAsia="en-US" w:bidi="ar-SA"/>
      </w:rPr>
    </w:lvl>
    <w:lvl w:ilvl="8">
      <w:start w:val="0"/>
      <w:numFmt w:val="bullet"/>
      <w:lvlText w:val="•"/>
      <w:lvlJc w:val="left"/>
      <w:pPr>
        <w:ind w:left="3281" w:hanging="360"/>
      </w:pPr>
      <w:rPr>
        <w:rFonts w:hint="default"/>
        <w:lang w:val="en-US" w:eastAsia="en-US" w:bidi="ar-SA"/>
      </w:rPr>
    </w:lvl>
  </w:abstractNum>
  <w:abstractNum w:abstractNumId="6">
    <w:multiLevelType w:val="hybridMultilevel"/>
    <w:lvl w:ilvl="0">
      <w:start w:val="0"/>
      <w:numFmt w:val="bullet"/>
      <w:lvlText w:val=""/>
      <w:lvlJc w:val="left"/>
      <w:pPr>
        <w:ind w:left="440" w:hanging="360"/>
      </w:pPr>
      <w:rPr>
        <w:rFonts w:hint="default" w:ascii="Symbol" w:hAnsi="Symbol" w:eastAsia="Symbol" w:cs="Symbol"/>
        <w:b w:val="0"/>
        <w:bCs w:val="0"/>
        <w:i w:val="0"/>
        <w:iCs w:val="0"/>
        <w:color w:val="010202"/>
        <w:w w:val="100"/>
        <w:sz w:val="20"/>
        <w:szCs w:val="20"/>
        <w:lang w:val="en-US" w:eastAsia="en-US" w:bidi="ar-SA"/>
      </w:rPr>
    </w:lvl>
    <w:lvl w:ilvl="1">
      <w:start w:val="0"/>
      <w:numFmt w:val="bullet"/>
      <w:lvlText w:val="•"/>
      <w:lvlJc w:val="left"/>
      <w:pPr>
        <w:ind w:left="795" w:hanging="360"/>
      </w:pPr>
      <w:rPr>
        <w:rFonts w:hint="default"/>
        <w:lang w:val="en-US" w:eastAsia="en-US" w:bidi="ar-SA"/>
      </w:rPr>
    </w:lvl>
    <w:lvl w:ilvl="2">
      <w:start w:val="0"/>
      <w:numFmt w:val="bullet"/>
      <w:lvlText w:val="•"/>
      <w:lvlJc w:val="left"/>
      <w:pPr>
        <w:ind w:left="1150" w:hanging="360"/>
      </w:pPr>
      <w:rPr>
        <w:rFonts w:hint="default"/>
        <w:lang w:val="en-US" w:eastAsia="en-US" w:bidi="ar-SA"/>
      </w:rPr>
    </w:lvl>
    <w:lvl w:ilvl="3">
      <w:start w:val="0"/>
      <w:numFmt w:val="bullet"/>
      <w:lvlText w:val="•"/>
      <w:lvlJc w:val="left"/>
      <w:pPr>
        <w:ind w:left="1505" w:hanging="360"/>
      </w:pPr>
      <w:rPr>
        <w:rFonts w:hint="default"/>
        <w:lang w:val="en-US" w:eastAsia="en-US" w:bidi="ar-SA"/>
      </w:rPr>
    </w:lvl>
    <w:lvl w:ilvl="4">
      <w:start w:val="0"/>
      <w:numFmt w:val="bullet"/>
      <w:lvlText w:val="•"/>
      <w:lvlJc w:val="left"/>
      <w:pPr>
        <w:ind w:left="1860" w:hanging="360"/>
      </w:pPr>
      <w:rPr>
        <w:rFonts w:hint="default"/>
        <w:lang w:val="en-US" w:eastAsia="en-US" w:bidi="ar-SA"/>
      </w:rPr>
    </w:lvl>
    <w:lvl w:ilvl="5">
      <w:start w:val="0"/>
      <w:numFmt w:val="bullet"/>
      <w:lvlText w:val="•"/>
      <w:lvlJc w:val="left"/>
      <w:pPr>
        <w:ind w:left="2216" w:hanging="360"/>
      </w:pPr>
      <w:rPr>
        <w:rFonts w:hint="default"/>
        <w:lang w:val="en-US" w:eastAsia="en-US" w:bidi="ar-SA"/>
      </w:rPr>
    </w:lvl>
    <w:lvl w:ilvl="6">
      <w:start w:val="0"/>
      <w:numFmt w:val="bullet"/>
      <w:lvlText w:val="•"/>
      <w:lvlJc w:val="left"/>
      <w:pPr>
        <w:ind w:left="2571" w:hanging="360"/>
      </w:pPr>
      <w:rPr>
        <w:rFonts w:hint="default"/>
        <w:lang w:val="en-US" w:eastAsia="en-US" w:bidi="ar-SA"/>
      </w:rPr>
    </w:lvl>
    <w:lvl w:ilvl="7">
      <w:start w:val="0"/>
      <w:numFmt w:val="bullet"/>
      <w:lvlText w:val="•"/>
      <w:lvlJc w:val="left"/>
      <w:pPr>
        <w:ind w:left="2926" w:hanging="360"/>
      </w:pPr>
      <w:rPr>
        <w:rFonts w:hint="default"/>
        <w:lang w:val="en-US" w:eastAsia="en-US" w:bidi="ar-SA"/>
      </w:rPr>
    </w:lvl>
    <w:lvl w:ilvl="8">
      <w:start w:val="0"/>
      <w:numFmt w:val="bullet"/>
      <w:lvlText w:val="•"/>
      <w:lvlJc w:val="left"/>
      <w:pPr>
        <w:ind w:left="3281" w:hanging="360"/>
      </w:pPr>
      <w:rPr>
        <w:rFonts w:hint="default"/>
        <w:lang w:val="en-US" w:eastAsia="en-US" w:bidi="ar-SA"/>
      </w:rPr>
    </w:lvl>
  </w:abstractNum>
  <w:abstractNum w:abstractNumId="5">
    <w:multiLevelType w:val="hybridMultilevel"/>
    <w:lvl w:ilvl="0">
      <w:start w:val="0"/>
      <w:numFmt w:val="bullet"/>
      <w:lvlText w:val=""/>
      <w:lvlJc w:val="left"/>
      <w:pPr>
        <w:ind w:left="440" w:hanging="360"/>
      </w:pPr>
      <w:rPr>
        <w:rFonts w:hint="default" w:ascii="Symbol" w:hAnsi="Symbol" w:eastAsia="Symbol" w:cs="Symbol"/>
        <w:b w:val="0"/>
        <w:bCs w:val="0"/>
        <w:i w:val="0"/>
        <w:iCs w:val="0"/>
        <w:color w:val="231F20"/>
        <w:w w:val="100"/>
        <w:sz w:val="20"/>
        <w:szCs w:val="20"/>
        <w:lang w:val="en-US" w:eastAsia="en-US" w:bidi="ar-SA"/>
      </w:rPr>
    </w:lvl>
    <w:lvl w:ilvl="1">
      <w:start w:val="0"/>
      <w:numFmt w:val="bullet"/>
      <w:lvlText w:val="•"/>
      <w:lvlJc w:val="left"/>
      <w:pPr>
        <w:ind w:left="793" w:hanging="360"/>
      </w:pPr>
      <w:rPr>
        <w:rFonts w:hint="default"/>
        <w:lang w:val="en-US" w:eastAsia="en-US" w:bidi="ar-SA"/>
      </w:rPr>
    </w:lvl>
    <w:lvl w:ilvl="2">
      <w:start w:val="0"/>
      <w:numFmt w:val="bullet"/>
      <w:lvlText w:val="•"/>
      <w:lvlJc w:val="left"/>
      <w:pPr>
        <w:ind w:left="1147" w:hanging="360"/>
      </w:pPr>
      <w:rPr>
        <w:rFonts w:hint="default"/>
        <w:lang w:val="en-US" w:eastAsia="en-US" w:bidi="ar-SA"/>
      </w:rPr>
    </w:lvl>
    <w:lvl w:ilvl="3">
      <w:start w:val="0"/>
      <w:numFmt w:val="bullet"/>
      <w:lvlText w:val="•"/>
      <w:lvlJc w:val="left"/>
      <w:pPr>
        <w:ind w:left="1501" w:hanging="360"/>
      </w:pPr>
      <w:rPr>
        <w:rFonts w:hint="default"/>
        <w:lang w:val="en-US" w:eastAsia="en-US" w:bidi="ar-SA"/>
      </w:rPr>
    </w:lvl>
    <w:lvl w:ilvl="4">
      <w:start w:val="0"/>
      <w:numFmt w:val="bullet"/>
      <w:lvlText w:val="•"/>
      <w:lvlJc w:val="left"/>
      <w:pPr>
        <w:ind w:left="1855" w:hanging="360"/>
      </w:pPr>
      <w:rPr>
        <w:rFonts w:hint="default"/>
        <w:lang w:val="en-US" w:eastAsia="en-US" w:bidi="ar-SA"/>
      </w:rPr>
    </w:lvl>
    <w:lvl w:ilvl="5">
      <w:start w:val="0"/>
      <w:numFmt w:val="bullet"/>
      <w:lvlText w:val="•"/>
      <w:lvlJc w:val="left"/>
      <w:pPr>
        <w:ind w:left="2209" w:hanging="360"/>
      </w:pPr>
      <w:rPr>
        <w:rFonts w:hint="default"/>
        <w:lang w:val="en-US" w:eastAsia="en-US" w:bidi="ar-SA"/>
      </w:rPr>
    </w:lvl>
    <w:lvl w:ilvl="6">
      <w:start w:val="0"/>
      <w:numFmt w:val="bullet"/>
      <w:lvlText w:val="•"/>
      <w:lvlJc w:val="left"/>
      <w:pPr>
        <w:ind w:left="2562" w:hanging="360"/>
      </w:pPr>
      <w:rPr>
        <w:rFonts w:hint="default"/>
        <w:lang w:val="en-US" w:eastAsia="en-US" w:bidi="ar-SA"/>
      </w:rPr>
    </w:lvl>
    <w:lvl w:ilvl="7">
      <w:start w:val="0"/>
      <w:numFmt w:val="bullet"/>
      <w:lvlText w:val="•"/>
      <w:lvlJc w:val="left"/>
      <w:pPr>
        <w:ind w:left="2916" w:hanging="360"/>
      </w:pPr>
      <w:rPr>
        <w:rFonts w:hint="default"/>
        <w:lang w:val="en-US" w:eastAsia="en-US" w:bidi="ar-SA"/>
      </w:rPr>
    </w:lvl>
    <w:lvl w:ilvl="8">
      <w:start w:val="0"/>
      <w:numFmt w:val="bullet"/>
      <w:lvlText w:val="•"/>
      <w:lvlJc w:val="left"/>
      <w:pPr>
        <w:ind w:left="3270" w:hanging="360"/>
      </w:pPr>
      <w:rPr>
        <w:rFonts w:hint="default"/>
        <w:lang w:val="en-US" w:eastAsia="en-US" w:bidi="ar-SA"/>
      </w:rPr>
    </w:lvl>
  </w:abstractNum>
  <w:abstractNum w:abstractNumId="4">
    <w:multiLevelType w:val="hybridMultilevel"/>
    <w:lvl w:ilvl="0">
      <w:start w:val="0"/>
      <w:numFmt w:val="bullet"/>
      <w:lvlText w:val=""/>
      <w:lvlJc w:val="left"/>
      <w:pPr>
        <w:ind w:left="430" w:hanging="360"/>
      </w:pPr>
      <w:rPr>
        <w:rFonts w:hint="default" w:ascii="Symbol" w:hAnsi="Symbol" w:eastAsia="Symbol" w:cs="Symbol"/>
        <w:b w:val="0"/>
        <w:bCs w:val="0"/>
        <w:i w:val="0"/>
        <w:iCs w:val="0"/>
        <w:color w:val="231F20"/>
        <w:w w:val="100"/>
        <w:sz w:val="20"/>
        <w:szCs w:val="20"/>
        <w:lang w:val="en-US" w:eastAsia="en-US" w:bidi="ar-SA"/>
      </w:rPr>
    </w:lvl>
    <w:lvl w:ilvl="1">
      <w:start w:val="0"/>
      <w:numFmt w:val="bullet"/>
      <w:lvlText w:val="•"/>
      <w:lvlJc w:val="left"/>
      <w:pPr>
        <w:ind w:left="779" w:hanging="360"/>
      </w:pPr>
      <w:rPr>
        <w:rFonts w:hint="default"/>
        <w:lang w:val="en-US" w:eastAsia="en-US" w:bidi="ar-SA"/>
      </w:rPr>
    </w:lvl>
    <w:lvl w:ilvl="2">
      <w:start w:val="0"/>
      <w:numFmt w:val="bullet"/>
      <w:lvlText w:val="•"/>
      <w:lvlJc w:val="left"/>
      <w:pPr>
        <w:ind w:left="1118" w:hanging="360"/>
      </w:pPr>
      <w:rPr>
        <w:rFonts w:hint="default"/>
        <w:lang w:val="en-US" w:eastAsia="en-US" w:bidi="ar-SA"/>
      </w:rPr>
    </w:lvl>
    <w:lvl w:ilvl="3">
      <w:start w:val="0"/>
      <w:numFmt w:val="bullet"/>
      <w:lvlText w:val="•"/>
      <w:lvlJc w:val="left"/>
      <w:pPr>
        <w:ind w:left="1457" w:hanging="360"/>
      </w:pPr>
      <w:rPr>
        <w:rFonts w:hint="default"/>
        <w:lang w:val="en-US" w:eastAsia="en-US" w:bidi="ar-SA"/>
      </w:rPr>
    </w:lvl>
    <w:lvl w:ilvl="4">
      <w:start w:val="0"/>
      <w:numFmt w:val="bullet"/>
      <w:lvlText w:val="•"/>
      <w:lvlJc w:val="left"/>
      <w:pPr>
        <w:ind w:left="1796" w:hanging="360"/>
      </w:pPr>
      <w:rPr>
        <w:rFonts w:hint="default"/>
        <w:lang w:val="en-US" w:eastAsia="en-US" w:bidi="ar-SA"/>
      </w:rPr>
    </w:lvl>
    <w:lvl w:ilvl="5">
      <w:start w:val="0"/>
      <w:numFmt w:val="bullet"/>
      <w:lvlText w:val="•"/>
      <w:lvlJc w:val="left"/>
      <w:pPr>
        <w:ind w:left="2135" w:hanging="360"/>
      </w:pPr>
      <w:rPr>
        <w:rFonts w:hint="default"/>
        <w:lang w:val="en-US" w:eastAsia="en-US" w:bidi="ar-SA"/>
      </w:rPr>
    </w:lvl>
    <w:lvl w:ilvl="6">
      <w:start w:val="0"/>
      <w:numFmt w:val="bullet"/>
      <w:lvlText w:val="•"/>
      <w:lvlJc w:val="left"/>
      <w:pPr>
        <w:ind w:left="2474" w:hanging="360"/>
      </w:pPr>
      <w:rPr>
        <w:rFonts w:hint="default"/>
        <w:lang w:val="en-US" w:eastAsia="en-US" w:bidi="ar-SA"/>
      </w:rPr>
    </w:lvl>
    <w:lvl w:ilvl="7">
      <w:start w:val="0"/>
      <w:numFmt w:val="bullet"/>
      <w:lvlText w:val="•"/>
      <w:lvlJc w:val="left"/>
      <w:pPr>
        <w:ind w:left="2813" w:hanging="360"/>
      </w:pPr>
      <w:rPr>
        <w:rFonts w:hint="default"/>
        <w:lang w:val="en-US" w:eastAsia="en-US" w:bidi="ar-SA"/>
      </w:rPr>
    </w:lvl>
    <w:lvl w:ilvl="8">
      <w:start w:val="0"/>
      <w:numFmt w:val="bullet"/>
      <w:lvlText w:val="•"/>
      <w:lvlJc w:val="left"/>
      <w:pPr>
        <w:ind w:left="3152" w:hanging="360"/>
      </w:pPr>
      <w:rPr>
        <w:rFonts w:hint="default"/>
        <w:lang w:val="en-US" w:eastAsia="en-US" w:bidi="ar-SA"/>
      </w:rPr>
    </w:lvl>
  </w:abstractNum>
  <w:abstractNum w:abstractNumId="3">
    <w:multiLevelType w:val="hybridMultilevel"/>
    <w:lvl w:ilvl="0">
      <w:start w:val="0"/>
      <w:numFmt w:val="bullet"/>
      <w:lvlText w:val=""/>
      <w:lvlJc w:val="left"/>
      <w:pPr>
        <w:ind w:left="879" w:hanging="360"/>
      </w:pPr>
      <w:rPr>
        <w:rFonts w:hint="default" w:ascii="Symbol" w:hAnsi="Symbol" w:eastAsia="Symbol" w:cs="Symbol"/>
        <w:w w:val="100"/>
        <w:lang w:val="en-US" w:eastAsia="en-US" w:bidi="ar-SA"/>
      </w:rPr>
    </w:lvl>
    <w:lvl w:ilvl="1">
      <w:start w:val="0"/>
      <w:numFmt w:val="bullet"/>
      <w:lvlText w:val="•"/>
      <w:lvlJc w:val="left"/>
      <w:pPr>
        <w:ind w:left="1384" w:hanging="360"/>
      </w:pPr>
      <w:rPr>
        <w:rFonts w:hint="default"/>
        <w:lang w:val="en-US" w:eastAsia="en-US" w:bidi="ar-SA"/>
      </w:rPr>
    </w:lvl>
    <w:lvl w:ilvl="2">
      <w:start w:val="0"/>
      <w:numFmt w:val="bullet"/>
      <w:lvlText w:val="•"/>
      <w:lvlJc w:val="left"/>
      <w:pPr>
        <w:ind w:left="1888" w:hanging="360"/>
      </w:pPr>
      <w:rPr>
        <w:rFonts w:hint="default"/>
        <w:lang w:val="en-US" w:eastAsia="en-US" w:bidi="ar-SA"/>
      </w:rPr>
    </w:lvl>
    <w:lvl w:ilvl="3">
      <w:start w:val="0"/>
      <w:numFmt w:val="bullet"/>
      <w:lvlText w:val="•"/>
      <w:lvlJc w:val="left"/>
      <w:pPr>
        <w:ind w:left="2392" w:hanging="360"/>
      </w:pPr>
      <w:rPr>
        <w:rFonts w:hint="default"/>
        <w:lang w:val="en-US" w:eastAsia="en-US" w:bidi="ar-SA"/>
      </w:rPr>
    </w:lvl>
    <w:lvl w:ilvl="4">
      <w:start w:val="0"/>
      <w:numFmt w:val="bullet"/>
      <w:lvlText w:val="•"/>
      <w:lvlJc w:val="left"/>
      <w:pPr>
        <w:ind w:left="2896" w:hanging="360"/>
      </w:pPr>
      <w:rPr>
        <w:rFonts w:hint="default"/>
        <w:lang w:val="en-US" w:eastAsia="en-US" w:bidi="ar-SA"/>
      </w:rPr>
    </w:lvl>
    <w:lvl w:ilvl="5">
      <w:start w:val="0"/>
      <w:numFmt w:val="bullet"/>
      <w:lvlText w:val="•"/>
      <w:lvlJc w:val="left"/>
      <w:pPr>
        <w:ind w:left="3400" w:hanging="360"/>
      </w:pPr>
      <w:rPr>
        <w:rFonts w:hint="default"/>
        <w:lang w:val="en-US" w:eastAsia="en-US" w:bidi="ar-SA"/>
      </w:rPr>
    </w:lvl>
    <w:lvl w:ilvl="6">
      <w:start w:val="0"/>
      <w:numFmt w:val="bullet"/>
      <w:lvlText w:val="•"/>
      <w:lvlJc w:val="left"/>
      <w:pPr>
        <w:ind w:left="3904" w:hanging="360"/>
      </w:pPr>
      <w:rPr>
        <w:rFonts w:hint="default"/>
        <w:lang w:val="en-US" w:eastAsia="en-US" w:bidi="ar-SA"/>
      </w:rPr>
    </w:lvl>
    <w:lvl w:ilvl="7">
      <w:start w:val="0"/>
      <w:numFmt w:val="bullet"/>
      <w:lvlText w:val="•"/>
      <w:lvlJc w:val="left"/>
      <w:pPr>
        <w:ind w:left="4408" w:hanging="360"/>
      </w:pPr>
      <w:rPr>
        <w:rFonts w:hint="default"/>
        <w:lang w:val="en-US" w:eastAsia="en-US" w:bidi="ar-SA"/>
      </w:rPr>
    </w:lvl>
    <w:lvl w:ilvl="8">
      <w:start w:val="0"/>
      <w:numFmt w:val="bullet"/>
      <w:lvlText w:val="•"/>
      <w:lvlJc w:val="left"/>
      <w:pPr>
        <w:ind w:left="4912" w:hanging="360"/>
      </w:pPr>
      <w:rPr>
        <w:rFonts w:hint="default"/>
        <w:lang w:val="en-US" w:eastAsia="en-US" w:bidi="ar-SA"/>
      </w:rPr>
    </w:lvl>
  </w:abstractNum>
  <w:abstractNum w:abstractNumId="2">
    <w:multiLevelType w:val="hybridMultilevel"/>
    <w:lvl w:ilvl="0">
      <w:start w:val="0"/>
      <w:numFmt w:val="bullet"/>
      <w:lvlText w:val=""/>
      <w:lvlJc w:val="left"/>
      <w:pPr>
        <w:ind w:left="869" w:hanging="360"/>
      </w:pPr>
      <w:rPr>
        <w:rFonts w:hint="default" w:ascii="Symbol" w:hAnsi="Symbol" w:eastAsia="Symbol" w:cs="Symbol"/>
        <w:b w:val="0"/>
        <w:bCs w:val="0"/>
        <w:i w:val="0"/>
        <w:iCs w:val="0"/>
        <w:color w:val="010202"/>
        <w:w w:val="100"/>
        <w:sz w:val="22"/>
        <w:szCs w:val="22"/>
        <w:lang w:val="en-US" w:eastAsia="en-US" w:bidi="ar-SA"/>
      </w:rPr>
    </w:lvl>
    <w:lvl w:ilvl="1">
      <w:start w:val="0"/>
      <w:numFmt w:val="bullet"/>
      <w:lvlText w:val="•"/>
      <w:lvlJc w:val="left"/>
      <w:pPr>
        <w:ind w:left="1942" w:hanging="360"/>
      </w:pPr>
      <w:rPr>
        <w:rFonts w:hint="default"/>
        <w:lang w:val="en-US" w:eastAsia="en-US" w:bidi="ar-SA"/>
      </w:rPr>
    </w:lvl>
    <w:lvl w:ilvl="2">
      <w:start w:val="0"/>
      <w:numFmt w:val="bullet"/>
      <w:lvlText w:val="•"/>
      <w:lvlJc w:val="left"/>
      <w:pPr>
        <w:ind w:left="3024" w:hanging="360"/>
      </w:pPr>
      <w:rPr>
        <w:rFonts w:hint="default"/>
        <w:lang w:val="en-US" w:eastAsia="en-US" w:bidi="ar-SA"/>
      </w:rPr>
    </w:lvl>
    <w:lvl w:ilvl="3">
      <w:start w:val="0"/>
      <w:numFmt w:val="bullet"/>
      <w:lvlText w:val="•"/>
      <w:lvlJc w:val="left"/>
      <w:pPr>
        <w:ind w:left="4106" w:hanging="360"/>
      </w:pPr>
      <w:rPr>
        <w:rFonts w:hint="default"/>
        <w:lang w:val="en-US" w:eastAsia="en-US" w:bidi="ar-SA"/>
      </w:rPr>
    </w:lvl>
    <w:lvl w:ilvl="4">
      <w:start w:val="0"/>
      <w:numFmt w:val="bullet"/>
      <w:lvlText w:val="•"/>
      <w:lvlJc w:val="left"/>
      <w:pPr>
        <w:ind w:left="5188" w:hanging="360"/>
      </w:pPr>
      <w:rPr>
        <w:rFonts w:hint="default"/>
        <w:lang w:val="en-US" w:eastAsia="en-US" w:bidi="ar-SA"/>
      </w:rPr>
    </w:lvl>
    <w:lvl w:ilvl="5">
      <w:start w:val="0"/>
      <w:numFmt w:val="bullet"/>
      <w:lvlText w:val="•"/>
      <w:lvlJc w:val="left"/>
      <w:pPr>
        <w:ind w:left="6270" w:hanging="360"/>
      </w:pPr>
      <w:rPr>
        <w:rFonts w:hint="default"/>
        <w:lang w:val="en-US" w:eastAsia="en-US" w:bidi="ar-SA"/>
      </w:rPr>
    </w:lvl>
    <w:lvl w:ilvl="6">
      <w:start w:val="0"/>
      <w:numFmt w:val="bullet"/>
      <w:lvlText w:val="•"/>
      <w:lvlJc w:val="left"/>
      <w:pPr>
        <w:ind w:left="7352" w:hanging="360"/>
      </w:pPr>
      <w:rPr>
        <w:rFonts w:hint="default"/>
        <w:lang w:val="en-US" w:eastAsia="en-US" w:bidi="ar-SA"/>
      </w:rPr>
    </w:lvl>
    <w:lvl w:ilvl="7">
      <w:start w:val="0"/>
      <w:numFmt w:val="bullet"/>
      <w:lvlText w:val="•"/>
      <w:lvlJc w:val="left"/>
      <w:pPr>
        <w:ind w:left="8434" w:hanging="360"/>
      </w:pPr>
      <w:rPr>
        <w:rFonts w:hint="default"/>
        <w:lang w:val="en-US" w:eastAsia="en-US" w:bidi="ar-SA"/>
      </w:rPr>
    </w:lvl>
    <w:lvl w:ilvl="8">
      <w:start w:val="0"/>
      <w:numFmt w:val="bullet"/>
      <w:lvlText w:val="•"/>
      <w:lvlJc w:val="left"/>
      <w:pPr>
        <w:ind w:left="9516" w:hanging="360"/>
      </w:pPr>
      <w:rPr>
        <w:rFonts w:hint="default"/>
        <w:lang w:val="en-US" w:eastAsia="en-US" w:bidi="ar-SA"/>
      </w:rPr>
    </w:lvl>
  </w:abstractNum>
  <w:abstractNum w:abstractNumId="1">
    <w:multiLevelType w:val="hybridMultilevel"/>
    <w:lvl w:ilvl="0">
      <w:start w:val="1"/>
      <w:numFmt w:val="decimal"/>
      <w:lvlText w:val="%1"/>
      <w:lvlJc w:val="left"/>
      <w:pPr>
        <w:ind w:left="959" w:hanging="720"/>
        <w:jc w:val="left"/>
      </w:pPr>
      <w:rPr>
        <w:rFonts w:hint="default" w:ascii="Arial" w:hAnsi="Arial" w:eastAsia="Arial" w:cs="Arial"/>
        <w:b/>
        <w:bCs/>
        <w:i w:val="0"/>
        <w:iCs w:val="0"/>
        <w:color w:val="CE372E"/>
        <w:w w:val="100"/>
        <w:sz w:val="26"/>
        <w:szCs w:val="26"/>
        <w:lang w:val="en-US" w:eastAsia="en-US" w:bidi="ar-SA"/>
      </w:rPr>
    </w:lvl>
    <w:lvl w:ilvl="1">
      <w:start w:val="0"/>
      <w:numFmt w:val="bullet"/>
      <w:lvlText w:val="•"/>
      <w:lvlJc w:val="left"/>
      <w:pPr>
        <w:ind w:left="960" w:hanging="720"/>
      </w:pPr>
      <w:rPr>
        <w:rFonts w:hint="default"/>
        <w:lang w:val="en-US" w:eastAsia="en-US" w:bidi="ar-SA"/>
      </w:rPr>
    </w:lvl>
    <w:lvl w:ilvl="2">
      <w:start w:val="0"/>
      <w:numFmt w:val="bullet"/>
      <w:lvlText w:val="•"/>
      <w:lvlJc w:val="left"/>
      <w:pPr>
        <w:ind w:left="1434" w:hanging="720"/>
      </w:pPr>
      <w:rPr>
        <w:rFonts w:hint="default"/>
        <w:lang w:val="en-US" w:eastAsia="en-US" w:bidi="ar-SA"/>
      </w:rPr>
    </w:lvl>
    <w:lvl w:ilvl="3">
      <w:start w:val="0"/>
      <w:numFmt w:val="bullet"/>
      <w:lvlText w:val="•"/>
      <w:lvlJc w:val="left"/>
      <w:pPr>
        <w:ind w:left="1909" w:hanging="720"/>
      </w:pPr>
      <w:rPr>
        <w:rFonts w:hint="default"/>
        <w:lang w:val="en-US" w:eastAsia="en-US" w:bidi="ar-SA"/>
      </w:rPr>
    </w:lvl>
    <w:lvl w:ilvl="4">
      <w:start w:val="0"/>
      <w:numFmt w:val="bullet"/>
      <w:lvlText w:val="•"/>
      <w:lvlJc w:val="left"/>
      <w:pPr>
        <w:ind w:left="2383" w:hanging="720"/>
      </w:pPr>
      <w:rPr>
        <w:rFonts w:hint="default"/>
        <w:lang w:val="en-US" w:eastAsia="en-US" w:bidi="ar-SA"/>
      </w:rPr>
    </w:lvl>
    <w:lvl w:ilvl="5">
      <w:start w:val="0"/>
      <w:numFmt w:val="bullet"/>
      <w:lvlText w:val="•"/>
      <w:lvlJc w:val="left"/>
      <w:pPr>
        <w:ind w:left="2858" w:hanging="720"/>
      </w:pPr>
      <w:rPr>
        <w:rFonts w:hint="default"/>
        <w:lang w:val="en-US" w:eastAsia="en-US" w:bidi="ar-SA"/>
      </w:rPr>
    </w:lvl>
    <w:lvl w:ilvl="6">
      <w:start w:val="0"/>
      <w:numFmt w:val="bullet"/>
      <w:lvlText w:val="•"/>
      <w:lvlJc w:val="left"/>
      <w:pPr>
        <w:ind w:left="3332" w:hanging="720"/>
      </w:pPr>
      <w:rPr>
        <w:rFonts w:hint="default"/>
        <w:lang w:val="en-US" w:eastAsia="en-US" w:bidi="ar-SA"/>
      </w:rPr>
    </w:lvl>
    <w:lvl w:ilvl="7">
      <w:start w:val="0"/>
      <w:numFmt w:val="bullet"/>
      <w:lvlText w:val="•"/>
      <w:lvlJc w:val="left"/>
      <w:pPr>
        <w:ind w:left="3807" w:hanging="720"/>
      </w:pPr>
      <w:rPr>
        <w:rFonts w:hint="default"/>
        <w:lang w:val="en-US" w:eastAsia="en-US" w:bidi="ar-SA"/>
      </w:rPr>
    </w:lvl>
    <w:lvl w:ilvl="8">
      <w:start w:val="0"/>
      <w:numFmt w:val="bullet"/>
      <w:lvlText w:val="•"/>
      <w:lvlJc w:val="left"/>
      <w:pPr>
        <w:ind w:left="4281" w:hanging="720"/>
      </w:pPr>
      <w:rPr>
        <w:rFonts w:hint="default"/>
        <w:lang w:val="en-US" w:eastAsia="en-US" w:bidi="ar-SA"/>
      </w:rPr>
    </w:lvl>
  </w:abstractNum>
  <w:abstractNum w:abstractNumId="0">
    <w:multiLevelType w:val="hybridMultilevel"/>
    <w:lvl w:ilvl="0">
      <w:start w:val="1"/>
      <w:numFmt w:val="decimal"/>
      <w:lvlText w:val="%1"/>
      <w:lvlJc w:val="left"/>
      <w:pPr>
        <w:ind w:left="1034" w:hanging="270"/>
        <w:jc w:val="left"/>
      </w:pPr>
      <w:rPr>
        <w:rFonts w:hint="default" w:ascii="Times New Roman" w:hAnsi="Times New Roman" w:eastAsia="Times New Roman" w:cs="Times New Roman"/>
        <w:b w:val="0"/>
        <w:bCs w:val="0"/>
        <w:i w:val="0"/>
        <w:iCs w:val="0"/>
        <w:color w:val="231F20"/>
        <w:w w:val="100"/>
        <w:sz w:val="18"/>
        <w:szCs w:val="18"/>
        <w:lang w:val="en-US" w:eastAsia="en-US" w:bidi="ar-SA"/>
      </w:rPr>
    </w:lvl>
    <w:lvl w:ilvl="1">
      <w:start w:val="0"/>
      <w:numFmt w:val="bullet"/>
      <w:lvlText w:val="•"/>
      <w:lvlJc w:val="left"/>
      <w:pPr>
        <w:ind w:left="2104" w:hanging="270"/>
      </w:pPr>
      <w:rPr>
        <w:rFonts w:hint="default"/>
        <w:lang w:val="en-US" w:eastAsia="en-US" w:bidi="ar-SA"/>
      </w:rPr>
    </w:lvl>
    <w:lvl w:ilvl="2">
      <w:start w:val="0"/>
      <w:numFmt w:val="bullet"/>
      <w:lvlText w:val="•"/>
      <w:lvlJc w:val="left"/>
      <w:pPr>
        <w:ind w:left="3168" w:hanging="270"/>
      </w:pPr>
      <w:rPr>
        <w:rFonts w:hint="default"/>
        <w:lang w:val="en-US" w:eastAsia="en-US" w:bidi="ar-SA"/>
      </w:rPr>
    </w:lvl>
    <w:lvl w:ilvl="3">
      <w:start w:val="0"/>
      <w:numFmt w:val="bullet"/>
      <w:lvlText w:val="•"/>
      <w:lvlJc w:val="left"/>
      <w:pPr>
        <w:ind w:left="4232" w:hanging="270"/>
      </w:pPr>
      <w:rPr>
        <w:rFonts w:hint="default"/>
        <w:lang w:val="en-US" w:eastAsia="en-US" w:bidi="ar-SA"/>
      </w:rPr>
    </w:lvl>
    <w:lvl w:ilvl="4">
      <w:start w:val="0"/>
      <w:numFmt w:val="bullet"/>
      <w:lvlText w:val="•"/>
      <w:lvlJc w:val="left"/>
      <w:pPr>
        <w:ind w:left="5296" w:hanging="270"/>
      </w:pPr>
      <w:rPr>
        <w:rFonts w:hint="default"/>
        <w:lang w:val="en-US" w:eastAsia="en-US" w:bidi="ar-SA"/>
      </w:rPr>
    </w:lvl>
    <w:lvl w:ilvl="5">
      <w:start w:val="0"/>
      <w:numFmt w:val="bullet"/>
      <w:lvlText w:val="•"/>
      <w:lvlJc w:val="left"/>
      <w:pPr>
        <w:ind w:left="6360" w:hanging="270"/>
      </w:pPr>
      <w:rPr>
        <w:rFonts w:hint="default"/>
        <w:lang w:val="en-US" w:eastAsia="en-US" w:bidi="ar-SA"/>
      </w:rPr>
    </w:lvl>
    <w:lvl w:ilvl="6">
      <w:start w:val="0"/>
      <w:numFmt w:val="bullet"/>
      <w:lvlText w:val="•"/>
      <w:lvlJc w:val="left"/>
      <w:pPr>
        <w:ind w:left="7424" w:hanging="270"/>
      </w:pPr>
      <w:rPr>
        <w:rFonts w:hint="default"/>
        <w:lang w:val="en-US" w:eastAsia="en-US" w:bidi="ar-SA"/>
      </w:rPr>
    </w:lvl>
    <w:lvl w:ilvl="7">
      <w:start w:val="0"/>
      <w:numFmt w:val="bullet"/>
      <w:lvlText w:val="•"/>
      <w:lvlJc w:val="left"/>
      <w:pPr>
        <w:ind w:left="8488" w:hanging="270"/>
      </w:pPr>
      <w:rPr>
        <w:rFonts w:hint="default"/>
        <w:lang w:val="en-US" w:eastAsia="en-US" w:bidi="ar-SA"/>
      </w:rPr>
    </w:lvl>
    <w:lvl w:ilvl="8">
      <w:start w:val="0"/>
      <w:numFmt w:val="bullet"/>
      <w:lvlText w:val="•"/>
      <w:lvlJc w:val="left"/>
      <w:pPr>
        <w:ind w:left="9552" w:hanging="270"/>
      </w:pPr>
      <w:rPr>
        <w:rFonts w:hint="default"/>
        <w:lang w:val="en-US" w:eastAsia="en-US" w:bidi="ar-SA"/>
      </w:rPr>
    </w:lvl>
  </w:abstract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0">
    <w:abstractNumId w:val="19"/>
  </w:num>
  <w:num w:numId="21">
    <w:abstractNumId w:val="20"/>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180"/>
      <w:ind w:left="160"/>
      <w:outlineLvl w:val="1"/>
    </w:pPr>
    <w:rPr>
      <w:rFonts w:ascii="Arial Black" w:hAnsi="Arial Black" w:eastAsia="Arial Black" w:cs="Arial Black"/>
      <w:sz w:val="40"/>
      <w:szCs w:val="40"/>
      <w:lang w:val="en-US" w:eastAsia="en-US" w:bidi="ar-SA"/>
    </w:rPr>
  </w:style>
  <w:style w:styleId="Heading2" w:type="paragraph">
    <w:name w:val="Heading 2"/>
    <w:basedOn w:val="Normal"/>
    <w:uiPriority w:val="1"/>
    <w:qFormat/>
    <w:pPr>
      <w:spacing w:before="100"/>
      <w:ind w:left="160"/>
      <w:outlineLvl w:val="2"/>
    </w:pPr>
    <w:rPr>
      <w:rFonts w:ascii="Arial Black" w:hAnsi="Arial Black" w:eastAsia="Arial Black" w:cs="Arial Black"/>
      <w:sz w:val="35"/>
      <w:szCs w:val="35"/>
      <w:lang w:val="en-US" w:eastAsia="en-US" w:bidi="ar-SA"/>
    </w:rPr>
  </w:style>
  <w:style w:styleId="Heading3" w:type="paragraph">
    <w:name w:val="Heading 3"/>
    <w:basedOn w:val="Normal"/>
    <w:uiPriority w:val="1"/>
    <w:qFormat/>
    <w:pPr>
      <w:spacing w:before="90"/>
      <w:ind w:left="160"/>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spacing w:before="100"/>
      <w:outlineLvl w:val="4"/>
    </w:pPr>
    <w:rPr>
      <w:rFonts w:ascii="Arial Black" w:hAnsi="Arial Black" w:eastAsia="Arial Black" w:cs="Arial Black"/>
      <w:sz w:val="24"/>
      <w:szCs w:val="24"/>
      <w:lang w:val="en-US" w:eastAsia="en-US" w:bidi="ar-SA"/>
    </w:rPr>
  </w:style>
  <w:style w:styleId="Heading5" w:type="paragraph">
    <w:name w:val="Heading 5"/>
    <w:basedOn w:val="Normal"/>
    <w:uiPriority w:val="1"/>
    <w:qFormat/>
    <w:pPr>
      <w:ind w:left="160"/>
      <w:outlineLvl w:val="5"/>
    </w:pPr>
    <w:rPr>
      <w:rFonts w:ascii="Arial" w:hAnsi="Arial" w:eastAsia="Arial" w:cs="Arial"/>
      <w:i/>
      <w:iCs/>
      <w:sz w:val="24"/>
      <w:szCs w:val="24"/>
      <w:lang w:val="en-US" w:eastAsia="en-US" w:bidi="ar-SA"/>
    </w:rPr>
  </w:style>
  <w:style w:styleId="Heading6" w:type="paragraph">
    <w:name w:val="Heading 6"/>
    <w:basedOn w:val="Normal"/>
    <w:uiPriority w:val="1"/>
    <w:qFormat/>
    <w:pPr>
      <w:ind w:left="160"/>
      <w:outlineLvl w:val="6"/>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87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hyperlink" Target="http://store.samhsa.gov/" TargetMode="External"/><Relationship Id="rId9" Type="http://schemas.openxmlformats.org/officeDocument/2006/relationships/header" Target="header2.xml"/><Relationship Id="rId10" Type="http://schemas.openxmlformats.org/officeDocument/2006/relationships/footer" Target="footer1.xml"/><Relationship Id="rId11" Type="http://schemas.openxmlformats.org/officeDocument/2006/relationships/image" Target="media/image3.jpeg"/><Relationship Id="rId12" Type="http://schemas.openxmlformats.org/officeDocument/2006/relationships/hyperlink" Target="https://www.drugabuse.gov/publications/research-reports/common-comorbidities-substance-use-disorders/part-3-connection-between-substance-use-disorders-hiv" TargetMode="External"/><Relationship Id="rId13" Type="http://schemas.openxmlformats.org/officeDocument/2006/relationships/header" Target="header3.xml"/><Relationship Id="rId14" Type="http://schemas.openxmlformats.org/officeDocument/2006/relationships/footer" Target="footer2.xml"/><Relationship Id="rId15" Type="http://schemas.openxmlformats.org/officeDocument/2006/relationships/header" Target="header4.xml"/><Relationship Id="rId16" Type="http://schemas.openxmlformats.org/officeDocument/2006/relationships/footer" Target="footer3.xml"/><Relationship Id="rId17" Type="http://schemas.openxmlformats.org/officeDocument/2006/relationships/hyperlink" Target="https://www.samhsa.gov/" TargetMode="External"/><Relationship Id="rId18" Type="http://schemas.openxmlformats.org/officeDocument/2006/relationships/header" Target="header5.xml"/><Relationship Id="rId19" Type="http://schemas.openxmlformats.org/officeDocument/2006/relationships/footer" Target="footer4.xml"/><Relationship Id="rId20" Type="http://schemas.openxmlformats.org/officeDocument/2006/relationships/hyperlink" Target="https://store.samhsa.gov/product/TIP-63-Medications-for-Opioid-Use-Disorder-Full-Document/PEP20-02-01-006" TargetMode="External"/><Relationship Id="rId21" Type="http://schemas.openxmlformats.org/officeDocument/2006/relationships/header" Target="header6.xml"/><Relationship Id="rId22" Type="http://schemas.openxmlformats.org/officeDocument/2006/relationships/footer" Target="footer5.xml"/><Relationship Id="rId23" Type="http://schemas.openxmlformats.org/officeDocument/2006/relationships/image" Target="media/image4.jpeg"/><Relationship Id="rId24" Type="http://schemas.openxmlformats.org/officeDocument/2006/relationships/header" Target="header7.xml"/><Relationship Id="rId25" Type="http://schemas.openxmlformats.org/officeDocument/2006/relationships/footer" Target="footer6.xml"/><Relationship Id="rId26" Type="http://schemas.openxmlformats.org/officeDocument/2006/relationships/image" Target="media/image5.png"/><Relationship Id="rId27" Type="http://schemas.openxmlformats.org/officeDocument/2006/relationships/header" Target="header8.xml"/><Relationship Id="rId28" Type="http://schemas.openxmlformats.org/officeDocument/2006/relationships/footer" Target="footer7.xml"/><Relationship Id="rId29" Type="http://schemas.openxmlformats.org/officeDocument/2006/relationships/image" Target="media/image6.jpeg"/><Relationship Id="rId30" Type="http://schemas.openxmlformats.org/officeDocument/2006/relationships/image" Target="media/image7.jpeg"/><Relationship Id="rId31" Type="http://schemas.openxmlformats.org/officeDocument/2006/relationships/image" Target="media/image8.jpeg"/><Relationship Id="rId32" Type="http://schemas.openxmlformats.org/officeDocument/2006/relationships/image" Target="media/image9.jpeg"/><Relationship Id="rId33" Type="http://schemas.openxmlformats.org/officeDocument/2006/relationships/image" Target="media/image10.png"/><Relationship Id="rId34" Type="http://schemas.openxmlformats.org/officeDocument/2006/relationships/image" Target="media/image11.png"/><Relationship Id="rId35" Type="http://schemas.openxmlformats.org/officeDocument/2006/relationships/image" Target="media/image12.png"/><Relationship Id="rId36" Type="http://schemas.openxmlformats.org/officeDocument/2006/relationships/image" Target="media/image13.jpeg"/><Relationship Id="rId37" Type="http://schemas.openxmlformats.org/officeDocument/2006/relationships/hyperlink" Target="http://HIV.gov/" TargetMode="External"/><Relationship Id="rId38" Type="http://schemas.openxmlformats.org/officeDocument/2006/relationships/hyperlink" Target="https://www.hiv.gov/hiv-basics/overview/history/hiv-and-aids-timeline" TargetMode="External"/><Relationship Id="rId39" Type="http://schemas.openxmlformats.org/officeDocument/2006/relationships/hyperlink" Target="https://www.cdc.gov/hiv/basics/prep.html" TargetMode="External"/><Relationship Id="rId40" Type="http://schemas.openxmlformats.org/officeDocument/2006/relationships/hyperlink" Target="https://www.cdc.gov/hiv/basics/pep.html" TargetMode="External"/><Relationship Id="rId41" Type="http://schemas.openxmlformats.org/officeDocument/2006/relationships/hyperlink" Target="https://doi.org/10.1001/jama.2019.1343" TargetMode="External"/><Relationship Id="rId42" Type="http://schemas.openxmlformats.org/officeDocument/2006/relationships/hyperlink" Target="https://www.hiv.gov/hiv-basics/overview/data-and-trends/statistics" TargetMode="External"/><Relationship Id="rId43" Type="http://schemas.openxmlformats.org/officeDocument/2006/relationships/hyperlink" Target="https://www.hiv.gov/federal-response/ending-the-hiv-epidemic/overview" TargetMode="External"/><Relationship Id="rId44" Type="http://schemas.openxmlformats.org/officeDocument/2006/relationships/hyperlink" Target="https://www.apa.org/pi/aids/resources/exchange/2019/01/continuum" TargetMode="External"/><Relationship Id="rId45" Type="http://schemas.openxmlformats.org/officeDocument/2006/relationships/hyperlink" Target="https://doi.org/10.1016/s2352-3018(18)30132-2" TargetMode="External"/><Relationship Id="rId46" Type="http://schemas.openxmlformats.org/officeDocument/2006/relationships/hyperlink" Target="https://www.cdc.gov/endhiv/diagnose.html" TargetMode="External"/><Relationship Id="rId47" Type="http://schemas.openxmlformats.org/officeDocument/2006/relationships/hyperlink" Target="https://www.mayoclinic.org/tests-procedures/hiv-testing/about/pac-20385018#%3A%7E%3Atext%3DWhy%20it%E2%80%99s%20done%2Cspreading%20virus%20to%20others%20" TargetMode="External"/><Relationship Id="rId48" Type="http://schemas.openxmlformats.org/officeDocument/2006/relationships/hyperlink" Target="https://www.cdc.gov/hiv/guidelines/testing.html" TargetMode="External"/><Relationship Id="rId49" Type="http://schemas.openxmlformats.org/officeDocument/2006/relationships/hyperlink" Target="https://jamanetwork.com/journals/jamainternalmedicine/fullarticle/2130723" TargetMode="External"/><Relationship Id="rId50" Type="http://schemas.openxmlformats.org/officeDocument/2006/relationships/hyperlink" Target="https://www.acpjournals.org/doi/10.7326/0003-4819-159-1-201307020-00645" TargetMode="External"/><Relationship Id="rId51" Type="http://schemas.openxmlformats.org/officeDocument/2006/relationships/hyperlink" Target="http://CMS.gov/" TargetMode="External"/><Relationship Id="rId52" Type="http://schemas.openxmlformats.org/officeDocument/2006/relationships/hyperlink" Target="https://www.cms.gov/CCIIO/Resources/Fact-Sheets-and-FAQs/preventive-care-background.html" TargetMode="External"/><Relationship Id="rId53" Type="http://schemas.openxmlformats.org/officeDocument/2006/relationships/hyperlink" Target="https://doi.org/10.1001/jama.2019.6587" TargetMode="External"/><Relationship Id="rId54" Type="http://schemas.openxmlformats.org/officeDocument/2006/relationships/hyperlink" Target="https://www.cdc.gov/stophivtogether/hiv-testing/index.html" TargetMode="External"/><Relationship Id="rId55" Type="http://schemas.openxmlformats.org/officeDocument/2006/relationships/hyperlink" Target="https://gettested.cdc.gov/" TargetMode="External"/><Relationship Id="rId56" Type="http://schemas.openxmlformats.org/officeDocument/2006/relationships/hyperlink" Target="https://stacks.cdc.gov/view/cdc/50872" TargetMode="External"/><Relationship Id="rId57" Type="http://schemas.openxmlformats.org/officeDocument/2006/relationships/hyperlink" Target="https://www.samhsa.gov/sites/default/files/oral-fluids-dear-colleague-letter.pdf" TargetMode="External"/><Relationship Id="rId58" Type="http://schemas.openxmlformats.org/officeDocument/2006/relationships/hyperlink" Target="https://www.cdc.gov/hiv/basics/hiv-testing/test-types.html" TargetMode="External"/><Relationship Id="rId59" Type="http://schemas.openxmlformats.org/officeDocument/2006/relationships/hyperlink" Target="https://www.cdc.gov/hepatitis/populations/hiv.htm" TargetMode="External"/><Relationship Id="rId60" Type="http://schemas.openxmlformats.org/officeDocument/2006/relationships/hyperlink" Target="https://doi.org/10.2105/AJPH.2013.301633" TargetMode="External"/><Relationship Id="rId61" Type="http://schemas.openxmlformats.org/officeDocument/2006/relationships/hyperlink" Target="https://doi.org/10.1089/apc.2014.0196" TargetMode="External"/><Relationship Id="rId62" Type="http://schemas.openxmlformats.org/officeDocument/2006/relationships/hyperlink" Target="https://doi.org/10.1007/s10461-014-0890-0" TargetMode="External"/><Relationship Id="rId63" Type="http://schemas.openxmlformats.org/officeDocument/2006/relationships/hyperlink" Target="https://doi.org/10.1007/s10461-015-1080-4" TargetMode="External"/><Relationship Id="rId64" Type="http://schemas.openxmlformats.org/officeDocument/2006/relationships/hyperlink" Target="https://www.hiv.gov/federal-response/ending-the-hiv-epidemic/key-strategies" TargetMode="External"/><Relationship Id="rId65" Type="http://schemas.openxmlformats.org/officeDocument/2006/relationships/hyperlink" Target="https://doi.org/10.15585/mmwr.mm6547e1" TargetMode="External"/><Relationship Id="rId66" Type="http://schemas.openxmlformats.org/officeDocument/2006/relationships/hyperlink" Target="https://www.cdc.gov/hiv/group/hiv-idu.html" TargetMode="External"/><Relationship Id="rId67" Type="http://schemas.openxmlformats.org/officeDocument/2006/relationships/hyperlink" Target="https://www.cdc.gov/hiv/basics/statistics.html" TargetMode="External"/><Relationship Id="rId68" Type="http://schemas.openxmlformats.org/officeDocument/2006/relationships/hyperlink" Target="https://www.ncbi.nlm.nih.gov/pubmed/23584058" TargetMode="External"/><Relationship Id="rId69" Type="http://schemas.openxmlformats.org/officeDocument/2006/relationships/hyperlink" Target="https://doi.org/10.1007/s10461-007-9354-0" TargetMode="External"/><Relationship Id="rId70" Type="http://schemas.openxmlformats.org/officeDocument/2006/relationships/hyperlink" Target="https://doi.org/10.15288/jsad.2015.76.733" TargetMode="External"/><Relationship Id="rId71" Type="http://schemas.openxmlformats.org/officeDocument/2006/relationships/hyperlink" Target="https://doi.org/10.1097/qai.0000000000000888" TargetMode="External"/><Relationship Id="rId72" Type="http://schemas.openxmlformats.org/officeDocument/2006/relationships/hyperlink" Target="https://doi.org/10.1001/archpediatrics.2011.118" TargetMode="External"/><Relationship Id="rId73" Type="http://schemas.openxmlformats.org/officeDocument/2006/relationships/hyperlink" Target="https://doi.org/10.1007/s10461-012-0276-0" TargetMode="External"/><Relationship Id="rId74" Type="http://schemas.openxmlformats.org/officeDocument/2006/relationships/hyperlink" Target="https://doi.org/10.1007/s11524-013-9820-0" TargetMode="External"/><Relationship Id="rId75" Type="http://schemas.openxmlformats.org/officeDocument/2006/relationships/hyperlink" Target="https://doi.org/10.1097/QAI.0b013e3182987028" TargetMode="External"/><Relationship Id="rId76" Type="http://schemas.openxmlformats.org/officeDocument/2006/relationships/hyperlink" Target="https://www.cdc.gov/hiv/risk/idu.html" TargetMode="External"/><Relationship Id="rId77" Type="http://schemas.openxmlformats.org/officeDocument/2006/relationships/hyperlink" Target="https://doi.org/10.1007/s11904-015-0285-5" TargetMode="External"/><Relationship Id="rId78" Type="http://schemas.openxmlformats.org/officeDocument/2006/relationships/hyperlink" Target="https://doi.org/10.1186/s13722-019-0150-8" TargetMode="External"/><Relationship Id="rId79" Type="http://schemas.openxmlformats.org/officeDocument/2006/relationships/hyperlink" Target="https://doi.org/10.1001/jama.2019.10657" TargetMode="External"/><Relationship Id="rId80" Type="http://schemas.openxmlformats.org/officeDocument/2006/relationships/hyperlink" Target="https://doi.org/10.1080/02791072.2016.1187319" TargetMode="External"/><Relationship Id="rId81" Type="http://schemas.openxmlformats.org/officeDocument/2006/relationships/hyperlink" Target="https://doi.org/10.1097/QAI.0000000000001889" TargetMode="External"/><Relationship Id="rId82" Type="http://schemas.openxmlformats.org/officeDocument/2006/relationships/hyperlink" Target="https://www.jwatch.org/ac200712030000001/2007/12/03/crystal-meth-and-hiv-aids-perfect-storm" TargetMode="External"/><Relationship Id="rId83" Type="http://schemas.openxmlformats.org/officeDocument/2006/relationships/hyperlink" Target="https://hab.hrsa.gov/sites/default/files/hab/Publications/careactionnewsletter/june2009.pdf" TargetMode="External"/><Relationship Id="rId84" Type="http://schemas.openxmlformats.org/officeDocument/2006/relationships/hyperlink" Target="https://www.dea.gov/sites/default/files/2018-07/DIR-020-17%20Drug%20Slang%20Code%20Words.pdf" TargetMode="External"/><Relationship Id="rId85" Type="http://schemas.openxmlformats.org/officeDocument/2006/relationships/hyperlink" Target="https://doi.org/10.1080/10826080802484702" TargetMode="External"/><Relationship Id="rId86" Type="http://schemas.openxmlformats.org/officeDocument/2006/relationships/hyperlink" Target="https://doi.org/10.1007/s10461-016-1415-9" TargetMode="External"/><Relationship Id="rId87" Type="http://schemas.openxmlformats.org/officeDocument/2006/relationships/hyperlink" Target="https://doi.org/10.1017/S0033291708003930" TargetMode="External"/><Relationship Id="rId88" Type="http://schemas.openxmlformats.org/officeDocument/2006/relationships/hyperlink" Target="https://doi.org/10.1186/s12879-015-0990-0" TargetMode="External"/><Relationship Id="rId89" Type="http://schemas.openxmlformats.org/officeDocument/2006/relationships/hyperlink" Target="https://doi.org/10.1001/archpsyc.58.8.721" TargetMode="External"/><Relationship Id="rId90" Type="http://schemas.openxmlformats.org/officeDocument/2006/relationships/hyperlink" Target="https://doi.org/10.1007/s10461-011-0127-4" TargetMode="External"/><Relationship Id="rId91" Type="http://schemas.openxmlformats.org/officeDocument/2006/relationships/hyperlink" Target="https://doi.org/10.1007/s10461-012-0386-8" TargetMode="External"/><Relationship Id="rId92" Type="http://schemas.openxmlformats.org/officeDocument/2006/relationships/hyperlink" Target="https://doi.org/10.1097/psy.0b013e31816aa0cc" TargetMode="External"/><Relationship Id="rId93" Type="http://schemas.openxmlformats.org/officeDocument/2006/relationships/hyperlink" Target="https://doi.org/10.1371/journal.pone.0092842" TargetMode="External"/><Relationship Id="rId94" Type="http://schemas.openxmlformats.org/officeDocument/2006/relationships/hyperlink" Target="https://doi.org/10.2165/00003495-200666060-00004" TargetMode="External"/><Relationship Id="rId95" Type="http://schemas.openxmlformats.org/officeDocument/2006/relationships/hyperlink" Target="https://doi.org/10.1007/s10461-012-0342-7" TargetMode="External"/><Relationship Id="rId96" Type="http://schemas.openxmlformats.org/officeDocument/2006/relationships/hyperlink" Target="https://store.samhsa.gov/product/The-Case-for-Behavioral-Health-Screening-in-HIV-Care-Settings/SMA16-4999" TargetMode="External"/><Relationship Id="rId97" Type="http://schemas.openxmlformats.org/officeDocument/2006/relationships/hyperlink" Target="https://doi.org/10.1037/a0012715" TargetMode="External"/><Relationship Id="rId98" Type="http://schemas.openxmlformats.org/officeDocument/2006/relationships/hyperlink" Target="https://doi.org/10.1097/psy.0b013e3181777a5f" TargetMode="External"/><Relationship Id="rId99" Type="http://schemas.openxmlformats.org/officeDocument/2006/relationships/hyperlink" Target="https://doi.org/10.1007/s11904-016-0337-5" TargetMode="External"/><Relationship Id="rId100" Type="http://schemas.openxmlformats.org/officeDocument/2006/relationships/hyperlink" Target="https://doi.org/10.1353/hpu.2016.0093" TargetMode="External"/><Relationship Id="rId101" Type="http://schemas.openxmlformats.org/officeDocument/2006/relationships/hyperlink" Target="https://doi.org/10.1016/0277-9536(94)90205-4" TargetMode="External"/><Relationship Id="rId102" Type="http://schemas.openxmlformats.org/officeDocument/2006/relationships/hyperlink" Target="https://doi.org/10.2105/ajph.2015.302905" TargetMode="External"/><Relationship Id="rId103" Type="http://schemas.openxmlformats.org/officeDocument/2006/relationships/hyperlink" Target="https://doi.org/10.1177/2325957416667488" TargetMode="External"/><Relationship Id="rId104" Type="http://schemas.openxmlformats.org/officeDocument/2006/relationships/hyperlink" Target="https://doi.org/10.1016/s0140-6736(08)60887-9" TargetMode="External"/><Relationship Id="rId105" Type="http://schemas.openxmlformats.org/officeDocument/2006/relationships/hyperlink" Target="https://doi.org/10.1097/QCO.0000000000000125" TargetMode="External"/><Relationship Id="rId106" Type="http://schemas.openxmlformats.org/officeDocument/2006/relationships/hyperlink" Target="https://www.cdc.gov/hiv/group/poverty.html" TargetMode="External"/><Relationship Id="rId107" Type="http://schemas.openxmlformats.org/officeDocument/2006/relationships/hyperlink" Target="https://doi.org/10.1371/journal.pone.0091711" TargetMode="External"/><Relationship Id="rId108" Type="http://schemas.openxmlformats.org/officeDocument/2006/relationships/hyperlink" Target="https://doi.org/10.17226/25626" TargetMode="External"/><Relationship Id="rId109" Type="http://schemas.openxmlformats.org/officeDocument/2006/relationships/hyperlink" Target="https://doi.org/10.1007/s10461-016-1451-5" TargetMode="External"/><Relationship Id="rId110" Type="http://schemas.openxmlformats.org/officeDocument/2006/relationships/hyperlink" Target="https://doi.org/10.1007/s10461-006-9099-1" TargetMode="External"/><Relationship Id="rId111" Type="http://schemas.openxmlformats.org/officeDocument/2006/relationships/hyperlink" Target="https://doi.org/10.1097/QAI.0b013e31802f1318" TargetMode="External"/><Relationship Id="rId112" Type="http://schemas.openxmlformats.org/officeDocument/2006/relationships/hyperlink" Target="http://dx.doi.org/10.7448/IAS.19.1.20751" TargetMode="External"/><Relationship Id="rId113" Type="http://schemas.openxmlformats.org/officeDocument/2006/relationships/hyperlink" Target="https://doi.org/10.1097/QAI.0b013e31822d490a" TargetMode="External"/><Relationship Id="rId114" Type="http://schemas.openxmlformats.org/officeDocument/2006/relationships/hyperlink" Target="https://doi.org/10.1136/jech-2014-204494" TargetMode="External"/><Relationship Id="rId115" Type="http://schemas.openxmlformats.org/officeDocument/2006/relationships/hyperlink" Target="https://doi.org/10.1007/s11904-014-0220-1" TargetMode="External"/><Relationship Id="rId116" Type="http://schemas.openxmlformats.org/officeDocument/2006/relationships/hyperlink" Target="https://doi.org/10.1007/s10461-016-1584-6" TargetMode="External"/><Relationship Id="rId117" Type="http://schemas.openxmlformats.org/officeDocument/2006/relationships/hyperlink" Target="https://doi.org/10.1111/add.13753" TargetMode="External"/><Relationship Id="rId118" Type="http://schemas.openxmlformats.org/officeDocument/2006/relationships/hyperlink" Target="https://doi.org/10.1176/appi.ps.201400411" TargetMode="External"/><Relationship Id="rId119" Type="http://schemas.openxmlformats.org/officeDocument/2006/relationships/hyperlink" Target="https://www.thenationalcouncil.org/integration-primary-care-behavioral-health/integrated-care/" TargetMode="External"/><Relationship Id="rId120" Type="http://schemas.openxmlformats.org/officeDocument/2006/relationships/hyperlink" Target="https://doi.org/10.1097/qai.0000000000000615" TargetMode="External"/><Relationship Id="rId121" Type="http://schemas.openxmlformats.org/officeDocument/2006/relationships/hyperlink" Target="https://hab.hrsa.gov/sites/default/files/hab/Publications/careactionnewsletter/BehavioralHealth.pdf" TargetMode="External"/><Relationship Id="rId122" Type="http://schemas.openxmlformats.org/officeDocument/2006/relationships/hyperlink" Target="https://doi.org/10.1080/09540121.2013.855299" TargetMode="External"/><Relationship Id="rId123" Type="http://schemas.openxmlformats.org/officeDocument/2006/relationships/hyperlink" Target="https://doi.org/10.1093/infdis/jix518" TargetMode="External"/><Relationship Id="rId124" Type="http://schemas.openxmlformats.org/officeDocument/2006/relationships/hyperlink" Target="https://doi.org/10.1016/s0140-6736(10)60829-x" TargetMode="External"/><Relationship Id="rId125" Type="http://schemas.openxmlformats.org/officeDocument/2006/relationships/hyperlink" Target="https://www.medscape.com/answers/1167008-171239/how-is-hiv-ssociated-neurocognitive-isorder-hand-diagnosed-and-treated" TargetMode="External"/><Relationship Id="rId126" Type="http://schemas.openxmlformats.org/officeDocument/2006/relationships/hyperlink" Target="https://doi.org/10.1080/09540120903280901" TargetMode="External"/><Relationship Id="rId127" Type="http://schemas.openxmlformats.org/officeDocument/2006/relationships/hyperlink" Target="https://www.mayoclinic.org/diseases-conditions/hepatitis-c/symptoms-causes/syc-20354278" TargetMode="External"/><Relationship Id="rId128" Type="http://schemas.openxmlformats.org/officeDocument/2006/relationships/hyperlink" Target="https://aidsetc.org/resource/guidelinesprevention-and-treatment-opportunistic-infections-hiv-infected-adults-and" TargetMode="External"/><Relationship Id="rId129" Type="http://schemas.openxmlformats.org/officeDocument/2006/relationships/hyperlink" Target="https://aidsinfo.nih.gov/understanding-hiv-aids/fact-sheets/26/88/hiv-and-hepatitis-c" TargetMode="External"/><Relationship Id="rId130" Type="http://schemas.openxmlformats.org/officeDocument/2006/relationships/hyperlink" Target="https://www.hcvguidelines.org/" TargetMode="External"/><Relationship Id="rId131" Type="http://schemas.openxmlformats.org/officeDocument/2006/relationships/hyperlink" Target="https://www.aidsmap.com/about-hiv/liver-disease-hepatitis-and-hiv" TargetMode="External"/><Relationship Id="rId132" Type="http://schemas.openxmlformats.org/officeDocument/2006/relationships/hyperlink" Target="https://www.cdc.gov/hiv/group/index.html" TargetMode="External"/><Relationship Id="rId133" Type="http://schemas.openxmlformats.org/officeDocument/2006/relationships/hyperlink" Target="https://doi.org/10.1371/journal.pone.0198258" TargetMode="External"/><Relationship Id="rId134" Type="http://schemas.openxmlformats.org/officeDocument/2006/relationships/hyperlink" Target="https://targethiv.org/sites/default/files/file-upload/resources/HIV%20and%20Incarceration%20Brief.pdf" TargetMode="External"/><Relationship Id="rId135" Type="http://schemas.openxmlformats.org/officeDocument/2006/relationships/hyperlink" Target="https://www.avert.org/professionals/hiv-social-issues/key-affected-populations/prisoners#footnote1_pbx20my" TargetMode="External"/><Relationship Id="rId136" Type="http://schemas.openxmlformats.org/officeDocument/2006/relationships/hyperlink" Target="https://www.prisonpolicy.org/blog/2017/05/08/hiv/" TargetMode="External"/><Relationship Id="rId137" Type="http://schemas.openxmlformats.org/officeDocument/2006/relationships/hyperlink" Target="https://doi.org/10.18043/ncm.77.5.359" TargetMode="External"/><Relationship Id="rId138" Type="http://schemas.openxmlformats.org/officeDocument/2006/relationships/hyperlink" Target="https://targethiv.org/deii/deii-transitional-care" TargetMode="External"/><Relationship Id="rId139" Type="http://schemas.openxmlformats.org/officeDocument/2006/relationships/hyperlink" Target="https://doi.org/10.1371/journal.pone.0169078" TargetMode="External"/><Relationship Id="rId140" Type="http://schemas.openxmlformats.org/officeDocument/2006/relationships/header" Target="header9.xml"/><Relationship Id="rId141" Type="http://schemas.openxmlformats.org/officeDocument/2006/relationships/footer" Target="footer8.xml"/><Relationship Id="rId142" Type="http://schemas.openxmlformats.org/officeDocument/2006/relationships/image" Target="media/image14.jpeg"/><Relationship Id="rId143" Type="http://schemas.openxmlformats.org/officeDocument/2006/relationships/header" Target="header10.xml"/><Relationship Id="rId144" Type="http://schemas.openxmlformats.org/officeDocument/2006/relationships/footer" Target="footer9.xml"/><Relationship Id="rId145" Type="http://schemas.openxmlformats.org/officeDocument/2006/relationships/image" Target="media/image15.jpeg"/><Relationship Id="rId146" Type="http://schemas.openxmlformats.org/officeDocument/2006/relationships/image" Target="media/image16.jpeg"/><Relationship Id="rId147" Type="http://schemas.openxmlformats.org/officeDocument/2006/relationships/image" Target="media/image17.jpeg"/><Relationship Id="rId148" Type="http://schemas.openxmlformats.org/officeDocument/2006/relationships/image" Target="media/image18.png"/><Relationship Id="rId149" Type="http://schemas.openxmlformats.org/officeDocument/2006/relationships/image" Target="media/image19.jpeg"/><Relationship Id="rId150" Type="http://schemas.openxmlformats.org/officeDocument/2006/relationships/image" Target="media/image20.png"/><Relationship Id="rId151" Type="http://schemas.openxmlformats.org/officeDocument/2006/relationships/image" Target="media/image21.png"/><Relationship Id="rId152" Type="http://schemas.openxmlformats.org/officeDocument/2006/relationships/image" Target="media/image22.png"/><Relationship Id="rId153" Type="http://schemas.openxmlformats.org/officeDocument/2006/relationships/hyperlink" Target="https://www.nytimes.com/1996/10/18/us/questions-on-ethics-lead-to-review-of-needle-exchange-study.html" TargetMode="External"/><Relationship Id="rId154" Type="http://schemas.openxmlformats.org/officeDocument/2006/relationships/hyperlink" Target="https://www.the-scientist.com/news/politics-polarizing-issues-in-needle-exchange-study-57635" TargetMode="External"/><Relationship Id="rId155" Type="http://schemas.openxmlformats.org/officeDocument/2006/relationships/hyperlink" Target="https://doi.org/10.1097/00126334-200306010-00014" TargetMode="External"/><Relationship Id="rId156" Type="http://schemas.openxmlformats.org/officeDocument/2006/relationships/hyperlink" Target="https://doi.org/10.1007/s10461-013-0593-y" TargetMode="External"/><Relationship Id="rId157" Type="http://schemas.openxmlformats.org/officeDocument/2006/relationships/hyperlink" Target="https://www.cdc.gov/hiv/clinicians/prevention/prep.html" TargetMode="External"/><Relationship Id="rId158" Type="http://schemas.openxmlformats.org/officeDocument/2006/relationships/hyperlink" Target="https://doi.org/10.1126/science.abc8634" TargetMode="External"/><Relationship Id="rId159" Type="http://schemas.openxmlformats.org/officeDocument/2006/relationships/hyperlink" Target="https://doi.org/10.1001/jama.2019.6390" TargetMode="External"/><Relationship Id="rId160" Type="http://schemas.openxmlformats.org/officeDocument/2006/relationships/hyperlink" Target="https://doi.org/10.1186/s12879-018-3463-4" TargetMode="External"/><Relationship Id="rId161" Type="http://schemas.openxmlformats.org/officeDocument/2006/relationships/hyperlink" Target="https://www.mdedge.com/infectiousdisease/article/198180/hiv/prep-adherence-lowest-among-medicaid-patients-others" TargetMode="External"/><Relationship Id="rId162" Type="http://schemas.openxmlformats.org/officeDocument/2006/relationships/hyperlink" Target="https://doi.org/10.1093/cid/ciaa037" TargetMode="External"/><Relationship Id="rId163" Type="http://schemas.openxmlformats.org/officeDocument/2006/relationships/hyperlink" Target="https://doi.org/10.2105/AJPH.2019.305389" TargetMode="External"/><Relationship Id="rId164" Type="http://schemas.openxmlformats.org/officeDocument/2006/relationships/hyperlink" Target="https://doi.org/10.1093/ofid/ofz365" TargetMode="External"/><Relationship Id="rId165" Type="http://schemas.openxmlformats.org/officeDocument/2006/relationships/hyperlink" Target="https://doi.org/10.1089/apc.2019.0235" TargetMode="External"/><Relationship Id="rId166" Type="http://schemas.openxmlformats.org/officeDocument/2006/relationships/hyperlink" Target="https://doi.org/10.1093/ofid/ofz360.1143" TargetMode="External"/><Relationship Id="rId167" Type="http://schemas.openxmlformats.org/officeDocument/2006/relationships/hyperlink" Target="https://doi.org/10.1093/cid/ciy810" TargetMode="External"/><Relationship Id="rId168" Type="http://schemas.openxmlformats.org/officeDocument/2006/relationships/hyperlink" Target="https://doi.org/10.1007/s10461-018-2099-0" TargetMode="External"/><Relationship Id="rId169" Type="http://schemas.openxmlformats.org/officeDocument/2006/relationships/hyperlink" Target="http://www.literacynet.org/hls/hls_conf_materials/WhatIsASafetyNetHospital.pdf" TargetMode="External"/><Relationship Id="rId170" Type="http://schemas.openxmlformats.org/officeDocument/2006/relationships/hyperlink" Target="https://www.kff.org/hivaids/issue-brief/hiv-and-the-opioid-epidemic-5-key-points/" TargetMode="External"/><Relationship Id="rId171" Type="http://schemas.openxmlformats.org/officeDocument/2006/relationships/hyperlink" Target="https://www.cdc.gov/ssp/syringe-services-programs-summary.html" TargetMode="External"/><Relationship Id="rId172" Type="http://schemas.openxmlformats.org/officeDocument/2006/relationships/hyperlink" Target="https://www.hiv.gov/federal-response/policies-issues/syringe-services-programs" TargetMode="External"/><Relationship Id="rId173" Type="http://schemas.openxmlformats.org/officeDocument/2006/relationships/hyperlink" Target="https://www.cdc.gov/ssp/syringe-services-programs-factsheet.html" TargetMode="External"/><Relationship Id="rId174" Type="http://schemas.openxmlformats.org/officeDocument/2006/relationships/hyperlink" Target="https://doi.org/10.1080/19371918.2015.1137522" TargetMode="External"/><Relationship Id="rId175" Type="http://schemas.openxmlformats.org/officeDocument/2006/relationships/hyperlink" Target="https://doi.org/10.1093/jurban/79.2.257" TargetMode="External"/><Relationship Id="rId176" Type="http://schemas.openxmlformats.org/officeDocument/2006/relationships/hyperlink" Target="https://doi.org/10.1080/08897077.2019.1635557" TargetMode="External"/><Relationship Id="rId177" Type="http://schemas.openxmlformats.org/officeDocument/2006/relationships/hyperlink" Target="https://doi.org/10.2105/AJPH.2009.178467" TargetMode="External"/><Relationship Id="rId178" Type="http://schemas.openxmlformats.org/officeDocument/2006/relationships/hyperlink" Target="https://doi.org/10.1007/s10461-019-02600-x" TargetMode="External"/><Relationship Id="rId179" Type="http://schemas.openxmlformats.org/officeDocument/2006/relationships/hyperlink" Target="https://doi.org/10.2105/AJPH.2008.158337" TargetMode="External"/><Relationship Id="rId180" Type="http://schemas.openxmlformats.org/officeDocument/2006/relationships/hyperlink" Target="https://doi.org/10.1080/10826084.2017.1299182" TargetMode="External"/><Relationship Id="rId181" Type="http://schemas.openxmlformats.org/officeDocument/2006/relationships/hyperlink" Target="https://doi.org/10.1331/japha.2010.09193" TargetMode="External"/><Relationship Id="rId182" Type="http://schemas.openxmlformats.org/officeDocument/2006/relationships/hyperlink" Target="https://doi.org/10.1111/j.1360-0443.2006.01577.x" TargetMode="External"/><Relationship Id="rId183" Type="http://schemas.openxmlformats.org/officeDocument/2006/relationships/hyperlink" Target="https://nasen.org/map/" TargetMode="External"/><Relationship Id="rId184" Type="http://schemas.openxmlformats.org/officeDocument/2006/relationships/hyperlink" Target="http://harmreduction.org/hrc/wp-content/uploads/2012/01/promotingsecondaryexchange.pdf" TargetMode="External"/><Relationship Id="rId185" Type="http://schemas.openxmlformats.org/officeDocument/2006/relationships/hyperlink" Target="https://doi.org/10.1007/s11524-012-9673-y" TargetMode="External"/><Relationship Id="rId186" Type="http://schemas.openxmlformats.org/officeDocument/2006/relationships/hyperlink" Target="https://doi.org/10.1016/j.drugpo.2016.12.011" TargetMode="External"/><Relationship Id="rId187" Type="http://schemas.openxmlformats.org/officeDocument/2006/relationships/hyperlink" Target="https://apps.who.int/iris/bitstream/handle/10665/43816/9789241596275_eng.pdf?sequence=1" TargetMode="External"/><Relationship Id="rId188" Type="http://schemas.openxmlformats.org/officeDocument/2006/relationships/hyperlink" Target="https://harmreduction.org/hrc/wp-content/uploads/2012/01/NYSDOHAI-pp.pdf" TargetMode="External"/><Relationship Id="rId189" Type="http://schemas.openxmlformats.org/officeDocument/2006/relationships/hyperlink" Target="https://doi.org/10.1016/j.addbeh.2007.11.009" TargetMode="External"/><Relationship Id="rId190" Type="http://schemas.openxmlformats.org/officeDocument/2006/relationships/hyperlink" Target="https://doi.org/10.1016/j.drugalcdep.2004.10.004" TargetMode="External"/><Relationship Id="rId191" Type="http://schemas.openxmlformats.org/officeDocument/2006/relationships/hyperlink" Target="https://doi.org/10.1037/a0016778" TargetMode="External"/><Relationship Id="rId192" Type="http://schemas.openxmlformats.org/officeDocument/2006/relationships/hyperlink" Target="https://oig.hhs.gov/fraud/docs/alertsandbulletins/SABGiftsandInducements.pdf" TargetMode="External"/><Relationship Id="rId193" Type="http://schemas.openxmlformats.org/officeDocument/2006/relationships/hyperlink" Target="https://oig.hhs.gov/authorities/docs/cmpfinal.pdf" TargetMode="External"/><Relationship Id="rId194" Type="http://schemas.openxmlformats.org/officeDocument/2006/relationships/hyperlink" Target="https://oig.hhs.gov/fraud/docs/alertsandbulletins/OIG-Policy-Statement-Gifts-of-Nominal-Value.pdf" TargetMode="External"/><Relationship Id="rId195" Type="http://schemas.openxmlformats.org/officeDocument/2006/relationships/hyperlink" Target="https://doi.org/10.1111/j.1360-0443.2008.02216.x" TargetMode="External"/><Relationship Id="rId196" Type="http://schemas.openxmlformats.org/officeDocument/2006/relationships/hyperlink" Target="https://doi.org/10.1007/s11904-006-0010-5" TargetMode="External"/><Relationship Id="rId197" Type="http://schemas.openxmlformats.org/officeDocument/2006/relationships/hyperlink" Target="https://doi.org/10.1016/j.addbeh.2005.07.009" TargetMode="External"/><Relationship Id="rId198" Type="http://schemas.openxmlformats.org/officeDocument/2006/relationships/hyperlink" Target="https://doi.org/10.1089/apc.2006.0028" TargetMode="External"/><Relationship Id="rId199" Type="http://schemas.openxmlformats.org/officeDocument/2006/relationships/hyperlink" Target="https://doi.org/10.1001/jama.2016.8914" TargetMode="External"/><Relationship Id="rId200" Type="http://schemas.openxmlformats.org/officeDocument/2006/relationships/hyperlink" Target="https://ps.psychiatryonline.org/doi/10.1176/appi.ps.201400411" TargetMode="External"/><Relationship Id="rId201" Type="http://schemas.openxmlformats.org/officeDocument/2006/relationships/hyperlink" Target="https://doi.org/10.1177/1755738012471029" TargetMode="External"/><Relationship Id="rId202" Type="http://schemas.openxmlformats.org/officeDocument/2006/relationships/hyperlink" Target="https://doi.org/10.1007/s10461-011-0104-y" TargetMode="External"/><Relationship Id="rId203" Type="http://schemas.openxmlformats.org/officeDocument/2006/relationships/hyperlink" Target="https://doi.org/10.1007/s10461-019-02482-z" TargetMode="External"/><Relationship Id="rId204" Type="http://schemas.openxmlformats.org/officeDocument/2006/relationships/hyperlink" Target="https://doi.org/10.1080/13548506.2017.1348609" TargetMode="External"/><Relationship Id="rId205" Type="http://schemas.openxmlformats.org/officeDocument/2006/relationships/hyperlink" Target="https://doi.org/10.1080/09540121.2019.1595518" TargetMode="External"/><Relationship Id="rId206" Type="http://schemas.openxmlformats.org/officeDocument/2006/relationships/hyperlink" Target="https://doi.org/10.1016/j.cbpra.2013.07.001" TargetMode="External"/><Relationship Id="rId207" Type="http://schemas.openxmlformats.org/officeDocument/2006/relationships/hyperlink" Target="https://doi.org/10.1016/j.beth.2019.09.001" TargetMode="External"/><Relationship Id="rId208" Type="http://schemas.openxmlformats.org/officeDocument/2006/relationships/hyperlink" Target="https://doi.org/10.1037/a0028208" TargetMode="External"/><Relationship Id="rId209" Type="http://schemas.openxmlformats.org/officeDocument/2006/relationships/hyperlink" Target="https://doi.org/10.1016/j.cbpra.2014.02.001" TargetMode="External"/><Relationship Id="rId210" Type="http://schemas.openxmlformats.org/officeDocument/2006/relationships/hyperlink" Target="https://doi.org/10.1371/journal.pone.0187180" TargetMode="External"/><Relationship Id="rId211" Type="http://schemas.openxmlformats.org/officeDocument/2006/relationships/hyperlink" Target="https://www.liebertpub.com/doi/10.1089/apc.2012.0216" TargetMode="External"/><Relationship Id="rId212" Type="http://schemas.openxmlformats.org/officeDocument/2006/relationships/hyperlink" Target="https://doi.org/10.1016/S2352-3018(16)30053-4" TargetMode="External"/><Relationship Id="rId213" Type="http://schemas.openxmlformats.org/officeDocument/2006/relationships/hyperlink" Target="https://doi.org/10.1007/s10461-013-0538-5" TargetMode="External"/><Relationship Id="rId214" Type="http://schemas.openxmlformats.org/officeDocument/2006/relationships/hyperlink" Target="https://doi.org/10.1097/qai.0b013e318158a474" TargetMode="External"/><Relationship Id="rId215" Type="http://schemas.openxmlformats.org/officeDocument/2006/relationships/hyperlink" Target="https://doi.org/10.1007/s10461-016-1606-4" TargetMode="External"/><Relationship Id="rId216" Type="http://schemas.openxmlformats.org/officeDocument/2006/relationships/hyperlink" Target="https://pubmed.ncbi.nlm.nih.gov/14682400/" TargetMode="External"/><Relationship Id="rId217" Type="http://schemas.openxmlformats.org/officeDocument/2006/relationships/hyperlink" Target="https://targethiv.org/deii/deii-enhanced-patient-navigation" TargetMode="External"/><Relationship Id="rId218" Type="http://schemas.openxmlformats.org/officeDocument/2006/relationships/hyperlink" Target="http://www.hpfreemanpni.org/our-model/" TargetMode="External"/><Relationship Id="rId219" Type="http://schemas.openxmlformats.org/officeDocument/2006/relationships/hyperlink" Target="https://pubmed.ncbi.nlm.nih.gov/23476957" TargetMode="External"/><Relationship Id="rId220" Type="http://schemas.openxmlformats.org/officeDocument/2006/relationships/hyperlink" Target="https://doi.org/10.1001/jamainternmed.2018.0150" TargetMode="External"/><Relationship Id="rId221" Type="http://schemas.openxmlformats.org/officeDocument/2006/relationships/hyperlink" Target="http://chpir.org/wp-content/uploads/paths_model.pdf" TargetMode="External"/><Relationship Id="rId222" Type="http://schemas.openxmlformats.org/officeDocument/2006/relationships/hyperlink" Target="https://www.thebodypro.com/article/health-navigation-a-review-of-the-evidence" TargetMode="External"/><Relationship Id="rId223" Type="http://schemas.openxmlformats.org/officeDocument/2006/relationships/hyperlink" Target="https://doi.org/10.1007/s10461-017-1999-8" TargetMode="External"/><Relationship Id="rId224" Type="http://schemas.openxmlformats.org/officeDocument/2006/relationships/hyperlink" Target="https://www.aidsunited.org/data/files/Site_18/PeerNav_v8.pdf" TargetMode="External"/><Relationship Id="rId225" Type="http://schemas.openxmlformats.org/officeDocument/2006/relationships/header" Target="header11.xml"/><Relationship Id="rId226" Type="http://schemas.openxmlformats.org/officeDocument/2006/relationships/footer" Target="footer10.xml"/><Relationship Id="rId227" Type="http://schemas.openxmlformats.org/officeDocument/2006/relationships/image" Target="media/image23.png"/><Relationship Id="rId228" Type="http://schemas.openxmlformats.org/officeDocument/2006/relationships/header" Target="header12.xml"/><Relationship Id="rId229" Type="http://schemas.openxmlformats.org/officeDocument/2006/relationships/footer" Target="footer11.xml"/><Relationship Id="rId230" Type="http://schemas.openxmlformats.org/officeDocument/2006/relationships/hyperlink" Target="https://www.cdc.gov/eval/logicmodels/index.htm" TargetMode="External"/><Relationship Id="rId231" Type="http://schemas.openxmlformats.org/officeDocument/2006/relationships/image" Target="media/image24.jpeg"/><Relationship Id="rId232" Type="http://schemas.openxmlformats.org/officeDocument/2006/relationships/image" Target="media/image25.jpeg"/><Relationship Id="rId233" Type="http://schemas.openxmlformats.org/officeDocument/2006/relationships/image" Target="media/image26.jpeg"/><Relationship Id="rId234" Type="http://schemas.openxmlformats.org/officeDocument/2006/relationships/image" Target="media/image27.jpeg"/><Relationship Id="rId235" Type="http://schemas.openxmlformats.org/officeDocument/2006/relationships/hyperlink" Target="https://www.cdc.gov/hiv/effective-interventions/index.html" TargetMode="External"/><Relationship Id="rId236" Type="http://schemas.openxmlformats.org/officeDocument/2006/relationships/hyperlink" Target="https://targethiv.org/deii" TargetMode="External"/><Relationship Id="rId237" Type="http://schemas.openxmlformats.org/officeDocument/2006/relationships/hyperlink" Target="https://targethiv.org/e2i" TargetMode="External"/><Relationship Id="rId238" Type="http://schemas.openxmlformats.org/officeDocument/2006/relationships/hyperlink" Target="https://aidsetc.org/" TargetMode="External"/><Relationship Id="rId239" Type="http://schemas.openxmlformats.org/officeDocument/2006/relationships/hyperlink" Target="https://www.samhsa.gov/technology-transfer-centers-ttc-program" TargetMode="External"/><Relationship Id="rId240" Type="http://schemas.openxmlformats.org/officeDocument/2006/relationships/hyperlink" Target="https://www.samhsa.gov/section-223/cultural-competency/resources" TargetMode="External"/><Relationship Id="rId241" Type="http://schemas.openxmlformats.org/officeDocument/2006/relationships/image" Target="media/image28.jpeg"/><Relationship Id="rId242" Type="http://schemas.openxmlformats.org/officeDocument/2006/relationships/image" Target="media/image29.jpeg"/><Relationship Id="rId243" Type="http://schemas.openxmlformats.org/officeDocument/2006/relationships/header" Target="header13.xml"/><Relationship Id="rId244" Type="http://schemas.openxmlformats.org/officeDocument/2006/relationships/footer" Target="footer12.xml"/><Relationship Id="rId245" Type="http://schemas.openxmlformats.org/officeDocument/2006/relationships/image" Target="media/image30.jpeg"/><Relationship Id="rId246" Type="http://schemas.openxmlformats.org/officeDocument/2006/relationships/hyperlink" Target="https://aidsetc.org/resource/prescribing-prep-hiv-prevention-guide-medical-providers" TargetMode="External"/><Relationship Id="rId247" Type="http://schemas.openxmlformats.org/officeDocument/2006/relationships/hyperlink" Target="https://harfordcountyhealth.com/wp-content/uploads/2018/10/PrEP-Provider-Toolkit_optimized.pdf" TargetMode="External"/><Relationship Id="rId248" Type="http://schemas.openxmlformats.org/officeDocument/2006/relationships/hyperlink" Target="https://www.michigan.gov/documents/mdhhs/PrEP_Provider_Toolkit_MDHHS_547647_7.pdf" TargetMode="External"/><Relationship Id="rId249" Type="http://schemas.openxmlformats.org/officeDocument/2006/relationships/hyperlink" Target="https://www.lgbthealtheducation.org/wp-content/uploads/Implementing-PrEP-for-HIV-Prevention_Final.pdf" TargetMode="External"/><Relationship Id="rId250" Type="http://schemas.openxmlformats.org/officeDocument/2006/relationships/hyperlink" Target="https://harmreduction.org/our-work/syringe-access-implementation/" TargetMode="External"/><Relationship Id="rId251" Type="http://schemas.openxmlformats.org/officeDocument/2006/relationships/hyperlink" Target="https://www.cdc.gov/hiv/capacity-building-assistance/index.html" TargetMode="External"/><Relationship Id="rId252" Type="http://schemas.openxmlformats.org/officeDocument/2006/relationships/hyperlink" Target="https://harmreduction.org/hrc2/wp-content/uploads/2020/08/Resource-SyringeAccess-GuidetoDevelopingandManagingSyringeAccessPrograms.pdf" TargetMode="External"/><Relationship Id="rId253" Type="http://schemas.openxmlformats.org/officeDocument/2006/relationships/header" Target="header14.xml"/><Relationship Id="rId254" Type="http://schemas.openxmlformats.org/officeDocument/2006/relationships/footer" Target="footer13.xml"/><Relationship Id="rId255" Type="http://schemas.openxmlformats.org/officeDocument/2006/relationships/hyperlink" Target="https://www.nastad.org/sites/default/files/resources/docs/055419_NASTAD-SSP-Guidelines-August-2012.pdf" TargetMode="External"/><Relationship Id="rId256" Type="http://schemas.openxmlformats.org/officeDocument/2006/relationships/hyperlink" Target="https://www.comerfamilyfoundation.org/img/A-Guide-to-Establishing-Syringe-Services-Programs-in-Rural-At-Risk-Areas.pdf" TargetMode="External"/><Relationship Id="rId257" Type="http://schemas.openxmlformats.org/officeDocument/2006/relationships/hyperlink" Target="https://www.oregon.gov/oha/PH/PREVENTIONWELLNESS/SUBSTANCEUSE/Pages/harm-reduction-library.aspx" TargetMode="External"/><Relationship Id="rId258" Type="http://schemas.openxmlformats.org/officeDocument/2006/relationships/hyperlink" Target="https://medicine.yale.edu/psychiatry/research/programs/clinical_people/pdc/ContingencyManagement_176454_284_46619_v1.pdf" TargetMode="External"/><Relationship Id="rId259" Type="http://schemas.openxmlformats.org/officeDocument/2006/relationships/hyperlink" Target="http://www.uclaisap.org/assets/documents/Manual%20for%20Implementing%20Contingency%20Management_11-8-2011%20clean.pdf" TargetMode="External"/><Relationship Id="rId260" Type="http://schemas.openxmlformats.org/officeDocument/2006/relationships/hyperlink" Target="https://www.drugsandalcohol.ie/13618/1/NTA_Contingency_management_Petry.pdf" TargetMode="External"/><Relationship Id="rId261" Type="http://schemas.openxmlformats.org/officeDocument/2006/relationships/hyperlink" Target="https://www.nacbt.org/cbt-cognitive-behavioral-therapy-onsite-training/" TargetMode="External"/><Relationship Id="rId262" Type="http://schemas.openxmlformats.org/officeDocument/2006/relationships/hyperlink" Target="https://beckinstitute.org/get-training/" TargetMode="External"/><Relationship Id="rId263" Type="http://schemas.openxmlformats.org/officeDocument/2006/relationships/hyperlink" Target="https://www.practiceground.org/abct-2018-safren" TargetMode="External"/><Relationship Id="rId264" Type="http://schemas.openxmlformats.org/officeDocument/2006/relationships/hyperlink" Target="https://www.massgeneral.org/psychiatry/treatments-and-services/cognitive-behavioral-therapy-program" TargetMode="External"/><Relationship Id="rId265" Type="http://schemas.openxmlformats.org/officeDocument/2006/relationships/hyperlink" Target="https://bhta.hrsa.gov/resources/peer-specialist-training-and-certification-programs-national-overview" TargetMode="External"/><Relationship Id="rId266" Type="http://schemas.openxmlformats.org/officeDocument/2006/relationships/hyperlink" Target="http://nmac.org/wp-content/uploads/2012/08/OES-HNS_FINAL_9-3-2015.pdf" TargetMode="External"/><Relationship Id="rId267" Type="http://schemas.openxmlformats.org/officeDocument/2006/relationships/hyperlink" Target="https://www.ruralhealthinfo.org/toolkits/hiv-aids" TargetMode="External"/><Relationship Id="rId268" Type="http://schemas.openxmlformats.org/officeDocument/2006/relationships/hyperlink" Target="https://doi.org/10.1186/1748-5908-4-76" TargetMode="External"/><Relationship Id="rId269" Type="http://schemas.openxmlformats.org/officeDocument/2006/relationships/hyperlink" Target="https://doi.org/10.1186/s13012-015-0216-2" TargetMode="External"/><Relationship Id="rId270" Type="http://schemas.openxmlformats.org/officeDocument/2006/relationships/hyperlink" Target="https://doi.org/10.1007/s11414-014-9436-5" TargetMode="External"/><Relationship Id="rId271" Type="http://schemas.openxmlformats.org/officeDocument/2006/relationships/hyperlink" Target="https://doi.org/10.1097/QAI.0b013e3181605df1" TargetMode="External"/><Relationship Id="rId272" Type="http://schemas.openxmlformats.org/officeDocument/2006/relationships/hyperlink" Target="https://doi.org/10.1016/j.evalprogplan.2011.02.005" TargetMode="External"/><Relationship Id="rId273" Type="http://schemas.openxmlformats.org/officeDocument/2006/relationships/hyperlink" Target="https://apha.confex.com/apha/138am/recordingredirect.cgi/id/39706" TargetMode="External"/><Relationship Id="rId274" Type="http://schemas.openxmlformats.org/officeDocument/2006/relationships/hyperlink" Target="https://www.samhsa.gov/sites/default/files/20190620-samhsa-strategic-prevention-framework-guide.pdf" TargetMode="External"/><Relationship Id="rId275" Type="http://schemas.openxmlformats.org/officeDocument/2006/relationships/hyperlink" Target="https://doi.org/10.1016/j.amepre.2016.05.017" TargetMode="External"/><Relationship Id="rId276" Type="http://schemas.openxmlformats.org/officeDocument/2006/relationships/hyperlink" Target="https://doi.org/10.1093/her/cyr030" TargetMode="External"/><Relationship Id="rId277" Type="http://schemas.openxmlformats.org/officeDocument/2006/relationships/hyperlink" Target="https://www.samhsa.gov/sites/default/files/ebp_prevention_guidance_document_241.pdf" TargetMode="External"/><Relationship Id="rId278" Type="http://schemas.openxmlformats.org/officeDocument/2006/relationships/hyperlink" Target="https://nnlm.gov/initiatives/topics/health-literacy" TargetMode="External"/><Relationship Id="rId279" Type="http://schemas.openxmlformats.org/officeDocument/2006/relationships/hyperlink" Target="https://www.cdc.gov/healthliteracy/researchevaluate/organization-assessment-tools.html" TargetMode="External"/><Relationship Id="rId280" Type="http://schemas.openxmlformats.org/officeDocument/2006/relationships/hyperlink" Target="https://www.ahrq.gov/health-literacy/quality-resources/tools/literacy-toolkit/impguide/index.html" TargetMode="External"/><Relationship Id="rId281" Type="http://schemas.openxmlformats.org/officeDocument/2006/relationships/hyperlink" Target="https://minorityhealth.hhs.gov/omh/browse.aspx?lvl=2&amp;lvlid=53" TargetMode="External"/><Relationship Id="rId282" Type="http://schemas.openxmlformats.org/officeDocument/2006/relationships/hyperlink" Target="https://www.thenationalcouncil.org/coe_resource/strategies-for-success-in-integrating-hiv-care-into-behavioral-health-care/strategies-for-success-in-integrating-hiv-care-into-behavioral-health-care-9-14-16/" TargetMode="External"/><Relationship Id="rId283" Type="http://schemas.openxmlformats.org/officeDocument/2006/relationships/hyperlink" Target="https://www.pcpcc.org/resource/standard-framework-levels-integrated-healthcare" TargetMode="External"/><Relationship Id="rId284" Type="http://schemas.openxmlformats.org/officeDocument/2006/relationships/hyperlink" Target="https://doi.org/10.1007/s11920-014-0506-4" TargetMode="External"/><Relationship Id="rId285" Type="http://schemas.openxmlformats.org/officeDocument/2006/relationships/hyperlink" Target="https://www.nimh.nih.gov/health/topics/integrated-care/index.shtml" TargetMode="External"/><Relationship Id="rId286" Type="http://schemas.openxmlformats.org/officeDocument/2006/relationships/hyperlink" Target="https://doi.org/10.1093/heapol/czw169" TargetMode="External"/><Relationship Id="rId287" Type="http://schemas.openxmlformats.org/officeDocument/2006/relationships/hyperlink" Target="https://integrationacademy.ahrq.gov/sites/default/files/AHRQ_AcadLitReview.pdf" TargetMode="External"/><Relationship Id="rId288" Type="http://schemas.openxmlformats.org/officeDocument/2006/relationships/hyperlink" Target="http://womenshealthcouncil.org/wp-content/uploads/2016/11/WF-Core-Competencies-for-Integrated-Behavioral-Health-and-Primary-Care.pdf" TargetMode="External"/><Relationship Id="rId289" Type="http://schemas.openxmlformats.org/officeDocument/2006/relationships/hyperlink" Target="https://www.thenationalcouncil.org/wp-content/uploads/2020/01/CIHS_Framework_Final_charts.pdf?daf=375ateTbd56" TargetMode="External"/><Relationship Id="rId290" Type="http://schemas.openxmlformats.org/officeDocument/2006/relationships/hyperlink" Target="https://targethiv.org/library/expanding-access-behavioral-health-care-people-living-hivaids" TargetMode="External"/><Relationship Id="rId291" Type="http://schemas.openxmlformats.org/officeDocument/2006/relationships/hyperlink" Target="https://www.nastad.org/sites/default/files/resources/docs/issue_brief_final.pdf" TargetMode="External"/><Relationship Id="rId292" Type="http://schemas.openxmlformats.org/officeDocument/2006/relationships/hyperlink" Target="https://www.rand.org/pubs/periodicals/health-quarterly/issues/v4/n3/06.html" TargetMode="External"/><Relationship Id="rId293" Type="http://schemas.openxmlformats.org/officeDocument/2006/relationships/hyperlink" Target="https://www.samhsa.gov/section-223" TargetMode="External"/><Relationship Id="rId294" Type="http://schemas.openxmlformats.org/officeDocument/2006/relationships/hyperlink" Target="https://doi.org/10.1097/MLR.0b013e31819432a0" TargetMode="External"/><Relationship Id="rId295" Type="http://schemas.openxmlformats.org/officeDocument/2006/relationships/hyperlink" Target="https://doi.org/10.1186/s13722-017-0088-7" TargetMode="External"/><Relationship Id="rId296" Type="http://schemas.openxmlformats.org/officeDocument/2006/relationships/hyperlink" Target="http://www.ibhpartners.org/get-started/procedures/confidentiality/" TargetMode="External"/><Relationship Id="rId297" Type="http://schemas.openxmlformats.org/officeDocument/2006/relationships/hyperlink" Target="https://doi.org/10.1089/apc.2018.0114" TargetMode="External"/><Relationship Id="rId298" Type="http://schemas.openxmlformats.org/officeDocument/2006/relationships/hyperlink" Target="https://doi.org/10.1007/s10461-015-1256-y" TargetMode="External"/><Relationship Id="rId299" Type="http://schemas.openxmlformats.org/officeDocument/2006/relationships/hyperlink" Target="https://doi.org/10.1089/apc.2010.0065" TargetMode="External"/><Relationship Id="rId300" Type="http://schemas.openxmlformats.org/officeDocument/2006/relationships/hyperlink" Target="https://doi.org/10.1080/08897077.2013.849646" TargetMode="External"/><Relationship Id="rId301" Type="http://schemas.openxmlformats.org/officeDocument/2006/relationships/hyperlink" Target="https://www.hrsa.gov/behavioral-health/core-competencies-integrated-behavioral-health-and-primary-care" TargetMode="External"/><Relationship Id="rId302" Type="http://schemas.openxmlformats.org/officeDocument/2006/relationships/hyperlink" Target="https://ovc.ojp.gov/program/vtt/introduction" TargetMode="External"/><Relationship Id="rId303" Type="http://schemas.openxmlformats.org/officeDocument/2006/relationships/hyperlink" Target="https://bhta.hrsa.gov/resources/supervisor-guide-peer-support-whole-health-and-wellness" TargetMode="External"/><Relationship Id="rId304" Type="http://schemas.openxmlformats.org/officeDocument/2006/relationships/hyperlink" Target="https://www.recoveryanswers.org/addiction-ary/" TargetMode="External"/><Relationship Id="rId305" Type="http://schemas.openxmlformats.org/officeDocument/2006/relationships/hyperlink" Target="https://bhta.hrsa.gov/resources/improving-health-through-trauma-informed-care" TargetMode="External"/><Relationship Id="rId306" Type="http://schemas.openxmlformats.org/officeDocument/2006/relationships/hyperlink" Target="https://store.samhsa.gov/product/TIP-57-Trauma-Informed-Care-in-Behavioral-Health-Services/SMA14-4816" TargetMode="External"/><Relationship Id="rId307" Type="http://schemas.openxmlformats.org/officeDocument/2006/relationships/hyperlink" Target="https://doi.org/10.1016/j.jana.2012.08.007" TargetMode="External"/><Relationship Id="rId308" Type="http://schemas.openxmlformats.org/officeDocument/2006/relationships/hyperlink" Target="https://doi.org/10.1136/jim-2018-000872" TargetMode="External"/><Relationship Id="rId309" Type="http://schemas.openxmlformats.org/officeDocument/2006/relationships/hyperlink" Target="https://doi.org/10.1007/s10461-013-0465-5" TargetMode="External"/><Relationship Id="rId310" Type="http://schemas.openxmlformats.org/officeDocument/2006/relationships/hyperlink" Target="https://www.modernhealthcare.com/patients/lyft-uber-expand-reach-healthcare" TargetMode="External"/><Relationship Id="rId311" Type="http://schemas.openxmlformats.org/officeDocument/2006/relationships/hyperlink" Target="https://doi.org/10.1186/s12939-017-0671-2" TargetMode="External"/><Relationship Id="rId312" Type="http://schemas.openxmlformats.org/officeDocument/2006/relationships/hyperlink" Target="https://www.ncbi.nlm.nih.gov/books/NBK64925/" TargetMode="External"/><Relationship Id="rId313" Type="http://schemas.openxmlformats.org/officeDocument/2006/relationships/hyperlink" Target="https://www.kff.org/hivaids/fact-sheet/the-ryan-white-hivaids-program-the-basics/" TargetMode="External"/><Relationship Id="rId314" Type="http://schemas.openxmlformats.org/officeDocument/2006/relationships/hyperlink" Target="https://www.ctcertboard.org/files/pdfs/TAP31.pdf" TargetMode="External"/><Relationship Id="rId315" Type="http://schemas.openxmlformats.org/officeDocument/2006/relationships/hyperlink" Target="https://khn.org/news/even-when-hiv-prevention-drug-is-covered-other-costs-block-treatment/" TargetMode="External"/><Relationship Id="rId316" Type="http://schemas.openxmlformats.org/officeDocument/2006/relationships/hyperlink" Target="https://www.healthaffairs.org/do/10.1377/hblog20190831.204373/full/#%3A~%3Atext%3DFor%202020%20and%202021%2C%20CMS%2Cbased%20marketplace%20using%20HealthCare.gov" TargetMode="External"/><Relationship Id="rId317" Type="http://schemas.openxmlformats.org/officeDocument/2006/relationships/hyperlink" Target="http://dx.doi.org/10.1037/a0024813" TargetMode="External"/><Relationship Id="rId318" Type="http://schemas.openxmlformats.org/officeDocument/2006/relationships/hyperlink" Target="https://www.cdc.gov/ssp/ssp-funding.html" TargetMode="External"/><Relationship Id="rId319" Type="http://schemas.openxmlformats.org/officeDocument/2006/relationships/hyperlink" Target="https://harmreduction.org/issues/syringe-access/guide-to-managing-programs/" TargetMode="External"/><Relationship Id="rId320" Type="http://schemas.openxmlformats.org/officeDocument/2006/relationships/hyperlink" Target="https://www.comerfamilyfoundation.org/img/A-Guide-to-Establishing-Syringe-Services-Programs-in-Rural" TargetMode="External"/><Relationship Id="rId321" Type="http://schemas.openxmlformats.org/officeDocument/2006/relationships/hyperlink" Target="https://beckinstitute.org/get-training" TargetMode="External"/><Relationship Id="rId322" Type="http://schemas.openxmlformats.org/officeDocument/2006/relationships/hyperlink" Target="https://beckinstitute.org/get-training/83" TargetMode="External"/><Relationship Id="rId323" Type="http://schemas.openxmlformats.org/officeDocument/2006/relationships/header" Target="header15.xml"/><Relationship Id="rId324" Type="http://schemas.openxmlformats.org/officeDocument/2006/relationships/footer" Target="footer14.xml"/><Relationship Id="rId325" Type="http://schemas.openxmlformats.org/officeDocument/2006/relationships/image" Target="media/image31.png"/><Relationship Id="rId326" Type="http://schemas.openxmlformats.org/officeDocument/2006/relationships/header" Target="header16.xml"/><Relationship Id="rId327" Type="http://schemas.openxmlformats.org/officeDocument/2006/relationships/footer" Target="footer15.xml"/><Relationship Id="rId328" Type="http://schemas.openxmlformats.org/officeDocument/2006/relationships/image" Target="media/image32.png"/><Relationship Id="rId329" Type="http://schemas.openxmlformats.org/officeDocument/2006/relationships/hyperlink" Target="https://www.bmc.org/programs/faster-paths-to-treatment" TargetMode="External"/><Relationship Id="rId330" Type="http://schemas.openxmlformats.org/officeDocument/2006/relationships/hyperlink" Target="https://pubmed.ncbi.nlm.nih.gov/31644387/" TargetMode="External"/><Relationship Id="rId331" Type="http://schemas.openxmlformats.org/officeDocument/2006/relationships/hyperlink" Target="https://elit.dkbmed.com/issues/57/preview" TargetMode="External"/><Relationship Id="rId332" Type="http://schemas.openxmlformats.org/officeDocument/2006/relationships/image" Target="media/image33.jpeg"/><Relationship Id="rId333" Type="http://schemas.openxmlformats.org/officeDocument/2006/relationships/image" Target="media/image34.png"/><Relationship Id="rId334" Type="http://schemas.openxmlformats.org/officeDocument/2006/relationships/hyperlink" Target="https://louisvilleky.gov/sites/default/files/health_and_wellness/clinics/syringe_exchange_program_preso_-_general_public_060415.pdf" TargetMode="External"/><Relationship Id="rId335" Type="http://schemas.openxmlformats.org/officeDocument/2006/relationships/hyperlink" Target="https://louisvilleky.gov/government/health-wellness/syringe-exchange-program" TargetMode="External"/><Relationship Id="rId336" Type="http://schemas.openxmlformats.org/officeDocument/2006/relationships/hyperlink" Target="https://louisvilleky.gov/sites/default/files/health_and_wellness/2019sepbrochure.pdf" TargetMode="External"/><Relationship Id="rId337" Type="http://schemas.openxmlformats.org/officeDocument/2006/relationships/hyperlink" Target="https://louisvilleky.gov/sites/default/files/health_and_wellness/clinics/lmsapoperatingguidlines060915.pdf" TargetMode="External"/><Relationship Id="rId338" Type="http://schemas.openxmlformats.org/officeDocument/2006/relationships/hyperlink" Target="https://louisvilleky.gov/sites/default/files/health_and_wellness/oppe_-_datareports/seprptneedsbasedvsoneforone2017.pdf" TargetMode="External"/><Relationship Id="rId339" Type="http://schemas.openxmlformats.org/officeDocument/2006/relationships/image" Target="media/image35.png"/><Relationship Id="rId340" Type="http://schemas.openxmlformats.org/officeDocument/2006/relationships/hyperlink" Target="https://www.friendscommunitycenter.org/alexis-project" TargetMode="External"/><Relationship Id="rId341" Type="http://schemas.openxmlformats.org/officeDocument/2006/relationships/hyperlink" Target="https://hab.hrsa.gov/about-ryan-white-hivaids-program/spns-transgender-women-color" TargetMode="External"/><Relationship Id="rId342" Type="http://schemas.openxmlformats.org/officeDocument/2006/relationships/hyperlink" Target="https://pubmed.ncbi.nlm.nih.gov/31187355/" TargetMode="External"/><Relationship Id="rId343" Type="http://schemas.openxmlformats.org/officeDocument/2006/relationships/image" Target="media/image36.png"/><Relationship Id="rId344" Type="http://schemas.openxmlformats.org/officeDocument/2006/relationships/hyperlink" Target="https://doi.org/10.1080/08897077.2019.1675118" TargetMode="External"/><Relationship Id="rId345" Type="http://schemas.openxmlformats.org/officeDocument/2006/relationships/hyperlink" Target="https://www.khcollaborative.org/2019/12/louisvilles-syringe-exchange-2/" TargetMode="External"/><Relationship Id="rId346" Type="http://schemas.openxmlformats.org/officeDocument/2006/relationships/hyperlink" Target="https://doi.org/10.1001/archinte.166.10.1092" TargetMode="External"/><Relationship Id="rId347" Type="http://schemas.openxmlformats.org/officeDocument/2006/relationships/hyperlink" Target="https://www.med.umich.edu/1info/FHP/practiceguides/depress/phq-9.pdf" TargetMode="External"/><Relationship Id="rId348" Type="http://schemas.openxmlformats.org/officeDocument/2006/relationships/hyperlink" Target="https://doi.org/10.1016/j.psym.2011.07.004" TargetMode="External"/><Relationship Id="rId349" Type="http://schemas.openxmlformats.org/officeDocument/2006/relationships/header" Target="header17.xml"/><Relationship Id="rId350" Type="http://schemas.openxmlformats.org/officeDocument/2006/relationships/footer" Target="footer16.xml"/><Relationship Id="rId351" Type="http://schemas.openxmlformats.org/officeDocument/2006/relationships/image" Target="media/image37.jpeg"/><Relationship Id="rId352" Type="http://schemas.openxmlformats.org/officeDocument/2006/relationships/image" Target="media/image38.jpeg"/><Relationship Id="rId353" Type="http://schemas.openxmlformats.org/officeDocument/2006/relationships/header" Target="header18.xml"/><Relationship Id="rId354" Type="http://schemas.openxmlformats.org/officeDocument/2006/relationships/footer" Target="footer17.xml"/><Relationship Id="rId355" Type="http://schemas.openxmlformats.org/officeDocument/2006/relationships/image" Target="media/image39.png"/><Relationship Id="rId356" Type="http://schemas.openxmlformats.org/officeDocument/2006/relationships/hyperlink" Target="https://www.healthit.gov/faq/what-are-leading-continuous-quality-improvement-strategies-health-care-settings" TargetMode="External"/><Relationship Id="rId357" Type="http://schemas.openxmlformats.org/officeDocument/2006/relationships/hyperlink" Target="https://www.niatx.net/what-is-niatx/" TargetMode="External"/><Relationship Id="rId358" Type="http://schemas.openxmlformats.org/officeDocument/2006/relationships/hyperlink" Target="http://www.ihi.org/resources/Pages/HowtoImprove/ScienceofImprovementHowtoImprove.aspx" TargetMode="External"/><Relationship Id="rId359" Type="http://schemas.openxmlformats.org/officeDocument/2006/relationships/hyperlink" Target="http://www.ihi.org/resources/Pages/HowtoImprove/ScienceofImprovementTestingChanges.aspx" TargetMode="External"/><Relationship Id="rId360" Type="http://schemas.openxmlformats.org/officeDocument/2006/relationships/hyperlink" Target="https://www.nj.gov/dcf/about/divisions/opma/CQI%20framework.pdf" TargetMode="External"/><Relationship Id="rId361" Type="http://schemas.openxmlformats.org/officeDocument/2006/relationships/hyperlink" Target="https://www.hhs.gov/ash/oah/sites/default/files/cqi-intro.pdf" TargetMode="External"/><Relationship Id="rId362" Type="http://schemas.openxmlformats.org/officeDocument/2006/relationships/image" Target="media/image40.jpeg"/><Relationship Id="rId363" Type="http://schemas.openxmlformats.org/officeDocument/2006/relationships/hyperlink" Target="https://adai.uw.edu/instruments/pdf/Risk_Behavior_Survey_209.pdf" TargetMode="External"/><Relationship Id="rId364" Type="http://schemas.openxmlformats.org/officeDocument/2006/relationships/hyperlink" Target="https://aidsinfo.nih.gov/understanding-hiv-aids/glossary/807/medication-event-monitoring-system" TargetMode="External"/><Relationship Id="rId365" Type="http://schemas.openxmlformats.org/officeDocument/2006/relationships/hyperlink" Target="https://www.samhsa.gov/sites/default/files/programs_campaigns/samhsa_hrsa/alcohol-smoking-substance-screening-test.pdf" TargetMode="External"/><Relationship Id="rId366" Type="http://schemas.openxmlformats.org/officeDocument/2006/relationships/hyperlink" Target="https://www.drugabuse.gov/sites/default/files/files/AUDIT.pdf" TargetMode="External"/><Relationship Id="rId367" Type="http://schemas.openxmlformats.org/officeDocument/2006/relationships/hyperlink" Target="https://cde.drugabuse.gov/sites/nida_cde/files/DrugAbuseScreeningTest_2014Mar24.pdf" TargetMode="External"/><Relationship Id="rId368" Type="http://schemas.openxmlformats.org/officeDocument/2006/relationships/hyperlink" Target="https://www.mdcalc.com/phq-9-patient-health-questionnaire-9" TargetMode="External"/><Relationship Id="rId369" Type="http://schemas.openxmlformats.org/officeDocument/2006/relationships/hyperlink" Target="https://www.kdheks.gov/c-f/integration_toolkits/Beck_Depression_Inventory_II.pdf" TargetMode="External"/><Relationship Id="rId370" Type="http://schemas.openxmlformats.org/officeDocument/2006/relationships/hyperlink" Target="https://dcf.psychiatry.ufl.edu/files/2011/05/HAMILTON-DEPRESSION.pdf" TargetMode="External"/><Relationship Id="rId371" Type="http://schemas.openxmlformats.org/officeDocument/2006/relationships/hyperlink" Target="http://narr.bmap.ucla.edu/docs/MADRS.pdf" TargetMode="External"/><Relationship Id="rId372" Type="http://schemas.openxmlformats.org/officeDocument/2006/relationships/hyperlink" Target="https://adaa.org/sites/default/files/GAD-7_Anxiety-updated_0.pdf" TargetMode="External"/><Relationship Id="rId373" Type="http://schemas.openxmlformats.org/officeDocument/2006/relationships/hyperlink" Target="https://www.hoagorthopedicinstitute.com/documents/SF12form.pdf" TargetMode="External"/><Relationship Id="rId374" Type="http://schemas.openxmlformats.org/officeDocument/2006/relationships/hyperlink" Target="https://www.cdc.gov/eval/framework/index.htm" TargetMode="External"/><Relationship Id="rId375" Type="http://schemas.openxmlformats.org/officeDocument/2006/relationships/hyperlink" Target="https://ctb.ku.edu/en/toolkits" TargetMode="External"/><Relationship Id="rId376" Type="http://schemas.openxmlformats.org/officeDocument/2006/relationships/hyperlink" Target="https://ctb.ku.edu/en/evaluating-initiative" TargetMode="External"/><Relationship Id="rId377" Type="http://schemas.openxmlformats.org/officeDocument/2006/relationships/hyperlink" Target="http://www.ihi.org/resources/Pages/Tools/Quality-Improvement-Essentials-Toolkit.aspx" TargetMode="External"/><Relationship Id="rId378" Type="http://schemas.openxmlformats.org/officeDocument/2006/relationships/hyperlink" Target="https://ciswh.org/wp-content/uploads/2016/04/7._EvaluatingPeerProgramsComplete.pdf" TargetMode="External"/><Relationship Id="rId379" Type="http://schemas.openxmlformats.org/officeDocument/2006/relationships/hyperlink" Target="https://www.ruralhealthinfo.org/toolkits/mental-health/5/evaluation" TargetMode="External"/><Relationship Id="rId380" Type="http://schemas.openxmlformats.org/officeDocument/2006/relationships/hyperlink" Target="https://www.ruralhealthinfo.org/toolkits/substance-abuse/5/evaluation-considerations" TargetMode="External"/><Relationship Id="rId381" Type="http://schemas.openxmlformats.org/officeDocument/2006/relationships/hyperlink" Target="https://www.ruralhealthinfo.org/toolkits/telehealth/5/evaluation" TargetMode="External"/><Relationship Id="rId382" Type="http://schemas.openxmlformats.org/officeDocument/2006/relationships/hyperlink" Target="https://targethiv.org/sites/default/files/file-upload/resources/program-evalution.pdf" TargetMode="External"/><Relationship Id="rId383" Type="http://schemas.openxmlformats.org/officeDocument/2006/relationships/header" Target="header19.xml"/><Relationship Id="rId384" Type="http://schemas.openxmlformats.org/officeDocument/2006/relationships/footer" Target="footer18.xml"/><Relationship Id="rId385" Type="http://schemas.openxmlformats.org/officeDocument/2006/relationships/header" Target="header20.xml"/><Relationship Id="rId386" Type="http://schemas.openxmlformats.org/officeDocument/2006/relationships/footer" Target="footer19.xml"/><Relationship Id="rId387" Type="http://schemas.openxmlformats.org/officeDocument/2006/relationships/header" Target="header21.xml"/><Relationship Id="rId388" Type="http://schemas.openxmlformats.org/officeDocument/2006/relationships/footer" Target="footer20.xml"/><Relationship Id="rId389" Type="http://schemas.openxmlformats.org/officeDocument/2006/relationships/image" Target="media/image41.png"/><Relationship Id="rId390" Type="http://schemas.openxmlformats.org/officeDocument/2006/relationships/header" Target="header22.xml"/><Relationship Id="rId391" Type="http://schemas.openxmlformats.org/officeDocument/2006/relationships/footer" Target="footer21.xml"/><Relationship Id="rId392" Type="http://schemas.openxmlformats.org/officeDocument/2006/relationships/image" Target="media/image42.png"/><Relationship Id="rId393" Type="http://schemas.openxmlformats.org/officeDocument/2006/relationships/image" Target="media/image43.png"/><Relationship Id="rId394" Type="http://schemas.openxmlformats.org/officeDocument/2006/relationships/hyperlink" Target="http://www.samhsa.gov/" TargetMode="External"/><Relationship Id="rId39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Substance Abuse and Mental Health Services Administration (SAMHSA)</dc:creator>
  <cp:keywords>Evidence-based Resource Guide Series Prevention and Treatment of HIV Among People Living With Substance Use and/or Mental Disorders</cp:keywords>
  <dc:subject>Evidence-based Resource Guide Series Prevention and Treatment of HIV Among People Living With Substance Use and/or Mental Disorders</dc:subject>
  <dc:title>Evidence-based Resource Guide Series Prevention and Treatment of HIV Among People Living With Substance Use and/or Mental Disorders</dc:title>
  <dcterms:created xsi:type="dcterms:W3CDTF">2021-05-20T16:28:40Z</dcterms:created>
  <dcterms:modified xsi:type="dcterms:W3CDTF">2021-05-20T16:28:40Z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2020-10-23T00:00:00Z</vt:filetime>
  </property>
  <property fmtid="{D5CDD505-2E9C-101B-9397-08002B2CF9AE}" pid="3" name="Creator">
    <vt:lpwstr>Adobe InDesign 15.1 (Windows)</vt:lpwstr>
  </property>
  <property fmtid="{D5CDD505-2E9C-101B-9397-08002B2CF9AE}" pid="4" name="LastSaved">
    <vt:filetime>2021-05-20T00:00:00Z</vt:filetime>
  </property>
</Properties>
</file>