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B323" w14:textId="250EC5FD" w:rsidR="00325BA3" w:rsidRPr="00712AF8" w:rsidRDefault="00CA72FB" w:rsidP="00712AF8">
      <w:pPr>
        <w:jc w:val="center"/>
        <w:rPr>
          <w:rFonts w:asciiTheme="majorBidi" w:hAnsiTheme="majorBidi" w:cstheme="majorBidi"/>
          <w:sz w:val="52"/>
          <w:szCs w:val="52"/>
        </w:rPr>
      </w:pPr>
      <w:r w:rsidRPr="00712AF8">
        <w:rPr>
          <w:color w:val="2F2A2B"/>
          <w:w w:val="105"/>
          <w:sz w:val="52"/>
          <w:szCs w:val="52"/>
        </w:rPr>
        <w:t>References</w:t>
      </w:r>
    </w:p>
    <w:p w14:paraId="710CD3AE" w14:textId="1421A91C" w:rsidR="00DC1C91" w:rsidRPr="00323965" w:rsidRDefault="00DC1C91" w:rsidP="00DC1C91">
      <w:pPr>
        <w:widowControl/>
        <w:autoSpaceDE/>
        <w:autoSpaceDN/>
      </w:pPr>
    </w:p>
    <w:p w14:paraId="0917415F" w14:textId="5C338D10" w:rsidR="00515C60" w:rsidRDefault="00515C60" w:rsidP="00515C60">
      <w:pPr>
        <w:widowControl/>
        <w:autoSpaceDE/>
        <w:autoSpaceDN/>
        <w:rPr>
          <w:rStyle w:val="authors"/>
          <w:b/>
          <w:bCs/>
        </w:rPr>
      </w:pPr>
    </w:p>
    <w:p w14:paraId="40B77774" w14:textId="281781F2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  <w:r w:rsidRPr="00082B5E">
        <w:rPr>
          <w:rStyle w:val="authors"/>
        </w:rPr>
        <w:t xml:space="preserve">American Psychological Association. (2017). Ethical principles of psychologists and code of conduct (2002, amended effective June 1, 2010, and January 1, 2017). </w:t>
      </w:r>
      <w:hyperlink r:id="rId5" w:history="1">
        <w:r w:rsidRPr="00082B5E">
          <w:rPr>
            <w:rStyle w:val="Hyperlink"/>
          </w:rPr>
          <w:t>https://www.apa.org/ethics/code/</w:t>
        </w:r>
      </w:hyperlink>
    </w:p>
    <w:p w14:paraId="57574E6F" w14:textId="4B68E352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</w:p>
    <w:p w14:paraId="11E5A951" w14:textId="02954B76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  <w:r w:rsidRPr="00082B5E">
        <w:rPr>
          <w:rStyle w:val="authors"/>
        </w:rPr>
        <w:t xml:space="preserve">American Counseling Association. (2014). 2014 ACA code of ethics. </w:t>
      </w:r>
      <w:hyperlink r:id="rId6" w:history="1">
        <w:r w:rsidRPr="00082B5E">
          <w:rPr>
            <w:rStyle w:val="Hyperlink"/>
          </w:rPr>
          <w:t>https://www.counseling.org/docs/default-source/default-document-library/2014-code-of-ethics-finaladdress.pdf</w:t>
        </w:r>
      </w:hyperlink>
    </w:p>
    <w:p w14:paraId="29D99A94" w14:textId="77777777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</w:p>
    <w:p w14:paraId="388F62D0" w14:textId="77777777" w:rsidR="00082B5E" w:rsidRPr="00082B5E" w:rsidRDefault="00515C60" w:rsidP="00082B5E">
      <w:pPr>
        <w:widowControl/>
        <w:adjustRightInd w:val="0"/>
        <w:ind w:left="720" w:hanging="720"/>
        <w:rPr>
          <w:rStyle w:val="authors"/>
        </w:rPr>
      </w:pPr>
      <w:r w:rsidRPr="00082B5E">
        <w:rPr>
          <w:rStyle w:val="authors"/>
        </w:rPr>
        <w:t>Barsky, A. E. (2017). Social work practice and technology: Ethical issues and policy responses. Journal of Technology in Human Services, 35(1), 8-19.</w:t>
      </w:r>
      <w:r w:rsidR="00082B5E" w:rsidRPr="00082B5E">
        <w:rPr>
          <w:rStyle w:val="authors"/>
        </w:rPr>
        <w:t xml:space="preserve">  </w:t>
      </w:r>
    </w:p>
    <w:p w14:paraId="63F9ED45" w14:textId="77777777" w:rsidR="00082B5E" w:rsidRPr="00082B5E" w:rsidRDefault="00082B5E" w:rsidP="00082B5E">
      <w:pPr>
        <w:widowControl/>
        <w:adjustRightInd w:val="0"/>
        <w:ind w:left="720" w:hanging="720"/>
        <w:rPr>
          <w:rStyle w:val="authors"/>
        </w:rPr>
      </w:pPr>
    </w:p>
    <w:p w14:paraId="6C5D4FF8" w14:textId="6FCE9A14" w:rsidR="006609FC" w:rsidRPr="00082B5E" w:rsidRDefault="00082B5E" w:rsidP="00082B5E">
      <w:pPr>
        <w:widowControl/>
        <w:adjustRightInd w:val="0"/>
        <w:ind w:left="720" w:hanging="720"/>
        <w:rPr>
          <w:rStyle w:val="authors"/>
        </w:rPr>
      </w:pPr>
      <w:r w:rsidRPr="00082B5E">
        <w:rPr>
          <w:rFonts w:eastAsiaTheme="minorHAnsi"/>
        </w:rPr>
        <w:t xml:space="preserve">Bryant, L., Garnham, B., </w:t>
      </w:r>
      <w:proofErr w:type="spellStart"/>
      <w:r w:rsidRPr="00082B5E">
        <w:rPr>
          <w:rFonts w:eastAsiaTheme="minorHAnsi"/>
        </w:rPr>
        <w:t>Tedmanson</w:t>
      </w:r>
      <w:proofErr w:type="spellEnd"/>
      <w:r w:rsidRPr="00082B5E">
        <w:rPr>
          <w:rFonts w:eastAsiaTheme="minorHAnsi"/>
        </w:rPr>
        <w:t>, D., &amp; Diamandi, S. (2020). Social work and tele-mental</w:t>
      </w:r>
      <w:r w:rsidRPr="00082B5E">
        <w:rPr>
          <w:rFonts w:eastAsiaTheme="minorHAnsi"/>
        </w:rPr>
        <w:t xml:space="preserve"> </w:t>
      </w:r>
      <w:r w:rsidRPr="00082B5E">
        <w:rPr>
          <w:rFonts w:eastAsiaTheme="minorHAnsi"/>
        </w:rPr>
        <w:t>health services for rural and remote communities. Advances in telemedicine for health</w:t>
      </w:r>
      <w:r w:rsidRPr="00082B5E">
        <w:rPr>
          <w:rFonts w:eastAsiaTheme="minorHAnsi"/>
        </w:rPr>
        <w:t xml:space="preserve"> </w:t>
      </w:r>
      <w:r w:rsidRPr="00082B5E">
        <w:rPr>
          <w:rFonts w:eastAsiaTheme="minorHAnsi"/>
        </w:rPr>
        <w:t>monitoring, 133.</w:t>
      </w:r>
    </w:p>
    <w:p w14:paraId="1B2E6EC3" w14:textId="5F5BE683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</w:p>
    <w:p w14:paraId="63A707DB" w14:textId="5A0C98C1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  <w:r w:rsidRPr="00082B5E">
        <w:rPr>
          <w:rStyle w:val="authors"/>
        </w:rPr>
        <w:t>Boddy, J., &amp; Dominelli, L. (2017). Social media and social work: The challenges of a new ethical space. Australian Social Work, 70(2), 172-184.</w:t>
      </w:r>
    </w:p>
    <w:p w14:paraId="304CFAF5" w14:textId="1444507D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</w:p>
    <w:p w14:paraId="24A4317D" w14:textId="2717F25F" w:rsidR="00082B5E" w:rsidRPr="00082B5E" w:rsidRDefault="00515C60" w:rsidP="00082B5E">
      <w:pPr>
        <w:widowControl/>
        <w:adjustRightInd w:val="0"/>
        <w:ind w:left="720" w:hanging="720"/>
        <w:rPr>
          <w:rStyle w:val="authors"/>
        </w:rPr>
      </w:pPr>
      <w:r w:rsidRPr="00082B5E">
        <w:rPr>
          <w:rStyle w:val="authors"/>
        </w:rPr>
        <w:t xml:space="preserve">Lustgarten, S. D., &amp; Elhai, J. D. (2018). Technology use in mental health practice and research: Legal and </w:t>
      </w:r>
      <w:r w:rsidR="00082B5E">
        <w:rPr>
          <w:rStyle w:val="authors"/>
        </w:rPr>
        <w:t>e</w:t>
      </w:r>
      <w:r w:rsidRPr="00082B5E">
        <w:rPr>
          <w:rStyle w:val="authors"/>
        </w:rPr>
        <w:t>thical risks. Clinical Psychology: Science and Practice, 25(2), e12234.</w:t>
      </w:r>
      <w:r w:rsidR="00082B5E" w:rsidRPr="00082B5E">
        <w:rPr>
          <w:rStyle w:val="authors"/>
        </w:rPr>
        <w:t xml:space="preserve">  </w:t>
      </w:r>
    </w:p>
    <w:p w14:paraId="2DB191DE" w14:textId="77777777" w:rsidR="00082B5E" w:rsidRPr="00082B5E" w:rsidRDefault="00082B5E" w:rsidP="00082B5E">
      <w:pPr>
        <w:widowControl/>
        <w:adjustRightInd w:val="0"/>
        <w:rPr>
          <w:rStyle w:val="authors"/>
        </w:rPr>
      </w:pPr>
    </w:p>
    <w:p w14:paraId="2D2111F7" w14:textId="4A0B470D" w:rsidR="00082B5E" w:rsidRPr="00082B5E" w:rsidRDefault="00082B5E" w:rsidP="00082B5E">
      <w:pPr>
        <w:widowControl/>
        <w:adjustRightInd w:val="0"/>
        <w:ind w:left="720" w:hanging="720"/>
        <w:rPr>
          <w:rFonts w:eastAsiaTheme="minorHAnsi"/>
          <w:color w:val="000000"/>
        </w:rPr>
      </w:pPr>
      <w:r w:rsidRPr="00082B5E">
        <w:rPr>
          <w:rFonts w:eastAsiaTheme="minorHAnsi"/>
          <w:color w:val="000000"/>
        </w:rPr>
        <w:t>MacMullin, K., Jerry, P., &amp; Cook, K. (2020). Psychotherapist experiences with</w:t>
      </w:r>
      <w:r w:rsidRPr="00082B5E">
        <w:rPr>
          <w:rFonts w:eastAsiaTheme="minorHAnsi"/>
          <w:color w:val="000000"/>
        </w:rPr>
        <w:t xml:space="preserve"> </w:t>
      </w:r>
      <w:proofErr w:type="spellStart"/>
      <w:r w:rsidRPr="00082B5E">
        <w:rPr>
          <w:rFonts w:eastAsiaTheme="minorHAnsi"/>
          <w:color w:val="000000"/>
        </w:rPr>
        <w:t>telepsychotherapy</w:t>
      </w:r>
      <w:proofErr w:type="spellEnd"/>
      <w:r w:rsidRPr="00082B5E">
        <w:rPr>
          <w:rFonts w:eastAsiaTheme="minorHAnsi"/>
          <w:color w:val="000000"/>
        </w:rPr>
        <w:t>: Pre COVID-19 lessons for a post COVID-19 world. Journal of</w:t>
      </w:r>
      <w:r w:rsidRPr="00082B5E">
        <w:rPr>
          <w:rFonts w:eastAsiaTheme="minorHAnsi"/>
          <w:color w:val="000000"/>
        </w:rPr>
        <w:t xml:space="preserve"> </w:t>
      </w:r>
      <w:r w:rsidRPr="00082B5E">
        <w:rPr>
          <w:rFonts w:eastAsiaTheme="minorHAnsi"/>
          <w:color w:val="000000"/>
        </w:rPr>
        <w:t>Psychotherapy Integration, 30(2), 248.</w:t>
      </w:r>
    </w:p>
    <w:p w14:paraId="1DF49A24" w14:textId="77777777" w:rsidR="00082B5E" w:rsidRPr="00082B5E" w:rsidRDefault="00082B5E" w:rsidP="00082B5E">
      <w:pPr>
        <w:widowControl/>
        <w:adjustRightInd w:val="0"/>
        <w:ind w:left="1440" w:hanging="1440"/>
        <w:rPr>
          <w:rFonts w:eastAsiaTheme="minorHAnsi"/>
          <w:color w:val="000000"/>
        </w:rPr>
      </w:pPr>
    </w:p>
    <w:p w14:paraId="3557F273" w14:textId="57C35E77" w:rsidR="00082B5E" w:rsidRPr="00082B5E" w:rsidRDefault="00082B5E" w:rsidP="00082B5E">
      <w:pPr>
        <w:widowControl/>
        <w:adjustRightInd w:val="0"/>
        <w:ind w:left="720" w:hanging="720"/>
        <w:rPr>
          <w:rFonts w:eastAsiaTheme="minorHAnsi"/>
          <w:color w:val="0000FF"/>
        </w:rPr>
      </w:pPr>
      <w:r w:rsidRPr="00082B5E">
        <w:rPr>
          <w:rFonts w:eastAsiaTheme="minorHAnsi"/>
          <w:color w:val="000000"/>
        </w:rPr>
        <w:t>Mishna, F., Milne, E., Bogo, M., &amp; Pereira, L. F. (2021). Responding to COVID-19: New trends</w:t>
      </w:r>
      <w:r w:rsidRPr="00082B5E">
        <w:rPr>
          <w:rFonts w:eastAsiaTheme="minorHAnsi"/>
          <w:color w:val="000000"/>
        </w:rPr>
        <w:t xml:space="preserve"> </w:t>
      </w:r>
      <w:r w:rsidRPr="00082B5E">
        <w:rPr>
          <w:rFonts w:eastAsiaTheme="minorHAnsi"/>
          <w:color w:val="000000"/>
        </w:rPr>
        <w:t>in social workers’ use of information and communication technology. Clinical Social</w:t>
      </w:r>
      <w:r w:rsidRPr="00082B5E">
        <w:rPr>
          <w:rFonts w:eastAsiaTheme="minorHAnsi"/>
          <w:color w:val="000000"/>
        </w:rPr>
        <w:t xml:space="preserve"> </w:t>
      </w:r>
      <w:r w:rsidRPr="00082B5E">
        <w:rPr>
          <w:rFonts w:eastAsiaTheme="minorHAnsi"/>
          <w:color w:val="000000"/>
        </w:rPr>
        <w:t>Work Journal, 49(4), 484-494.National Association of Social Workers. (2020). NASW</w:t>
      </w:r>
      <w:r w:rsidRPr="00082B5E">
        <w:rPr>
          <w:rFonts w:eastAsiaTheme="minorHAnsi"/>
          <w:color w:val="000000"/>
        </w:rPr>
        <w:t xml:space="preserve"> </w:t>
      </w:r>
      <w:r w:rsidRPr="00082B5E">
        <w:rPr>
          <w:rFonts w:eastAsiaTheme="minorHAnsi"/>
          <w:color w:val="000000"/>
        </w:rPr>
        <w:t xml:space="preserve">code of ethics. </w:t>
      </w:r>
      <w:r w:rsidRPr="00082B5E">
        <w:rPr>
          <w:rFonts w:eastAsiaTheme="minorHAnsi"/>
          <w:color w:val="000000"/>
        </w:rPr>
        <w:t xml:space="preserve"> h</w:t>
      </w:r>
      <w:r w:rsidRPr="00082B5E">
        <w:rPr>
          <w:rFonts w:eastAsiaTheme="minorHAnsi"/>
          <w:color w:val="0000FF"/>
        </w:rPr>
        <w:t>ttps://www.socialworkers.org/About/Ethics/Code-of-Ethics/Code-of-Ethics-English</w:t>
      </w:r>
    </w:p>
    <w:p w14:paraId="7AB26D3E" w14:textId="77777777" w:rsidR="00082B5E" w:rsidRPr="00082B5E" w:rsidRDefault="00082B5E" w:rsidP="00082B5E">
      <w:pPr>
        <w:widowControl/>
        <w:adjustRightInd w:val="0"/>
        <w:ind w:left="720" w:hanging="720"/>
        <w:rPr>
          <w:rFonts w:eastAsiaTheme="minorHAnsi"/>
          <w:color w:val="0000FF"/>
        </w:rPr>
      </w:pPr>
    </w:p>
    <w:p w14:paraId="1BD089D4" w14:textId="31D7B7BC" w:rsidR="00515C60" w:rsidRPr="00082B5E" w:rsidRDefault="00082B5E" w:rsidP="00082B5E">
      <w:pPr>
        <w:widowControl/>
        <w:adjustRightInd w:val="0"/>
        <w:ind w:left="720" w:hanging="720"/>
        <w:rPr>
          <w:rStyle w:val="authors"/>
        </w:rPr>
      </w:pPr>
      <w:proofErr w:type="spellStart"/>
      <w:r w:rsidRPr="00082B5E">
        <w:rPr>
          <w:rFonts w:eastAsiaTheme="minorHAnsi"/>
          <w:color w:val="000000"/>
        </w:rPr>
        <w:t>Nordesjö</w:t>
      </w:r>
      <w:proofErr w:type="spellEnd"/>
      <w:r w:rsidRPr="00082B5E">
        <w:rPr>
          <w:rFonts w:eastAsiaTheme="minorHAnsi"/>
          <w:color w:val="000000"/>
        </w:rPr>
        <w:t xml:space="preserve">, K., Scaramuzzino, G., &amp; </w:t>
      </w:r>
      <w:proofErr w:type="spellStart"/>
      <w:r w:rsidRPr="00082B5E">
        <w:rPr>
          <w:rFonts w:eastAsiaTheme="minorHAnsi"/>
          <w:color w:val="000000"/>
        </w:rPr>
        <w:t>Ulmestig</w:t>
      </w:r>
      <w:proofErr w:type="spellEnd"/>
      <w:r w:rsidRPr="00082B5E">
        <w:rPr>
          <w:rFonts w:eastAsiaTheme="minorHAnsi"/>
          <w:color w:val="000000"/>
        </w:rPr>
        <w:t>, R. (2022). The social worker-client relationship in</w:t>
      </w:r>
      <w:r w:rsidRPr="00082B5E">
        <w:rPr>
          <w:rFonts w:eastAsiaTheme="minorHAnsi"/>
          <w:color w:val="000000"/>
        </w:rPr>
        <w:t xml:space="preserve"> </w:t>
      </w:r>
      <w:r w:rsidRPr="00082B5E">
        <w:rPr>
          <w:rFonts w:eastAsiaTheme="minorHAnsi"/>
          <w:color w:val="000000"/>
        </w:rPr>
        <w:t>the digital era: a configurative literature review. European Journal of Social Work, 25(2),</w:t>
      </w:r>
      <w:r w:rsidRPr="00082B5E">
        <w:rPr>
          <w:rFonts w:eastAsiaTheme="minorHAnsi"/>
          <w:color w:val="000000"/>
        </w:rPr>
        <w:t xml:space="preserve"> </w:t>
      </w:r>
      <w:r w:rsidRPr="00082B5E">
        <w:rPr>
          <w:rFonts w:eastAsiaTheme="minorHAnsi"/>
          <w:color w:val="000000"/>
        </w:rPr>
        <w:t>303-315.</w:t>
      </w:r>
    </w:p>
    <w:p w14:paraId="662C497F" w14:textId="4C0C72F7" w:rsidR="00515C60" w:rsidRPr="00082B5E" w:rsidRDefault="00515C60" w:rsidP="00082B5E">
      <w:pPr>
        <w:widowControl/>
        <w:autoSpaceDE/>
        <w:autoSpaceDN/>
        <w:ind w:left="720" w:hanging="720"/>
        <w:rPr>
          <w:rStyle w:val="authors"/>
        </w:rPr>
      </w:pPr>
    </w:p>
    <w:p w14:paraId="14A341CE" w14:textId="23C8A348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  <w:r w:rsidRPr="00082B5E">
        <w:rPr>
          <w:rStyle w:val="authors"/>
        </w:rPr>
        <w:t xml:space="preserve">National Association of Social Workers. (2020). NASW code of ethics. </w:t>
      </w:r>
      <w:hyperlink r:id="rId7" w:history="1">
        <w:r w:rsidRPr="00082B5E">
          <w:rPr>
            <w:rStyle w:val="Hyperlink"/>
          </w:rPr>
          <w:t>https://www.socialworkers.org/About/Ethics/Code-of-Ethics/Code-of-Ethics-English</w:t>
        </w:r>
      </w:hyperlink>
    </w:p>
    <w:p w14:paraId="518E4F5F" w14:textId="632CD081" w:rsidR="00515C60" w:rsidRPr="00082B5E" w:rsidRDefault="00515C60" w:rsidP="002E56C9">
      <w:pPr>
        <w:widowControl/>
        <w:autoSpaceDE/>
        <w:autoSpaceDN/>
        <w:ind w:left="720" w:hanging="720"/>
        <w:rPr>
          <w:rStyle w:val="authors"/>
        </w:rPr>
      </w:pPr>
    </w:p>
    <w:p w14:paraId="3A8C6E0C" w14:textId="77777777" w:rsidR="00082B5E" w:rsidRPr="00082B5E" w:rsidRDefault="00515C60" w:rsidP="00082B5E">
      <w:pPr>
        <w:widowControl/>
        <w:autoSpaceDE/>
        <w:autoSpaceDN/>
        <w:ind w:left="720" w:hanging="720"/>
        <w:rPr>
          <w:rStyle w:val="authors"/>
        </w:rPr>
      </w:pPr>
      <w:proofErr w:type="spellStart"/>
      <w:r w:rsidRPr="00082B5E">
        <w:rPr>
          <w:rStyle w:val="authors"/>
        </w:rPr>
        <w:t>Pozgar</w:t>
      </w:r>
      <w:proofErr w:type="spellEnd"/>
      <w:r w:rsidRPr="00082B5E">
        <w:rPr>
          <w:rStyle w:val="authors"/>
        </w:rPr>
        <w:t>, G. D. (2019). Legal and ethical issues for health professionals. Boston: Jones and Bartlett Publishers.</w:t>
      </w:r>
      <w:r w:rsidR="00082B5E" w:rsidRPr="00082B5E">
        <w:rPr>
          <w:rStyle w:val="authors"/>
        </w:rPr>
        <w:t xml:space="preserve">  </w:t>
      </w:r>
    </w:p>
    <w:p w14:paraId="05782305" w14:textId="77777777" w:rsidR="00082B5E" w:rsidRPr="00082B5E" w:rsidRDefault="00082B5E" w:rsidP="00082B5E">
      <w:pPr>
        <w:widowControl/>
        <w:autoSpaceDE/>
        <w:autoSpaceDN/>
        <w:ind w:left="720" w:hanging="720"/>
        <w:rPr>
          <w:rStyle w:val="authors"/>
        </w:rPr>
      </w:pPr>
    </w:p>
    <w:p w14:paraId="0DBE3B8D" w14:textId="77777777" w:rsidR="00082B5E" w:rsidRPr="00082B5E" w:rsidRDefault="00082B5E" w:rsidP="00082B5E">
      <w:pPr>
        <w:widowControl/>
        <w:autoSpaceDE/>
        <w:autoSpaceDN/>
        <w:ind w:left="720" w:hanging="720"/>
        <w:rPr>
          <w:rStyle w:val="authors"/>
        </w:rPr>
      </w:pPr>
      <w:r w:rsidRPr="00082B5E">
        <w:rPr>
          <w:rStyle w:val="authors"/>
        </w:rPr>
        <w:t xml:space="preserve">Reamer, F. G. (2020). Boundary issues and dual relationships in the human services. In Boundary Issues and Dual Relationships in </w:t>
      </w:r>
      <w:proofErr w:type="gramStart"/>
      <w:r w:rsidRPr="00082B5E">
        <w:rPr>
          <w:rStyle w:val="authors"/>
        </w:rPr>
        <w:t>the Human</w:t>
      </w:r>
      <w:proofErr w:type="gramEnd"/>
      <w:r w:rsidRPr="00082B5E">
        <w:rPr>
          <w:rStyle w:val="authors"/>
        </w:rPr>
        <w:t xml:space="preserve"> Services. Columbia University Press.</w:t>
      </w:r>
    </w:p>
    <w:p w14:paraId="5491560B" w14:textId="77777777" w:rsidR="00082B5E" w:rsidRPr="00082B5E" w:rsidRDefault="00082B5E" w:rsidP="00082B5E">
      <w:pPr>
        <w:widowControl/>
        <w:autoSpaceDE/>
        <w:autoSpaceDN/>
        <w:ind w:left="720" w:hanging="720"/>
        <w:rPr>
          <w:rStyle w:val="authors"/>
        </w:rPr>
      </w:pPr>
    </w:p>
    <w:p w14:paraId="160D472F" w14:textId="3866A33E" w:rsidR="00082B5E" w:rsidRPr="00082B5E" w:rsidRDefault="00082B5E" w:rsidP="00082B5E">
      <w:pPr>
        <w:widowControl/>
        <w:autoSpaceDE/>
        <w:autoSpaceDN/>
        <w:ind w:left="720" w:hanging="720"/>
        <w:rPr>
          <w:rStyle w:val="authors"/>
        </w:rPr>
      </w:pPr>
      <w:r w:rsidRPr="00082B5E">
        <w:rPr>
          <w:rFonts w:eastAsiaTheme="minorHAnsi"/>
        </w:rPr>
        <w:t xml:space="preserve">Ricciardelli, L. A., McGarity, S., &amp; </w:t>
      </w:r>
      <w:proofErr w:type="spellStart"/>
      <w:r w:rsidRPr="00082B5E">
        <w:rPr>
          <w:rFonts w:eastAsiaTheme="minorHAnsi"/>
        </w:rPr>
        <w:t>Nackerud</w:t>
      </w:r>
      <w:proofErr w:type="spellEnd"/>
      <w:r w:rsidRPr="00082B5E">
        <w:rPr>
          <w:rFonts w:eastAsiaTheme="minorHAnsi"/>
        </w:rPr>
        <w:t>, L. (2022). Social work education and the</w:t>
      </w:r>
      <w:r w:rsidRPr="00082B5E">
        <w:rPr>
          <w:rFonts w:eastAsiaTheme="minorHAnsi"/>
        </w:rPr>
        <w:t xml:space="preserve"> </w:t>
      </w:r>
      <w:r w:rsidRPr="00082B5E">
        <w:rPr>
          <w:rFonts w:eastAsiaTheme="minorHAnsi"/>
        </w:rPr>
        <w:t>recognition of rights in the digital tech age: implications for professional identity. Social</w:t>
      </w:r>
      <w:r w:rsidRPr="00082B5E">
        <w:rPr>
          <w:rFonts w:eastAsiaTheme="minorHAnsi"/>
        </w:rPr>
        <w:t xml:space="preserve"> </w:t>
      </w:r>
      <w:r w:rsidRPr="00082B5E">
        <w:rPr>
          <w:rFonts w:eastAsiaTheme="minorHAnsi"/>
        </w:rPr>
        <w:t>Work Education, 41(1), 90-104.</w:t>
      </w:r>
    </w:p>
    <w:p w14:paraId="78486564" w14:textId="0C66ADFC" w:rsidR="00515C60" w:rsidRDefault="00515C60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p w14:paraId="01633E70" w14:textId="77777777" w:rsidR="00515C60" w:rsidRDefault="00515C60" w:rsidP="002E56C9">
      <w:pPr>
        <w:widowControl/>
        <w:autoSpaceDE/>
        <w:autoSpaceDN/>
        <w:ind w:left="720" w:hanging="720"/>
        <w:rPr>
          <w:rStyle w:val="authors"/>
          <w:b/>
          <w:bCs/>
        </w:rPr>
      </w:pPr>
    </w:p>
    <w:sectPr w:rsidR="00515C60">
      <w:type w:val="continuous"/>
      <w:pgSz w:w="12240" w:h="15840"/>
      <w:pgMar w:top="1500" w:right="132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E1BD8"/>
    <w:multiLevelType w:val="hybridMultilevel"/>
    <w:tmpl w:val="DAF20A3A"/>
    <w:lvl w:ilvl="0" w:tplc="B57E492C">
      <w:start w:val="4"/>
      <w:numFmt w:val="decimal"/>
      <w:lvlText w:val="%1."/>
      <w:lvlJc w:val="left"/>
      <w:pPr>
        <w:ind w:left="118" w:hanging="179"/>
        <w:jc w:val="left"/>
      </w:pPr>
      <w:rPr>
        <w:rFonts w:ascii="Times New Roman" w:eastAsia="Times New Roman" w:hAnsi="Times New Roman" w:cs="Times New Roman" w:hint="default"/>
        <w:color w:val="2F2A2B"/>
        <w:spacing w:val="-8"/>
        <w:w w:val="100"/>
        <w:sz w:val="21"/>
        <w:szCs w:val="21"/>
      </w:rPr>
    </w:lvl>
    <w:lvl w:ilvl="1" w:tplc="A0F6A8C8">
      <w:numFmt w:val="bullet"/>
      <w:lvlText w:val="•"/>
      <w:lvlJc w:val="left"/>
      <w:pPr>
        <w:ind w:left="1104" w:hanging="179"/>
      </w:pPr>
      <w:rPr>
        <w:rFonts w:hint="default"/>
      </w:rPr>
    </w:lvl>
    <w:lvl w:ilvl="2" w:tplc="AA04F910">
      <w:numFmt w:val="bullet"/>
      <w:lvlText w:val="•"/>
      <w:lvlJc w:val="left"/>
      <w:pPr>
        <w:ind w:left="2088" w:hanging="179"/>
      </w:pPr>
      <w:rPr>
        <w:rFonts w:hint="default"/>
      </w:rPr>
    </w:lvl>
    <w:lvl w:ilvl="3" w:tplc="91722932">
      <w:numFmt w:val="bullet"/>
      <w:lvlText w:val="•"/>
      <w:lvlJc w:val="left"/>
      <w:pPr>
        <w:ind w:left="3072" w:hanging="179"/>
      </w:pPr>
      <w:rPr>
        <w:rFonts w:hint="default"/>
      </w:rPr>
    </w:lvl>
    <w:lvl w:ilvl="4" w:tplc="A8147ECA">
      <w:numFmt w:val="bullet"/>
      <w:lvlText w:val="•"/>
      <w:lvlJc w:val="left"/>
      <w:pPr>
        <w:ind w:left="4056" w:hanging="179"/>
      </w:pPr>
      <w:rPr>
        <w:rFonts w:hint="default"/>
      </w:rPr>
    </w:lvl>
    <w:lvl w:ilvl="5" w:tplc="6A107B22">
      <w:numFmt w:val="bullet"/>
      <w:lvlText w:val="•"/>
      <w:lvlJc w:val="left"/>
      <w:pPr>
        <w:ind w:left="5040" w:hanging="179"/>
      </w:pPr>
      <w:rPr>
        <w:rFonts w:hint="default"/>
      </w:rPr>
    </w:lvl>
    <w:lvl w:ilvl="6" w:tplc="62CED5CE">
      <w:numFmt w:val="bullet"/>
      <w:lvlText w:val="•"/>
      <w:lvlJc w:val="left"/>
      <w:pPr>
        <w:ind w:left="6024" w:hanging="179"/>
      </w:pPr>
      <w:rPr>
        <w:rFonts w:hint="default"/>
      </w:rPr>
    </w:lvl>
    <w:lvl w:ilvl="7" w:tplc="FE3257EE">
      <w:numFmt w:val="bullet"/>
      <w:lvlText w:val="•"/>
      <w:lvlJc w:val="left"/>
      <w:pPr>
        <w:ind w:left="7008" w:hanging="179"/>
      </w:pPr>
      <w:rPr>
        <w:rFonts w:hint="default"/>
      </w:rPr>
    </w:lvl>
    <w:lvl w:ilvl="8" w:tplc="A588BF10">
      <w:numFmt w:val="bullet"/>
      <w:lvlText w:val="•"/>
      <w:lvlJc w:val="left"/>
      <w:pPr>
        <w:ind w:left="7992" w:hanging="179"/>
      </w:pPr>
      <w:rPr>
        <w:rFonts w:hint="default"/>
      </w:rPr>
    </w:lvl>
  </w:abstractNum>
  <w:num w:numId="1" w16cid:durableId="165166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0D"/>
    <w:rsid w:val="00002B38"/>
    <w:rsid w:val="00046288"/>
    <w:rsid w:val="00082B5E"/>
    <w:rsid w:val="000C094D"/>
    <w:rsid w:val="000C44AD"/>
    <w:rsid w:val="000C453C"/>
    <w:rsid w:val="001168C3"/>
    <w:rsid w:val="002B77AB"/>
    <w:rsid w:val="002E351F"/>
    <w:rsid w:val="002E56C9"/>
    <w:rsid w:val="00323965"/>
    <w:rsid w:val="00325BA3"/>
    <w:rsid w:val="00422C31"/>
    <w:rsid w:val="00515C60"/>
    <w:rsid w:val="00627583"/>
    <w:rsid w:val="00636162"/>
    <w:rsid w:val="00640078"/>
    <w:rsid w:val="006609FC"/>
    <w:rsid w:val="0069767D"/>
    <w:rsid w:val="00712AF8"/>
    <w:rsid w:val="007D4EE7"/>
    <w:rsid w:val="00814471"/>
    <w:rsid w:val="008E7F5D"/>
    <w:rsid w:val="00A1180D"/>
    <w:rsid w:val="00A61536"/>
    <w:rsid w:val="00AC055B"/>
    <w:rsid w:val="00B11385"/>
    <w:rsid w:val="00BA6617"/>
    <w:rsid w:val="00BE30F4"/>
    <w:rsid w:val="00CA72FB"/>
    <w:rsid w:val="00CD6F01"/>
    <w:rsid w:val="00CE5620"/>
    <w:rsid w:val="00D12DB5"/>
    <w:rsid w:val="00D6382C"/>
    <w:rsid w:val="00DC1C91"/>
    <w:rsid w:val="00DE7C3A"/>
    <w:rsid w:val="00E515BF"/>
    <w:rsid w:val="00EA34CC"/>
    <w:rsid w:val="00EA7FF6"/>
    <w:rsid w:val="00E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7110"/>
  <w15:docId w15:val="{E794AAF7-A8B4-480C-B293-AB17A714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spacing w:before="199"/>
      <w:ind w:left="119" w:hanging="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168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68C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6F01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uthors">
    <w:name w:val="authors"/>
    <w:basedOn w:val="DefaultParagraphFont"/>
    <w:rsid w:val="00DE7C3A"/>
  </w:style>
  <w:style w:type="character" w:customStyle="1" w:styleId="Date1">
    <w:name w:val="Date1"/>
    <w:basedOn w:val="DefaultParagraphFont"/>
    <w:rsid w:val="00DE7C3A"/>
  </w:style>
  <w:style w:type="character" w:customStyle="1" w:styleId="arttitle">
    <w:name w:val="art_title"/>
    <w:basedOn w:val="DefaultParagraphFont"/>
    <w:rsid w:val="00DE7C3A"/>
  </w:style>
  <w:style w:type="character" w:customStyle="1" w:styleId="serialtitle">
    <w:name w:val="serial_title"/>
    <w:basedOn w:val="DefaultParagraphFont"/>
    <w:rsid w:val="00DE7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ers.org/About/Ethics/Code-of-Ethics/Code-of-Ethics-Englis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unseling.org/docs/default-source/default-document-library/2014-code-of-ethics-finaladdress.pdf" TargetMode="External"/><Relationship Id="rId5" Type="http://schemas.openxmlformats.org/officeDocument/2006/relationships/hyperlink" Target="https://www.apa.org/ethics/co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Attention Deficit Hyperactivity and Misconceptions about Treatments revised - ACFrOgCIcQXMKjWSAef-auG3W6tr1GQX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Attention Deficit Hyperactivity and Misconceptions about Treatments revised - ACFrOgCIcQXMKjWSAef-auG3W6tr1GQX</dc:title>
  <dc:creator>Hi ho Hi ho</dc:creator>
  <cp:lastModifiedBy>Sandi Cardaman</cp:lastModifiedBy>
  <cp:revision>3</cp:revision>
  <dcterms:created xsi:type="dcterms:W3CDTF">2022-12-15T19:15:00Z</dcterms:created>
  <dcterms:modified xsi:type="dcterms:W3CDTF">2023-05-11T15:58:00Z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2020-08-05T00:00:00Z</vt:filetime>
  </property>
</Properties>
</file>