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2AC80B" w14:textId="77777777" w:rsidR="00A1180D" w:rsidRDefault="00A1180D">
      <w:pPr>
        <w:pStyle w:val="BodyText"/>
        <w:rPr>
          <w:sz w:val="20"/>
        </w:rPr>
      </w:pPr>
    </w:p>
    <w:p w14:paraId="674921D7" w14:textId="77777777" w:rsidR="00A1180D" w:rsidRDefault="00A1180D">
      <w:pPr>
        <w:pStyle w:val="BodyText"/>
        <w:rPr>
          <w:sz w:val="20"/>
        </w:rPr>
      </w:pPr>
    </w:p>
    <w:p w14:paraId="7BA418C2" w14:textId="77777777" w:rsidR="00A1180D" w:rsidRDefault="00A1180D">
      <w:pPr>
        <w:pStyle w:val="BodyText"/>
        <w:spacing w:before="4"/>
        <w:rPr>
          <w:sz w:val="16"/>
        </w:rPr>
      </w:pPr>
    </w:p>
    <w:p w14:paraId="3391B323" w14:textId="250EC5FD" w:rsidR="00325BA3" w:rsidRPr="00712AF8" w:rsidRDefault="00CA72FB" w:rsidP="00712AF8">
      <w:pPr>
        <w:jc w:val="center"/>
        <w:rPr>
          <w:rFonts w:asciiTheme="majorBidi" w:hAnsiTheme="majorBidi" w:cstheme="majorBidi"/>
          <w:sz w:val="52"/>
          <w:szCs w:val="52"/>
        </w:rPr>
      </w:pPr>
      <w:r w:rsidRPr="00712AF8">
        <w:rPr>
          <w:color w:val="2F2A2B"/>
          <w:w w:val="105"/>
          <w:sz w:val="52"/>
          <w:szCs w:val="52"/>
        </w:rPr>
        <w:t>References</w:t>
      </w:r>
    </w:p>
    <w:p w14:paraId="710CD3AE" w14:textId="1421A91C" w:rsidR="00DC1C91" w:rsidRPr="00323965" w:rsidRDefault="00DC1C91" w:rsidP="00DC1C91">
      <w:pPr>
        <w:widowControl/>
        <w:autoSpaceDE/>
        <w:autoSpaceDN/>
      </w:pPr>
    </w:p>
    <w:p w14:paraId="4266A564" w14:textId="76E3BDF3" w:rsidR="00B239BE" w:rsidRDefault="00B239BE" w:rsidP="00BE2470">
      <w:pPr>
        <w:widowControl/>
        <w:autoSpaceDE/>
        <w:autoSpaceDN/>
        <w:ind w:left="720" w:hanging="720"/>
        <w:rPr>
          <w:rStyle w:val="authors"/>
          <w:b/>
          <w:bCs/>
        </w:rPr>
      </w:pPr>
    </w:p>
    <w:p w14:paraId="19FAFE34" w14:textId="38E31686" w:rsidR="00B239BE" w:rsidRDefault="00B239BE" w:rsidP="00BE2470">
      <w:pPr>
        <w:widowControl/>
        <w:autoSpaceDE/>
        <w:autoSpaceDN/>
        <w:ind w:left="720" w:hanging="720"/>
        <w:rPr>
          <w:rStyle w:val="authors"/>
          <w:b/>
          <w:bCs/>
        </w:rPr>
      </w:pPr>
      <w:r w:rsidRPr="00B239BE">
        <w:rPr>
          <w:rStyle w:val="authors"/>
          <w:b/>
          <w:bCs/>
        </w:rPr>
        <w:t>Celenza, A. (2007). Sexual boundary violations: Therapeutic, supervisory, and academic contexts. Jason Aronson.</w:t>
      </w:r>
    </w:p>
    <w:p w14:paraId="60AADD11" w14:textId="77777777" w:rsidR="00455DFB" w:rsidRPr="00455DFB" w:rsidRDefault="00455DFB" w:rsidP="00455DFB">
      <w:pPr>
        <w:widowControl/>
        <w:autoSpaceDE/>
        <w:autoSpaceDN/>
        <w:rPr>
          <w:b/>
          <w:bCs/>
        </w:rPr>
      </w:pPr>
      <w:r w:rsidRPr="00455DFB">
        <w:rPr>
          <w:b/>
          <w:bCs/>
        </w:rPr>
        <w:t> </w:t>
      </w:r>
    </w:p>
    <w:p w14:paraId="15EFB3D0" w14:textId="77777777" w:rsidR="00455DFB" w:rsidRPr="00455DFB" w:rsidRDefault="00455DFB" w:rsidP="00455DFB">
      <w:pPr>
        <w:widowControl/>
        <w:autoSpaceDE/>
        <w:autoSpaceDN/>
        <w:rPr>
          <w:b/>
          <w:bCs/>
        </w:rPr>
      </w:pPr>
      <w:r w:rsidRPr="00455DFB">
        <w:rPr>
          <w:b/>
          <w:bCs/>
        </w:rPr>
        <w:t>Gutheil, T., &amp; Brodsky, A. (2008). Preventing boundary violations in clinical practice. Guilford.</w:t>
      </w:r>
    </w:p>
    <w:p w14:paraId="27D1F5DA" w14:textId="77777777" w:rsidR="00455DFB" w:rsidRPr="00455DFB" w:rsidRDefault="00455DFB" w:rsidP="00455DFB">
      <w:pPr>
        <w:widowControl/>
        <w:autoSpaceDE/>
        <w:autoSpaceDN/>
        <w:rPr>
          <w:b/>
          <w:bCs/>
        </w:rPr>
      </w:pPr>
      <w:r w:rsidRPr="00455DFB">
        <w:rPr>
          <w:b/>
          <w:bCs/>
        </w:rPr>
        <w:t> </w:t>
      </w:r>
    </w:p>
    <w:p w14:paraId="3CD16404" w14:textId="77777777" w:rsidR="00455DFB" w:rsidRPr="00455DFB" w:rsidRDefault="00455DFB" w:rsidP="00455DFB">
      <w:pPr>
        <w:widowControl/>
        <w:autoSpaceDE/>
        <w:autoSpaceDN/>
        <w:rPr>
          <w:b/>
          <w:bCs/>
        </w:rPr>
      </w:pPr>
      <w:r w:rsidRPr="00455DFB">
        <w:rPr>
          <w:b/>
          <w:bCs/>
        </w:rPr>
        <w:t>Reamer, F. (2021). Boundary and dual relationship issues in the human services (3rd ed.). Columbia University Press.</w:t>
      </w:r>
    </w:p>
    <w:p w14:paraId="47F6D3A8" w14:textId="77777777" w:rsidR="00455DFB" w:rsidRPr="00455DFB" w:rsidRDefault="00455DFB" w:rsidP="00455DFB">
      <w:pPr>
        <w:widowControl/>
        <w:autoSpaceDE/>
        <w:autoSpaceDN/>
        <w:rPr>
          <w:b/>
          <w:bCs/>
        </w:rPr>
      </w:pPr>
      <w:r w:rsidRPr="00455DFB">
        <w:rPr>
          <w:b/>
          <w:bCs/>
        </w:rPr>
        <w:t> </w:t>
      </w:r>
    </w:p>
    <w:p w14:paraId="6322A494" w14:textId="77777777" w:rsidR="00455DFB" w:rsidRPr="00455DFB" w:rsidRDefault="00455DFB" w:rsidP="00455DFB">
      <w:pPr>
        <w:widowControl/>
        <w:autoSpaceDE/>
        <w:autoSpaceDN/>
        <w:rPr>
          <w:b/>
          <w:bCs/>
        </w:rPr>
      </w:pPr>
      <w:r w:rsidRPr="00455DFB">
        <w:rPr>
          <w:b/>
          <w:bCs/>
        </w:rPr>
        <w:t>Reamer, F. (2023). Ethical standards in social work: A review of the NASW Code of Ethics (rev. 3rd ed.). NASW Press.</w:t>
      </w:r>
    </w:p>
    <w:p w14:paraId="4310A5B8" w14:textId="77777777" w:rsidR="00455DFB" w:rsidRPr="00455DFB" w:rsidRDefault="00455DFB" w:rsidP="00455DFB">
      <w:pPr>
        <w:widowControl/>
        <w:autoSpaceDE/>
        <w:autoSpaceDN/>
        <w:rPr>
          <w:b/>
          <w:bCs/>
        </w:rPr>
      </w:pPr>
      <w:r w:rsidRPr="00455DFB">
        <w:rPr>
          <w:b/>
          <w:bCs/>
        </w:rPr>
        <w:t> </w:t>
      </w:r>
    </w:p>
    <w:p w14:paraId="70B26985" w14:textId="77777777" w:rsidR="00455DFB" w:rsidRPr="00455DFB" w:rsidRDefault="00455DFB" w:rsidP="00455DFB">
      <w:pPr>
        <w:widowControl/>
        <w:autoSpaceDE/>
        <w:autoSpaceDN/>
        <w:rPr>
          <w:b/>
          <w:bCs/>
        </w:rPr>
      </w:pPr>
      <w:r w:rsidRPr="00455DFB">
        <w:rPr>
          <w:b/>
          <w:bCs/>
        </w:rPr>
        <w:t>Reamer, F. (2024). The social work ethics casebook: Cases and commentary (rev. 3rd ed.). NASW Press.</w:t>
      </w:r>
    </w:p>
    <w:p w14:paraId="0786FFD1" w14:textId="77777777" w:rsidR="00455DFB" w:rsidRPr="00455DFB" w:rsidRDefault="00455DFB" w:rsidP="00455DFB">
      <w:pPr>
        <w:widowControl/>
        <w:autoSpaceDE/>
        <w:autoSpaceDN/>
        <w:rPr>
          <w:b/>
          <w:bCs/>
        </w:rPr>
      </w:pPr>
      <w:r w:rsidRPr="00455DFB">
        <w:rPr>
          <w:b/>
          <w:bCs/>
        </w:rPr>
        <w:t> </w:t>
      </w:r>
    </w:p>
    <w:p w14:paraId="6110A900" w14:textId="77777777" w:rsidR="00455DFB" w:rsidRPr="00455DFB" w:rsidRDefault="00455DFB" w:rsidP="00455DFB">
      <w:pPr>
        <w:widowControl/>
        <w:autoSpaceDE/>
        <w:autoSpaceDN/>
        <w:rPr>
          <w:b/>
          <w:bCs/>
        </w:rPr>
      </w:pPr>
      <w:r w:rsidRPr="00455DFB">
        <w:rPr>
          <w:b/>
          <w:bCs/>
        </w:rPr>
        <w:t>Reamer, F. (2024). Social work values and ethics (6th ed.). Columbia University Press.</w:t>
      </w:r>
    </w:p>
    <w:p w14:paraId="5730480E" w14:textId="77777777" w:rsidR="00455DFB" w:rsidRPr="00455DFB" w:rsidRDefault="00455DFB" w:rsidP="00455DFB">
      <w:pPr>
        <w:widowControl/>
        <w:autoSpaceDE/>
        <w:autoSpaceDN/>
        <w:rPr>
          <w:b/>
          <w:bCs/>
        </w:rPr>
      </w:pPr>
      <w:r w:rsidRPr="00455DFB">
        <w:rPr>
          <w:b/>
          <w:bCs/>
        </w:rPr>
        <w:t>  </w:t>
      </w:r>
    </w:p>
    <w:p w14:paraId="72491FDE" w14:textId="77777777" w:rsidR="00455DFB" w:rsidRPr="00455DFB" w:rsidRDefault="00455DFB" w:rsidP="00455DFB">
      <w:pPr>
        <w:widowControl/>
        <w:autoSpaceDE/>
        <w:autoSpaceDN/>
        <w:rPr>
          <w:b/>
          <w:bCs/>
        </w:rPr>
      </w:pPr>
      <w:r w:rsidRPr="00455DFB">
        <w:rPr>
          <w:b/>
          <w:bCs/>
        </w:rPr>
        <w:t>Reamer, F. (2023). Risk management in the behavioral health professions: A practical guide to preventing malpractice and licensing-board complaints. Columbia University Press.</w:t>
      </w:r>
    </w:p>
    <w:p w14:paraId="7A587F3B" w14:textId="77777777" w:rsidR="00455DFB" w:rsidRPr="00455DFB" w:rsidRDefault="00455DFB" w:rsidP="00455DFB">
      <w:pPr>
        <w:widowControl/>
        <w:autoSpaceDE/>
        <w:autoSpaceDN/>
        <w:rPr>
          <w:b/>
          <w:bCs/>
        </w:rPr>
      </w:pPr>
      <w:r w:rsidRPr="00455DFB">
        <w:rPr>
          <w:b/>
          <w:bCs/>
        </w:rPr>
        <w:t> </w:t>
      </w:r>
    </w:p>
    <w:p w14:paraId="3015F6BE" w14:textId="77777777" w:rsidR="00455DFB" w:rsidRPr="00455DFB" w:rsidRDefault="00455DFB" w:rsidP="00455DFB">
      <w:pPr>
        <w:widowControl/>
        <w:autoSpaceDE/>
        <w:autoSpaceDN/>
        <w:rPr>
          <w:b/>
          <w:bCs/>
        </w:rPr>
      </w:pPr>
      <w:r w:rsidRPr="00455DFB">
        <w:rPr>
          <w:b/>
          <w:bCs/>
        </w:rPr>
        <w:t>Steinberg, L., Alpert, J., &amp; Courtois, C., Eds. (2021). Sexual boundary violations in psychotherapy. American Psychological Association.</w:t>
      </w:r>
    </w:p>
    <w:p w14:paraId="55A797B0" w14:textId="77777777" w:rsidR="00455DFB" w:rsidRPr="00455DFB" w:rsidRDefault="00455DFB" w:rsidP="00455DFB">
      <w:pPr>
        <w:widowControl/>
        <w:autoSpaceDE/>
        <w:autoSpaceDN/>
        <w:rPr>
          <w:b/>
          <w:bCs/>
        </w:rPr>
      </w:pPr>
      <w:r w:rsidRPr="00455DFB">
        <w:rPr>
          <w:b/>
          <w:bCs/>
        </w:rPr>
        <w:t> </w:t>
      </w:r>
    </w:p>
    <w:p w14:paraId="19730B6A" w14:textId="77777777" w:rsidR="00455DFB" w:rsidRPr="00455DFB" w:rsidRDefault="00455DFB" w:rsidP="00455DFB">
      <w:pPr>
        <w:widowControl/>
        <w:autoSpaceDE/>
        <w:autoSpaceDN/>
        <w:rPr>
          <w:b/>
          <w:bCs/>
        </w:rPr>
      </w:pPr>
      <w:r w:rsidRPr="00455DFB">
        <w:rPr>
          <w:b/>
          <w:bCs/>
        </w:rPr>
        <w:t>Zur, O. (Ed.). (2016). Multiple relationships in psychotherapy and counseling: Unavoidable, common, and mandatory dual relations in therapy. Taylor &amp; Francis.</w:t>
      </w:r>
    </w:p>
    <w:p w14:paraId="1CBCA5A4" w14:textId="0C2B4ADD" w:rsidR="00B239BE" w:rsidRDefault="00B239BE" w:rsidP="00B239BE">
      <w:pPr>
        <w:widowControl/>
        <w:autoSpaceDE/>
        <w:autoSpaceDN/>
        <w:rPr>
          <w:rStyle w:val="authors"/>
          <w:b/>
          <w:bCs/>
        </w:rPr>
      </w:pPr>
    </w:p>
    <w:sectPr w:rsidR="00B239BE">
      <w:type w:val="continuous"/>
      <w:pgSz w:w="12240" w:h="15840"/>
      <w:pgMar w:top="1500" w:right="13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0E1BD8"/>
    <w:multiLevelType w:val="hybridMultilevel"/>
    <w:tmpl w:val="DAF20A3A"/>
    <w:lvl w:ilvl="0" w:tplc="B57E492C">
      <w:start w:val="4"/>
      <w:numFmt w:val="decimal"/>
      <w:lvlText w:val="%1."/>
      <w:lvlJc w:val="left"/>
      <w:pPr>
        <w:ind w:left="118" w:hanging="179"/>
        <w:jc w:val="left"/>
      </w:pPr>
      <w:rPr>
        <w:rFonts w:ascii="Times New Roman" w:eastAsia="Times New Roman" w:hAnsi="Times New Roman" w:cs="Times New Roman" w:hint="default"/>
        <w:color w:val="2F2A2B"/>
        <w:spacing w:val="-8"/>
        <w:w w:val="100"/>
        <w:sz w:val="21"/>
        <w:szCs w:val="21"/>
      </w:rPr>
    </w:lvl>
    <w:lvl w:ilvl="1" w:tplc="A0F6A8C8">
      <w:numFmt w:val="bullet"/>
      <w:lvlText w:val="•"/>
      <w:lvlJc w:val="left"/>
      <w:pPr>
        <w:ind w:left="1104" w:hanging="179"/>
      </w:pPr>
      <w:rPr>
        <w:rFonts w:hint="default"/>
      </w:rPr>
    </w:lvl>
    <w:lvl w:ilvl="2" w:tplc="AA04F910">
      <w:numFmt w:val="bullet"/>
      <w:lvlText w:val="•"/>
      <w:lvlJc w:val="left"/>
      <w:pPr>
        <w:ind w:left="2088" w:hanging="179"/>
      </w:pPr>
      <w:rPr>
        <w:rFonts w:hint="default"/>
      </w:rPr>
    </w:lvl>
    <w:lvl w:ilvl="3" w:tplc="91722932">
      <w:numFmt w:val="bullet"/>
      <w:lvlText w:val="•"/>
      <w:lvlJc w:val="left"/>
      <w:pPr>
        <w:ind w:left="3072" w:hanging="179"/>
      </w:pPr>
      <w:rPr>
        <w:rFonts w:hint="default"/>
      </w:rPr>
    </w:lvl>
    <w:lvl w:ilvl="4" w:tplc="A8147ECA">
      <w:numFmt w:val="bullet"/>
      <w:lvlText w:val="•"/>
      <w:lvlJc w:val="left"/>
      <w:pPr>
        <w:ind w:left="4056" w:hanging="179"/>
      </w:pPr>
      <w:rPr>
        <w:rFonts w:hint="default"/>
      </w:rPr>
    </w:lvl>
    <w:lvl w:ilvl="5" w:tplc="6A107B22">
      <w:numFmt w:val="bullet"/>
      <w:lvlText w:val="•"/>
      <w:lvlJc w:val="left"/>
      <w:pPr>
        <w:ind w:left="5040" w:hanging="179"/>
      </w:pPr>
      <w:rPr>
        <w:rFonts w:hint="default"/>
      </w:rPr>
    </w:lvl>
    <w:lvl w:ilvl="6" w:tplc="62CED5CE">
      <w:numFmt w:val="bullet"/>
      <w:lvlText w:val="•"/>
      <w:lvlJc w:val="left"/>
      <w:pPr>
        <w:ind w:left="6024" w:hanging="179"/>
      </w:pPr>
      <w:rPr>
        <w:rFonts w:hint="default"/>
      </w:rPr>
    </w:lvl>
    <w:lvl w:ilvl="7" w:tplc="FE3257EE">
      <w:numFmt w:val="bullet"/>
      <w:lvlText w:val="•"/>
      <w:lvlJc w:val="left"/>
      <w:pPr>
        <w:ind w:left="7008" w:hanging="179"/>
      </w:pPr>
      <w:rPr>
        <w:rFonts w:hint="default"/>
      </w:rPr>
    </w:lvl>
    <w:lvl w:ilvl="8" w:tplc="A588BF10">
      <w:numFmt w:val="bullet"/>
      <w:lvlText w:val="•"/>
      <w:lvlJc w:val="left"/>
      <w:pPr>
        <w:ind w:left="7992" w:hanging="179"/>
      </w:pPr>
      <w:rPr>
        <w:rFonts w:hint="default"/>
      </w:rPr>
    </w:lvl>
  </w:abstractNum>
  <w:num w:numId="1" w16cid:durableId="1651667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80D"/>
    <w:rsid w:val="00002B38"/>
    <w:rsid w:val="00046288"/>
    <w:rsid w:val="000C094D"/>
    <w:rsid w:val="000C44AD"/>
    <w:rsid w:val="000C453C"/>
    <w:rsid w:val="00111496"/>
    <w:rsid w:val="001168C3"/>
    <w:rsid w:val="002B77AB"/>
    <w:rsid w:val="002E351F"/>
    <w:rsid w:val="002E56C9"/>
    <w:rsid w:val="00323965"/>
    <w:rsid w:val="00325BA3"/>
    <w:rsid w:val="00352928"/>
    <w:rsid w:val="00422C31"/>
    <w:rsid w:val="00455DFB"/>
    <w:rsid w:val="00515C60"/>
    <w:rsid w:val="00627583"/>
    <w:rsid w:val="00636162"/>
    <w:rsid w:val="00640078"/>
    <w:rsid w:val="006609FC"/>
    <w:rsid w:val="0069767D"/>
    <w:rsid w:val="00712AF8"/>
    <w:rsid w:val="007D4EE7"/>
    <w:rsid w:val="00814471"/>
    <w:rsid w:val="008E7F5D"/>
    <w:rsid w:val="00930A30"/>
    <w:rsid w:val="00A1180D"/>
    <w:rsid w:val="00A61536"/>
    <w:rsid w:val="00AC055B"/>
    <w:rsid w:val="00B11385"/>
    <w:rsid w:val="00B239BE"/>
    <w:rsid w:val="00BA6617"/>
    <w:rsid w:val="00BE2470"/>
    <w:rsid w:val="00BE30F4"/>
    <w:rsid w:val="00C93208"/>
    <w:rsid w:val="00CA72FB"/>
    <w:rsid w:val="00CD6F01"/>
    <w:rsid w:val="00CE5620"/>
    <w:rsid w:val="00D12DB5"/>
    <w:rsid w:val="00D57517"/>
    <w:rsid w:val="00D6382C"/>
    <w:rsid w:val="00DB7DDA"/>
    <w:rsid w:val="00DC1C91"/>
    <w:rsid w:val="00DE7C3A"/>
    <w:rsid w:val="00E515BF"/>
    <w:rsid w:val="00EA34CC"/>
    <w:rsid w:val="00EA7FF6"/>
    <w:rsid w:val="00EC7A6D"/>
    <w:rsid w:val="00F6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B7110"/>
  <w15:docId w15:val="{E794AAF7-A8B4-480C-B293-AB17A7149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199"/>
      <w:ind w:left="119" w:hanging="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168C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68C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D6F01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uthors">
    <w:name w:val="authors"/>
    <w:basedOn w:val="DefaultParagraphFont"/>
    <w:rsid w:val="00DE7C3A"/>
  </w:style>
  <w:style w:type="character" w:customStyle="1" w:styleId="Date1">
    <w:name w:val="Date1"/>
    <w:basedOn w:val="DefaultParagraphFont"/>
    <w:rsid w:val="00DE7C3A"/>
  </w:style>
  <w:style w:type="character" w:customStyle="1" w:styleId="arttitle">
    <w:name w:val="art_title"/>
    <w:basedOn w:val="DefaultParagraphFont"/>
    <w:rsid w:val="00DE7C3A"/>
  </w:style>
  <w:style w:type="character" w:customStyle="1" w:styleId="serialtitle">
    <w:name w:val="serial_title"/>
    <w:basedOn w:val="DefaultParagraphFont"/>
    <w:rsid w:val="00DE7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6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284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74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36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29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8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890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090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34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96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15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46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41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7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75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933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24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6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8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2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14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4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20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04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67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59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97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60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190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56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973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43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48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87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8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047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00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Attention Deficit Hyperactivity and Misconceptions about Treatments revised - ACFrOgCIcQXMKjWSAef-auG3W6tr1GQX</vt:lpstr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Attention Deficit Hyperactivity and Misconceptions about Treatments revised - ACFrOgCIcQXMKjWSAef-auG3W6tr1GQX</dc:title>
  <dc:creator>Hi ho Hi ho</dc:creator>
  <cp:lastModifiedBy>Sandi Cardaman</cp:lastModifiedBy>
  <cp:revision>4</cp:revision>
  <dcterms:created xsi:type="dcterms:W3CDTF">2022-12-15T22:59:00Z</dcterms:created>
  <dcterms:modified xsi:type="dcterms:W3CDTF">2024-12-18T20:24:00Z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2020-08-05T00:00:00Z</vt:filetime>
  </property>
</Properties>
</file>