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54C0EA01" w14:textId="77777777" w:rsidR="00110CF8" w:rsidRDefault="00110CF8" w:rsidP="00EE625C">
      <w:pPr>
        <w:widowControl/>
        <w:autoSpaceDE/>
        <w:autoSpaceDN/>
        <w:ind w:left="720" w:hanging="720"/>
        <w:rPr>
          <w:rStyle w:val="authors"/>
        </w:rPr>
      </w:pPr>
    </w:p>
    <w:p w14:paraId="38CE18E1" w14:textId="77777777" w:rsidR="006F486F" w:rsidRDefault="006F486F" w:rsidP="00EE625C">
      <w:pPr>
        <w:widowControl/>
        <w:autoSpaceDE/>
        <w:autoSpaceDN/>
        <w:ind w:left="720" w:hanging="720"/>
        <w:rPr>
          <w:rStyle w:val="authors"/>
        </w:rPr>
      </w:pPr>
    </w:p>
    <w:p w14:paraId="3DAD4B56" w14:textId="43CB3E4E" w:rsidR="00764170" w:rsidRPr="00764170" w:rsidRDefault="00764170" w:rsidP="00764170">
      <w:pPr>
        <w:widowControl/>
        <w:autoSpaceDE/>
        <w:autoSpaceDN/>
        <w:ind w:left="720" w:hanging="720"/>
        <w:rPr>
          <w:b/>
          <w:bCs/>
        </w:rPr>
      </w:pPr>
      <w:r>
        <w:rPr>
          <w:rStyle w:val="authors"/>
        </w:rPr>
        <w:t xml:space="preserve">Adams, K. (1990) </w:t>
      </w:r>
      <w:r w:rsidRPr="00764170">
        <w:rPr>
          <w:i/>
          <w:iCs/>
        </w:rPr>
        <w:t>Journal to the Self: Twenty-Two Paths to Personal Growth - Open the Door to Self-Understanding by Writing, Reading, and Creating a Journal of Your Life.</w:t>
      </w:r>
      <w:r>
        <w:rPr>
          <w:b/>
          <w:bCs/>
        </w:rPr>
        <w:t xml:space="preserve"> </w:t>
      </w:r>
      <w:r w:rsidRPr="00764170">
        <w:rPr>
          <w:b/>
          <w:bCs/>
        </w:rPr>
        <w:t xml:space="preserve">‎ </w:t>
      </w:r>
      <w:r w:rsidRPr="00764170">
        <w:t>Grand Central Publishing</w:t>
      </w:r>
    </w:p>
    <w:p w14:paraId="264270D9" w14:textId="3C3008E5" w:rsidR="00764170" w:rsidRDefault="00764170" w:rsidP="00EE625C">
      <w:pPr>
        <w:widowControl/>
        <w:autoSpaceDE/>
        <w:autoSpaceDN/>
        <w:ind w:left="720" w:hanging="720"/>
        <w:rPr>
          <w:rStyle w:val="authors"/>
        </w:rPr>
      </w:pPr>
    </w:p>
    <w:p w14:paraId="4739E43B" w14:textId="29132490" w:rsidR="00764170" w:rsidRDefault="00764170" w:rsidP="00764170">
      <w:pPr>
        <w:widowControl/>
        <w:autoSpaceDE/>
        <w:autoSpaceDN/>
        <w:ind w:left="720" w:hanging="720"/>
      </w:pPr>
      <w:r w:rsidRPr="00764170">
        <w:t xml:space="preserve">Baikie, K. A., &amp; Wilhelm, K. (2005). Emotional and physical health benefits of expressive writing. </w:t>
      </w:r>
      <w:r w:rsidRPr="00764170">
        <w:rPr>
          <w:i/>
          <w:iCs/>
        </w:rPr>
        <w:t>Advances in Psychiatric Treatment</w:t>
      </w:r>
      <w:r w:rsidRPr="00764170">
        <w:t xml:space="preserve">, </w:t>
      </w:r>
      <w:r w:rsidRPr="00764170">
        <w:rPr>
          <w:i/>
          <w:iCs/>
        </w:rPr>
        <w:t>11</w:t>
      </w:r>
      <w:r w:rsidRPr="00764170">
        <w:t xml:space="preserve">(5), 338–346. doi:10.1192/apt.11.5.338 </w:t>
      </w:r>
    </w:p>
    <w:p w14:paraId="70E2E6D5" w14:textId="77777777" w:rsidR="004918DB" w:rsidRDefault="004918DB" w:rsidP="00764170">
      <w:pPr>
        <w:widowControl/>
        <w:autoSpaceDE/>
        <w:autoSpaceDN/>
        <w:ind w:left="720" w:hanging="720"/>
      </w:pPr>
    </w:p>
    <w:p w14:paraId="65ACD67A" w14:textId="73896F17" w:rsidR="004918DB" w:rsidRDefault="004918DB" w:rsidP="00764170">
      <w:pPr>
        <w:widowControl/>
        <w:autoSpaceDE/>
        <w:autoSpaceDN/>
        <w:ind w:left="720" w:hanging="720"/>
      </w:pPr>
      <w:r w:rsidRPr="004918DB">
        <w:t>Chu, Qiao &amp; Wong, Celia &amp; Lu, Qian. (2019). Acculturation Moderates the Effects of Expressive Writing on Post-Traumatic Stress Symptoms Among Chinese American Breast Cancer Survivors. International Journal of Behavioral Medicine. 26. 10.1007/s12529-019-09769-4.</w:t>
      </w:r>
    </w:p>
    <w:p w14:paraId="043BEEC0" w14:textId="77777777" w:rsidR="004918DB" w:rsidRDefault="004918DB" w:rsidP="00764170">
      <w:pPr>
        <w:widowControl/>
        <w:autoSpaceDE/>
        <w:autoSpaceDN/>
        <w:ind w:left="720" w:hanging="720"/>
      </w:pPr>
    </w:p>
    <w:p w14:paraId="74E711D0" w14:textId="77777777" w:rsidR="004918DB" w:rsidRPr="004918DB" w:rsidRDefault="004918DB" w:rsidP="004918DB">
      <w:pPr>
        <w:widowControl/>
        <w:autoSpaceDE/>
        <w:autoSpaceDN/>
        <w:ind w:left="720" w:hanging="720"/>
      </w:pPr>
      <w:r w:rsidRPr="004918DB">
        <w:t xml:space="preserve">From My Perspective/Opinion: Reflective Journaling as a Clinical Training Tool. (2023). </w:t>
      </w:r>
      <w:r w:rsidRPr="004918DB">
        <w:rPr>
          <w:i/>
          <w:iCs/>
        </w:rPr>
        <w:t>Default Digital Object Group</w:t>
      </w:r>
      <w:r w:rsidRPr="004918DB">
        <w:t>. https://doi.org/10.1044/leader.fmp.28032023.minority-student-recruitment.10</w:t>
      </w:r>
    </w:p>
    <w:p w14:paraId="5FA34402" w14:textId="77777777" w:rsidR="004918DB" w:rsidRPr="004918DB" w:rsidRDefault="004918DB" w:rsidP="004918DB">
      <w:pPr>
        <w:widowControl/>
        <w:autoSpaceDE/>
        <w:autoSpaceDN/>
        <w:ind w:left="720" w:hanging="720"/>
      </w:pPr>
      <w:r w:rsidRPr="004918DB">
        <w:t>‌</w:t>
      </w:r>
    </w:p>
    <w:p w14:paraId="4519D328" w14:textId="6332BD90" w:rsidR="004918DB" w:rsidRPr="00764170" w:rsidRDefault="004918DB" w:rsidP="00764170">
      <w:pPr>
        <w:widowControl/>
        <w:autoSpaceDE/>
        <w:autoSpaceDN/>
        <w:ind w:left="720" w:hanging="720"/>
      </w:pPr>
      <w:r>
        <w:t>Koziol, C. (2021). Journaling’s Impact on Mental Health.  UWL Journal of Undergraduate Research XXIV</w:t>
      </w:r>
    </w:p>
    <w:p w14:paraId="5C8A4C24" w14:textId="77777777" w:rsidR="00764170" w:rsidRDefault="00764170" w:rsidP="00EE625C">
      <w:pPr>
        <w:widowControl/>
        <w:autoSpaceDE/>
        <w:autoSpaceDN/>
        <w:ind w:left="720" w:hanging="720"/>
        <w:rPr>
          <w:rStyle w:val="authors"/>
        </w:rPr>
      </w:pPr>
    </w:p>
    <w:p w14:paraId="64837A6B" w14:textId="5C62EC54" w:rsidR="00764170" w:rsidRPr="00764170" w:rsidRDefault="00764170" w:rsidP="00764170">
      <w:pPr>
        <w:widowControl/>
        <w:autoSpaceDE/>
        <w:autoSpaceDN/>
        <w:ind w:left="720" w:hanging="720"/>
      </w:pPr>
      <w:r w:rsidRPr="00764170">
        <w:t>Koopman C, Ismailji T, Holmes D, Classen CC, Palesh O, Wales T.</w:t>
      </w:r>
      <w:r w:rsidR="009B0038">
        <w:t xml:space="preserve"> (2005).</w:t>
      </w:r>
      <w:r w:rsidRPr="00764170">
        <w:t xml:space="preserve"> The effects of expressive writing on pain, depression and posttraumatic stress disorder symptoms in survivors of intimate partner violence. J Health Psychol. Mar;10(2):211-21. doi: 10.1177/1359105305049769. PMID: 15723891.</w:t>
      </w:r>
    </w:p>
    <w:p w14:paraId="2AD5BB69" w14:textId="77777777" w:rsidR="00764170" w:rsidRDefault="00764170" w:rsidP="00EE625C">
      <w:pPr>
        <w:widowControl/>
        <w:autoSpaceDE/>
        <w:autoSpaceDN/>
        <w:ind w:left="720" w:hanging="720"/>
        <w:rPr>
          <w:rStyle w:val="authors"/>
        </w:rPr>
      </w:pPr>
    </w:p>
    <w:p w14:paraId="5D0552F1" w14:textId="51B9C051" w:rsidR="00764170" w:rsidRDefault="00764170" w:rsidP="00EE625C">
      <w:pPr>
        <w:widowControl/>
        <w:autoSpaceDE/>
        <w:autoSpaceDN/>
        <w:ind w:left="720" w:hanging="720"/>
        <w:rPr>
          <w:rStyle w:val="authors"/>
        </w:rPr>
      </w:pPr>
      <w:r w:rsidRPr="00764170">
        <w:rPr>
          <w:rStyle w:val="authors"/>
        </w:rPr>
        <w:t>Lu, Qian &amp; Wong, Celia &amp; Gallagher, Matthew &amp; Tou, Reese &amp; Young, Lucy &amp; Loh, Alice. (2016). Expressive Writing Among Chinese American Breast Cancer Survivors: A Randomized Controlled Trial. Health Psychology. 36. 10.1037/hea0000449.</w:t>
      </w:r>
    </w:p>
    <w:p w14:paraId="5BC6C007" w14:textId="77777777" w:rsidR="004918DB" w:rsidRDefault="004918DB" w:rsidP="00EE625C">
      <w:pPr>
        <w:widowControl/>
        <w:autoSpaceDE/>
        <w:autoSpaceDN/>
        <w:ind w:left="720" w:hanging="720"/>
        <w:rPr>
          <w:rStyle w:val="authors"/>
        </w:rPr>
      </w:pPr>
    </w:p>
    <w:p w14:paraId="3B13A8A1" w14:textId="4C6D1AF9" w:rsidR="004918DB" w:rsidRPr="004918DB" w:rsidRDefault="004918DB" w:rsidP="004918DB">
      <w:pPr>
        <w:widowControl/>
        <w:autoSpaceDE/>
        <w:autoSpaceDN/>
        <w:ind w:left="720" w:hanging="720"/>
      </w:pPr>
      <w:r>
        <w:rPr>
          <w:rStyle w:val="authors"/>
        </w:rPr>
        <w:t>Montgomery, A. (2018</w:t>
      </w:r>
      <w:r w:rsidRPr="004918DB">
        <w:rPr>
          <w:rStyle w:val="authors"/>
        </w:rPr>
        <w:t xml:space="preserve">).  </w:t>
      </w:r>
      <w:r w:rsidRPr="004918DB">
        <w:t>Rough All Over: Processing Trauma and Gaining Empathy through Journaling</w:t>
      </w:r>
      <w:r w:rsidRPr="004918DB">
        <w:t xml:space="preserve">.  UCLA Jounral of Education and information Studies.  Volume 14, Issue 2. </w:t>
      </w:r>
      <w:hyperlink r:id="rId5" w:history="1">
        <w:r w:rsidRPr="004918DB">
          <w:rPr>
            <w:rStyle w:val="Hyperlink"/>
          </w:rPr>
          <w:t>https://doi.org/10.5070/D4142032965</w:t>
        </w:r>
      </w:hyperlink>
    </w:p>
    <w:p w14:paraId="3F9FFDB5" w14:textId="77777777" w:rsidR="00764170" w:rsidRDefault="00764170" w:rsidP="00EE625C">
      <w:pPr>
        <w:widowControl/>
        <w:autoSpaceDE/>
        <w:autoSpaceDN/>
        <w:ind w:left="720" w:hanging="720"/>
        <w:rPr>
          <w:rStyle w:val="authors"/>
        </w:rPr>
      </w:pPr>
    </w:p>
    <w:p w14:paraId="6D2E2076" w14:textId="77777777" w:rsidR="00076F5A" w:rsidRPr="00076F5A" w:rsidRDefault="00076F5A" w:rsidP="00076F5A">
      <w:pPr>
        <w:widowControl/>
        <w:autoSpaceDE/>
        <w:autoSpaceDN/>
        <w:ind w:left="720" w:hanging="720"/>
      </w:pPr>
      <w:r w:rsidRPr="00076F5A">
        <w:t xml:space="preserve">Siegel-Acevedo, D. (2021, July 1). </w:t>
      </w:r>
      <w:r w:rsidRPr="00076F5A">
        <w:rPr>
          <w:i/>
          <w:iCs/>
        </w:rPr>
        <w:t>Writing Can Help Us Heal from Trauma</w:t>
      </w:r>
      <w:r w:rsidRPr="00076F5A">
        <w:t>. Harvard Business Review. https://hbr.org/2021/07/writing-can-help-us-heal-from-trauma</w:t>
      </w:r>
    </w:p>
    <w:p w14:paraId="1DA04DCC" w14:textId="77777777" w:rsidR="00076F5A" w:rsidRPr="00076F5A" w:rsidRDefault="00076F5A" w:rsidP="00076F5A">
      <w:pPr>
        <w:widowControl/>
        <w:autoSpaceDE/>
        <w:autoSpaceDN/>
        <w:ind w:left="720" w:hanging="720"/>
      </w:pPr>
      <w:r w:rsidRPr="00076F5A">
        <w:t>‌</w:t>
      </w:r>
    </w:p>
    <w:p w14:paraId="4E124C07" w14:textId="2A3199A8" w:rsidR="00764170" w:rsidRDefault="00764170" w:rsidP="00764170">
      <w:pPr>
        <w:widowControl/>
        <w:autoSpaceDE/>
        <w:autoSpaceDN/>
        <w:ind w:left="720" w:hanging="720"/>
      </w:pPr>
      <w:r w:rsidRPr="00764170">
        <w:t xml:space="preserve">Smyth JM, Hockemeyer JR, Tulloch H. </w:t>
      </w:r>
      <w:r w:rsidR="009B0038">
        <w:t xml:space="preserve">(2008). </w:t>
      </w:r>
      <w:r w:rsidRPr="00764170">
        <w:t>Expressive writing and post-traumatic stress disorder: effects on trauma symptoms, mood states, and cortisol reactivity. Br J Health Psychol. Feb;13(Pt 1):85-93. doi: 10.1348/135910707X250866. PMID: 18230238.</w:t>
      </w:r>
    </w:p>
    <w:p w14:paraId="04532376" w14:textId="77777777" w:rsidR="004918DB" w:rsidRDefault="004918DB" w:rsidP="00764170">
      <w:pPr>
        <w:widowControl/>
        <w:autoSpaceDE/>
        <w:autoSpaceDN/>
        <w:ind w:left="720" w:hanging="720"/>
      </w:pPr>
    </w:p>
    <w:p w14:paraId="035921DA" w14:textId="77777777" w:rsidR="004918DB" w:rsidRPr="004918DB" w:rsidRDefault="004918DB" w:rsidP="004918DB">
      <w:pPr>
        <w:widowControl/>
        <w:autoSpaceDE/>
        <w:autoSpaceDN/>
        <w:ind w:left="720" w:hanging="720"/>
      </w:pPr>
      <w:r w:rsidRPr="004918DB">
        <w:t>Sohal M, Singh P, Dhillon BS, Gill HS. Efficacy of journaling in the management of mental illness: a systematic review and meta-analysis. Fam Med Community Health. 2022 Mar;10(1):e001154. doi: 10.1136/fmch-2021-001154. PMID: 35304431; PMCID: PMC8935176.</w:t>
      </w:r>
    </w:p>
    <w:p w14:paraId="5C9901F2" w14:textId="77777777" w:rsidR="004918DB" w:rsidRPr="00764170" w:rsidRDefault="004918DB" w:rsidP="00764170">
      <w:pPr>
        <w:widowControl/>
        <w:autoSpaceDE/>
        <w:autoSpaceDN/>
        <w:ind w:left="720" w:hanging="720"/>
      </w:pPr>
    </w:p>
    <w:p w14:paraId="3CE33471" w14:textId="77777777" w:rsidR="00764170" w:rsidRDefault="00764170" w:rsidP="00EE625C">
      <w:pPr>
        <w:widowControl/>
        <w:autoSpaceDE/>
        <w:autoSpaceDN/>
        <w:ind w:left="720" w:hanging="720"/>
        <w:rPr>
          <w:rStyle w:val="authors"/>
        </w:rPr>
      </w:pPr>
    </w:p>
    <w:p w14:paraId="356AB5B9" w14:textId="77777777" w:rsidR="00764170" w:rsidRDefault="00764170" w:rsidP="00EE625C">
      <w:pPr>
        <w:widowControl/>
        <w:autoSpaceDE/>
        <w:autoSpaceDN/>
        <w:ind w:left="720" w:hanging="720"/>
        <w:rPr>
          <w:rStyle w:val="authors"/>
        </w:rPr>
      </w:pPr>
    </w:p>
    <w:sectPr w:rsidR="00764170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80D"/>
    <w:rsid w:val="00002B38"/>
    <w:rsid w:val="00046288"/>
    <w:rsid w:val="00057D57"/>
    <w:rsid w:val="00076F5A"/>
    <w:rsid w:val="000B4226"/>
    <w:rsid w:val="000C094D"/>
    <w:rsid w:val="000C44AD"/>
    <w:rsid w:val="000C453C"/>
    <w:rsid w:val="000D155A"/>
    <w:rsid w:val="00110CF8"/>
    <w:rsid w:val="001168C3"/>
    <w:rsid w:val="00206345"/>
    <w:rsid w:val="002B77AB"/>
    <w:rsid w:val="002E351F"/>
    <w:rsid w:val="002F3E40"/>
    <w:rsid w:val="00315505"/>
    <w:rsid w:val="00323965"/>
    <w:rsid w:val="00325BA3"/>
    <w:rsid w:val="003571FE"/>
    <w:rsid w:val="00422C31"/>
    <w:rsid w:val="004918DB"/>
    <w:rsid w:val="005D144A"/>
    <w:rsid w:val="005F18C5"/>
    <w:rsid w:val="00627583"/>
    <w:rsid w:val="00636162"/>
    <w:rsid w:val="00640078"/>
    <w:rsid w:val="0069767D"/>
    <w:rsid w:val="006F486F"/>
    <w:rsid w:val="006F6604"/>
    <w:rsid w:val="00712AF8"/>
    <w:rsid w:val="00764170"/>
    <w:rsid w:val="007D4EE7"/>
    <w:rsid w:val="007F335E"/>
    <w:rsid w:val="00814471"/>
    <w:rsid w:val="008E02CE"/>
    <w:rsid w:val="008E7F5D"/>
    <w:rsid w:val="00951B43"/>
    <w:rsid w:val="00991A8A"/>
    <w:rsid w:val="009B0038"/>
    <w:rsid w:val="00A1180D"/>
    <w:rsid w:val="00A61536"/>
    <w:rsid w:val="00A73507"/>
    <w:rsid w:val="00AC055B"/>
    <w:rsid w:val="00AD1218"/>
    <w:rsid w:val="00AE7EAF"/>
    <w:rsid w:val="00B06A0A"/>
    <w:rsid w:val="00B11385"/>
    <w:rsid w:val="00B55A31"/>
    <w:rsid w:val="00B86543"/>
    <w:rsid w:val="00BA6617"/>
    <w:rsid w:val="00BE30F4"/>
    <w:rsid w:val="00BF67E9"/>
    <w:rsid w:val="00C365DA"/>
    <w:rsid w:val="00C66471"/>
    <w:rsid w:val="00C87657"/>
    <w:rsid w:val="00C90045"/>
    <w:rsid w:val="00CA72FB"/>
    <w:rsid w:val="00CD6F01"/>
    <w:rsid w:val="00CE5620"/>
    <w:rsid w:val="00D12DB5"/>
    <w:rsid w:val="00D20EFA"/>
    <w:rsid w:val="00D6382C"/>
    <w:rsid w:val="00DC1C91"/>
    <w:rsid w:val="00DE2956"/>
    <w:rsid w:val="00DE7C3A"/>
    <w:rsid w:val="00E35851"/>
    <w:rsid w:val="00E515BF"/>
    <w:rsid w:val="00EA34CC"/>
    <w:rsid w:val="00EA7FF6"/>
    <w:rsid w:val="00EE23F3"/>
    <w:rsid w:val="00EE625C"/>
    <w:rsid w:val="00F048F9"/>
    <w:rsid w:val="00F5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41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8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paragraph" w:customStyle="1" w:styleId="Default">
    <w:name w:val="Default"/>
    <w:rsid w:val="00AD121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641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8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5070/D41420329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3</cp:revision>
  <dcterms:created xsi:type="dcterms:W3CDTF">2025-08-21T13:33:00Z</dcterms:created>
  <dcterms:modified xsi:type="dcterms:W3CDTF">2025-08-21T14:24:00Z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