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10CD3AE" w14:textId="1421A91C" w:rsidR="00DC1C91" w:rsidRPr="00323965" w:rsidRDefault="00DC1C91" w:rsidP="00DC1C91">
      <w:pPr>
        <w:widowControl/>
        <w:autoSpaceDE/>
        <w:autoSpaceDN/>
      </w:pPr>
    </w:p>
    <w:p w14:paraId="40D14183" w14:textId="7279F789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  <w:r w:rsidRPr="00323965">
        <w:rPr>
          <w:rStyle w:val="authors"/>
        </w:rPr>
        <w:t>Adams, L. T. (2017). Backward progress toward reinstating parental rights. NYU Rev. L. &amp; Soc. Change, 41, 507.</w:t>
      </w:r>
    </w:p>
    <w:p w14:paraId="4C1A2899" w14:textId="77777777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</w:p>
    <w:p w14:paraId="54BDB9DC" w14:textId="16150E46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  <w:r w:rsidRPr="00323965">
        <w:rPr>
          <w:rStyle w:val="authors"/>
        </w:rPr>
        <w:t>Akerele, F. (2014). Adolescent decision-making and the zone of parental control: a missed opportunity for legislative change. Advances in psychiatric treatment, 20(2), 144-150.</w:t>
      </w:r>
    </w:p>
    <w:p w14:paraId="02AEEAC6" w14:textId="0B7154BF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</w:p>
    <w:p w14:paraId="27DAF5D1" w14:textId="6C7B594C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  <w:r w:rsidRPr="00323965">
        <w:rPr>
          <w:rStyle w:val="authors"/>
        </w:rPr>
        <w:t>Gottlieb, C. (2010). Reflections on judging mothering. University of Baltimore Law Review, 39(3), 4.</w:t>
      </w:r>
    </w:p>
    <w:p w14:paraId="531DA9D3" w14:textId="3408EF2D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</w:p>
    <w:p w14:paraId="55CC5DEC" w14:textId="54233892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  <w:r w:rsidRPr="00323965">
        <w:rPr>
          <w:rStyle w:val="authors"/>
        </w:rPr>
        <w:t>Gottlieb, C., Guggenheim, M., &amp; Kurtz, M. (2017). Discovering Family Defense: A History of the Family Defense Clinic at New York University School of Law. NYU Rev. L. &amp; Soc. Change, 41, 539.</w:t>
      </w:r>
    </w:p>
    <w:p w14:paraId="663E2E00" w14:textId="7A77A497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</w:p>
    <w:p w14:paraId="4D05A143" w14:textId="77777777" w:rsidR="00323965" w:rsidRPr="00323965" w:rsidRDefault="0069767D" w:rsidP="00323965">
      <w:pPr>
        <w:widowControl/>
        <w:autoSpaceDE/>
        <w:autoSpaceDN/>
        <w:ind w:left="720" w:hanging="720"/>
        <w:rPr>
          <w:rStyle w:val="authors"/>
        </w:rPr>
      </w:pPr>
      <w:r w:rsidRPr="00323965">
        <w:rPr>
          <w:rStyle w:val="authors"/>
        </w:rPr>
        <w:t>Guggenheim, M. (2009). What's wrong with children's rights. Harvard University Press.</w:t>
      </w:r>
    </w:p>
    <w:p w14:paraId="1BDD8CD9" w14:textId="77777777" w:rsidR="00323965" w:rsidRPr="00323965" w:rsidRDefault="00323965" w:rsidP="00323965">
      <w:pPr>
        <w:widowControl/>
        <w:autoSpaceDE/>
        <w:autoSpaceDN/>
        <w:ind w:left="720" w:hanging="720"/>
        <w:rPr>
          <w:rStyle w:val="authors"/>
        </w:rPr>
      </w:pPr>
    </w:p>
    <w:p w14:paraId="67FFACB7" w14:textId="77777777" w:rsidR="00323965" w:rsidRPr="00323965" w:rsidRDefault="00323965" w:rsidP="00323965">
      <w:pPr>
        <w:widowControl/>
        <w:autoSpaceDE/>
        <w:autoSpaceDN/>
        <w:ind w:left="720" w:hanging="720"/>
      </w:pPr>
      <w:r w:rsidRPr="00323965">
        <w:t xml:space="preserve">Guggenheim, M. (2022).Fulton v. City of Philadelphia: How no one paid any attention to children's rights. Family Court Review,60(1), 23–31. </w:t>
      </w:r>
      <w:hyperlink r:id="rId5" w:tgtFrame="_blank" w:history="1">
        <w:r w:rsidRPr="00323965">
          <w:rPr>
            <w:rStyle w:val="Hyperlink"/>
          </w:rPr>
          <w:t>https://doi.org/10.1111/fcre.1262444</w:t>
        </w:r>
      </w:hyperlink>
      <w:r w:rsidRPr="00323965">
        <w:t xml:space="preserve">  </w:t>
      </w:r>
    </w:p>
    <w:p w14:paraId="34EC0684" w14:textId="77777777" w:rsidR="00323965" w:rsidRPr="00323965" w:rsidRDefault="00323965" w:rsidP="00323965">
      <w:pPr>
        <w:widowControl/>
        <w:autoSpaceDE/>
        <w:autoSpaceDN/>
        <w:ind w:left="720" w:hanging="720"/>
      </w:pPr>
    </w:p>
    <w:p w14:paraId="15EF85CA" w14:textId="4A10348F" w:rsidR="00323965" w:rsidRPr="00323965" w:rsidRDefault="00323965" w:rsidP="00323965">
      <w:pPr>
        <w:widowControl/>
        <w:autoSpaceDE/>
        <w:autoSpaceDN/>
        <w:ind w:left="720" w:hanging="720"/>
      </w:pPr>
      <w:r w:rsidRPr="00323965">
        <w:rPr>
          <w:color w:val="000000"/>
          <w:shd w:val="clear" w:color="auto" w:fill="FFFFFF"/>
        </w:rPr>
        <w:t>Pitchal, E.S. (202</w:t>
      </w:r>
      <w:r>
        <w:rPr>
          <w:color w:val="000000"/>
          <w:shd w:val="clear" w:color="auto" w:fill="FFFFFF"/>
        </w:rPr>
        <w:t>0</w:t>
      </w:r>
      <w:r w:rsidRPr="00323965">
        <w:rPr>
          <w:color w:val="000000"/>
          <w:shd w:val="clear" w:color="auto" w:fill="FFFFFF"/>
        </w:rPr>
        <w:t>). </w:t>
      </w:r>
      <w:r w:rsidRPr="00323965">
        <w:rPr>
          <w:i/>
          <w:iCs/>
          <w:color w:val="000000"/>
          <w:bdr w:val="none" w:sz="0" w:space="0" w:color="auto" w:frame="1"/>
          <w:shd w:val="clear" w:color="auto" w:fill="FFFFFF"/>
        </w:rPr>
        <w:t>From Paternalism to Process: Reflections from the Bench on 40 Years of American Child Advocacy</w:t>
      </w:r>
      <w:r w:rsidRPr="00323965">
        <w:rPr>
          <w:color w:val="000000"/>
          <w:shd w:val="clear" w:color="auto" w:fill="FFFFFF"/>
        </w:rPr>
        <w:t>, 39 </w:t>
      </w:r>
      <w:r w:rsidRPr="00323965">
        <w:rPr>
          <w:color w:val="000000"/>
          <w:bdr w:val="none" w:sz="0" w:space="0" w:color="auto" w:frame="1"/>
          <w:shd w:val="clear" w:color="auto" w:fill="FFFFFF"/>
        </w:rPr>
        <w:t>CHILD. LEGAL RTS. J.</w:t>
      </w:r>
      <w:r w:rsidRPr="00323965">
        <w:rPr>
          <w:color w:val="000000"/>
          <w:shd w:val="clear" w:color="auto" w:fill="FFFFFF"/>
        </w:rPr>
        <w:t> 1.</w:t>
      </w:r>
      <w:r w:rsidRPr="00323965">
        <w:rPr>
          <w:color w:val="000000"/>
        </w:rPr>
        <w:br/>
      </w:r>
      <w:r w:rsidRPr="00323965">
        <w:rPr>
          <w:color w:val="000000"/>
          <w:shd w:val="clear" w:color="auto" w:fill="FFFFFF"/>
        </w:rPr>
        <w:t xml:space="preserve">Available at: </w:t>
      </w:r>
      <w:hyperlink r:id="rId6" w:tgtFrame="_blank" w:history="1">
        <w:r w:rsidRPr="00323965">
          <w:rPr>
            <w:rStyle w:val="Hyperlink"/>
            <w:shd w:val="clear" w:color="auto" w:fill="FFFFFF"/>
          </w:rPr>
          <w:t>https://lawecommons.luc.edu/clrj/vol39/iss1/2</w:t>
        </w:r>
      </w:hyperlink>
    </w:p>
    <w:p w14:paraId="09268666" w14:textId="25FEB1A7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</w:p>
    <w:p w14:paraId="36F208CB" w14:textId="5DC168E4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  <w:r w:rsidRPr="00323965">
        <w:rPr>
          <w:rStyle w:val="authors"/>
        </w:rPr>
        <w:t>Shields, L. (2019). Parental rights and the importance of being parents. Critical Review of International Social and Political Philosophy, 22(2), 119-133.</w:t>
      </w:r>
    </w:p>
    <w:p w14:paraId="5FE1E817" w14:textId="78919E75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</w:p>
    <w:p w14:paraId="0578E21F" w14:textId="6B6814F5" w:rsidR="0069767D" w:rsidRPr="00323965" w:rsidRDefault="0069767D" w:rsidP="00627583">
      <w:pPr>
        <w:widowControl/>
        <w:autoSpaceDE/>
        <w:autoSpaceDN/>
        <w:ind w:left="720" w:hanging="720"/>
        <w:rPr>
          <w:rStyle w:val="authors"/>
        </w:rPr>
      </w:pPr>
      <w:r w:rsidRPr="00323965">
        <w:rPr>
          <w:rStyle w:val="authors"/>
        </w:rPr>
        <w:t>Sloth, J. J., &amp; Kilkelly U, L. T. (2018). Monitoring and Implementation of Children's Rights. International Human Rights.</w:t>
      </w:r>
    </w:p>
    <w:p w14:paraId="5D1624DD" w14:textId="359115CA" w:rsidR="00DC1C91" w:rsidRDefault="00DC1C91" w:rsidP="00627583">
      <w:pPr>
        <w:widowControl/>
        <w:autoSpaceDE/>
        <w:autoSpaceDN/>
        <w:ind w:left="720" w:hanging="720"/>
        <w:rPr>
          <w:rStyle w:val="authors"/>
        </w:rPr>
      </w:pPr>
    </w:p>
    <w:p w14:paraId="7EDDEC3A" w14:textId="57837DC1" w:rsidR="007D4EE7" w:rsidRDefault="007D4EE7" w:rsidP="002E351F">
      <w:pPr>
        <w:spacing w:after="120"/>
        <w:ind w:left="720" w:hanging="720"/>
      </w:pPr>
    </w:p>
    <w:sectPr w:rsidR="007D4EE7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E7F5D"/>
    <w:rsid w:val="00A1180D"/>
    <w:rsid w:val="00A61536"/>
    <w:rsid w:val="00AC055B"/>
    <w:rsid w:val="00B11385"/>
    <w:rsid w:val="00BA6617"/>
    <w:rsid w:val="00BE30F4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ecommons.luc.edu/clrj/vol39/iss1/2" TargetMode="External"/><Relationship Id="rId5" Type="http://schemas.openxmlformats.org/officeDocument/2006/relationships/hyperlink" Target="https://doi.org/10.1111/fcre.12624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31</cp:revision>
  <dcterms:created xsi:type="dcterms:W3CDTF">2020-08-05T19:22:00Z</dcterms:created>
  <dcterms:modified xsi:type="dcterms:W3CDTF">2022-08-30T17:34:00Z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